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3C" w:rsidRPr="00786EEB" w:rsidRDefault="0034513C" w:rsidP="0034513C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947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34513C" w:rsidRDefault="0034513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4513C" w:rsidRPr="0034513C" w:rsidRDefault="0034513C" w:rsidP="0034513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4513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4513C" w:rsidRPr="0034513C" w:rsidRDefault="0034513C" w:rsidP="0034513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4513C" w:rsidRPr="0034513C" w:rsidRDefault="0034513C" w:rsidP="0034513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4513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4513C" w:rsidRPr="0034513C" w:rsidRDefault="0034513C" w:rsidP="0034513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4513C" w:rsidRPr="0034513C" w:rsidRDefault="0034513C" w:rsidP="0034513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4513C">
        <w:rPr>
          <w:rFonts w:ascii="Arial" w:hAnsi="Arial" w:cs="Arial"/>
          <w:b/>
          <w:sz w:val="24"/>
          <w:szCs w:val="24"/>
          <w:lang w:val="es-ES_tradnl"/>
        </w:rPr>
        <w:t>EN SESION DE FECHA 30 DE MARZO DE 2016</w:t>
      </w:r>
    </w:p>
    <w:p w:rsidR="0034513C" w:rsidRPr="0034513C" w:rsidRDefault="0034513C" w:rsidP="0034513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4513C" w:rsidRPr="0034513C" w:rsidRDefault="0034513C" w:rsidP="0034513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4513C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34513C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2016-17-1-0001449</w:t>
      </w:r>
      <w:r w:rsidRPr="0034513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34513C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34513C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Pr="0034513C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1115/16</w:t>
      </w:r>
      <w:r w:rsidRPr="0034513C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4513C" w:rsidRDefault="0034513C" w:rsidP="0034513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n-US"/>
        </w:rPr>
      </w:pPr>
    </w:p>
    <w:p w:rsidR="0034513C" w:rsidRDefault="0034513C" w:rsidP="00707006">
      <w:pPr>
        <w:spacing w:after="0" w:line="360" w:lineRule="auto"/>
        <w:jc w:val="both"/>
        <w:rPr>
          <w:rFonts w:ascii="Arial" w:hAnsi="Arial"/>
          <w:spacing w:val="-3"/>
          <w:lang w:val="en-US"/>
        </w:rPr>
      </w:pPr>
    </w:p>
    <w:p w:rsidR="00644EFB" w:rsidRDefault="00707006" w:rsidP="0034513C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 w:rsidRPr="00707006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VISTO: </w:t>
      </w:r>
      <w:r w:rsidRPr="00707006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las actuaciones remitidas por la Administración de las Obras Sanitarias del Estado, relacionadas con la Licitación Pública Internacional </w:t>
      </w:r>
      <w:r w:rsidR="001C0FEB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      </w:t>
      </w:r>
      <w:r w:rsidRPr="00707006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N° 15.</w:t>
      </w:r>
      <w:r w:rsidR="00644EFB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231</w:t>
      </w:r>
      <w:r w:rsidRPr="00707006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para</w:t>
      </w:r>
      <w:r w:rsidR="00644EFB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la primera etapa de la construcción de sistemas de saneamiento en Fray Marcos, cuencas Norte y Sur, </w:t>
      </w:r>
      <w:r w:rsidR="00644EFB">
        <w:rPr>
          <w:rFonts w:ascii="Arial" w:eastAsia="Times New Roman" w:hAnsi="Arial" w:cs="Times New Roman"/>
          <w:sz w:val="24"/>
          <w:szCs w:val="20"/>
          <w:lang w:val="es-MX" w:eastAsia="es-ES"/>
        </w:rPr>
        <w:t>financiadas parcialmente por el Fondo Financiero para el Desarrollo de la Cuenca del Plata (FONPLATA), Préstamo N° URU-14/2014</w:t>
      </w:r>
      <w:r w:rsidR="00EB039C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EB039C" w:rsidRPr="00477716" w:rsidRDefault="0034513C" w:rsidP="0075020F">
      <w:pPr>
        <w:tabs>
          <w:tab w:val="left" w:pos="2835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RESULTANDO</w:t>
      </w:r>
      <w:proofErr w:type="gramStart"/>
      <w:r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:  </w:t>
      </w:r>
      <w:r w:rsidR="00707006" w:rsidRPr="00707006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1</w:t>
      </w:r>
      <w:proofErr w:type="gramEnd"/>
      <w:r w:rsidR="00707006" w:rsidRPr="0034513C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)</w:t>
      </w:r>
      <w:r w:rsidR="00707006" w:rsidRPr="00707006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que cumplido el requisito legal de publicidad, con fecha </w:t>
      </w:r>
      <w:r w:rsidR="00EB039C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14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 w:rsidR="00EB039C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09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 w:rsidR="0006566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15</w:t>
      </w:r>
      <w:r w:rsidR="00707006" w:rsidRPr="00707006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se procedió al acto de apertura de las ofertas al que se presentaron </w:t>
      </w:r>
      <w:r w:rsidR="00EB039C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catorce</w:t>
      </w:r>
      <w:r w:rsidR="00707006" w:rsidRPr="00707006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oferentes: </w:t>
      </w:r>
      <w:r w:rsidR="00EB039C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José </w:t>
      </w:r>
      <w:proofErr w:type="spellStart"/>
      <w:r w:rsidR="00EB039C">
        <w:rPr>
          <w:rFonts w:ascii="Arial" w:eastAsia="Times New Roman" w:hAnsi="Arial" w:cs="Times New Roman"/>
          <w:sz w:val="24"/>
          <w:szCs w:val="20"/>
          <w:lang w:val="es-MX" w:eastAsia="es-ES"/>
        </w:rPr>
        <w:t>Cujó</w:t>
      </w:r>
      <w:proofErr w:type="spellEnd"/>
      <w:r w:rsidR="00EB039C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; </w:t>
      </w:r>
      <w:proofErr w:type="spellStart"/>
      <w:r w:rsidR="00EB039C">
        <w:rPr>
          <w:rFonts w:ascii="Arial" w:eastAsia="Times New Roman" w:hAnsi="Arial" w:cs="Times New Roman"/>
          <w:sz w:val="24"/>
          <w:szCs w:val="20"/>
          <w:lang w:val="es-MX" w:eastAsia="es-ES"/>
        </w:rPr>
        <w:t>Inocci</w:t>
      </w:r>
      <w:proofErr w:type="spellEnd"/>
      <w:r w:rsidR="00EB039C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S.A; </w:t>
      </w:r>
      <w:proofErr w:type="spellStart"/>
      <w:r w:rsidR="00EB039C" w:rsidRPr="00C4002E">
        <w:rPr>
          <w:rFonts w:ascii="Arial" w:eastAsia="Times New Roman" w:hAnsi="Arial" w:cs="Times New Roman"/>
          <w:sz w:val="24"/>
          <w:szCs w:val="20"/>
          <w:lang w:val="es-MX" w:eastAsia="es-ES"/>
        </w:rPr>
        <w:t>Techint</w:t>
      </w:r>
      <w:proofErr w:type="spellEnd"/>
      <w:r w:rsidR="00EB039C" w:rsidRPr="00C4002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S.A.C.I</w:t>
      </w:r>
      <w:r w:rsidR="00EB039C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; </w:t>
      </w:r>
      <w:proofErr w:type="spellStart"/>
      <w:r w:rsidR="00EB039C" w:rsidRPr="00C4002E">
        <w:rPr>
          <w:rFonts w:ascii="Arial" w:eastAsia="Times New Roman" w:hAnsi="Arial" w:cs="Times New Roman"/>
          <w:sz w:val="24"/>
          <w:szCs w:val="20"/>
          <w:lang w:eastAsia="es-ES"/>
        </w:rPr>
        <w:t>Stiler</w:t>
      </w:r>
      <w:proofErr w:type="spellEnd"/>
      <w:r w:rsidR="00EB039C" w:rsidRPr="00C4002E">
        <w:rPr>
          <w:rFonts w:ascii="Arial" w:eastAsia="Times New Roman" w:hAnsi="Arial" w:cs="Times New Roman"/>
          <w:sz w:val="24"/>
          <w:szCs w:val="20"/>
          <w:lang w:eastAsia="es-ES"/>
        </w:rPr>
        <w:t xml:space="preserve"> S.A</w:t>
      </w:r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 xml:space="preserve">; </w:t>
      </w:r>
      <w:proofErr w:type="spellStart"/>
      <w:r w:rsidR="00EB039C" w:rsidRPr="00477716">
        <w:rPr>
          <w:rFonts w:ascii="Arial" w:eastAsia="Times New Roman" w:hAnsi="Arial" w:cs="Times New Roman"/>
          <w:sz w:val="24"/>
          <w:szCs w:val="20"/>
          <w:lang w:eastAsia="es-ES"/>
        </w:rPr>
        <w:t>Saceem</w:t>
      </w:r>
      <w:proofErr w:type="spellEnd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 xml:space="preserve">; </w:t>
      </w:r>
      <w:proofErr w:type="spellStart"/>
      <w:r w:rsidR="00EB039C" w:rsidRPr="00477716">
        <w:rPr>
          <w:rFonts w:ascii="Arial" w:eastAsia="Times New Roman" w:hAnsi="Arial" w:cs="Times New Roman"/>
          <w:sz w:val="24"/>
          <w:szCs w:val="20"/>
          <w:lang w:eastAsia="es-ES"/>
        </w:rPr>
        <w:t>Citesa</w:t>
      </w:r>
      <w:proofErr w:type="spellEnd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 xml:space="preserve">; </w:t>
      </w:r>
      <w:r w:rsidR="00EB039C" w:rsidRPr="00477716">
        <w:rPr>
          <w:rFonts w:ascii="Arial" w:eastAsia="Times New Roman" w:hAnsi="Arial" w:cs="Times New Roman"/>
          <w:sz w:val="24"/>
          <w:szCs w:val="20"/>
          <w:lang w:eastAsia="es-ES"/>
        </w:rPr>
        <w:t>Consorcio en formación Servicio Ingenier</w:t>
      </w:r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>ía Eléctrica Uruguay-</w:t>
      </w:r>
      <w:proofErr w:type="spellStart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>Leymer</w:t>
      </w:r>
      <w:proofErr w:type="spellEnd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 xml:space="preserve">; </w:t>
      </w:r>
      <w:proofErr w:type="spellStart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>Ciemsa</w:t>
      </w:r>
      <w:proofErr w:type="spellEnd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 xml:space="preserve">; </w:t>
      </w:r>
      <w:proofErr w:type="spellStart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>Montelecnor</w:t>
      </w:r>
      <w:proofErr w:type="spellEnd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 xml:space="preserve"> S.A; Medina y </w:t>
      </w:r>
      <w:proofErr w:type="spellStart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>Possamai</w:t>
      </w:r>
      <w:proofErr w:type="spellEnd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 xml:space="preserve"> Ltda.; Ingeniería Pacífico; Espina Obras Hidráulicas; </w:t>
      </w:r>
      <w:proofErr w:type="spellStart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>Lejacir</w:t>
      </w:r>
      <w:proofErr w:type="spellEnd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 xml:space="preserve"> S.A; </w:t>
      </w:r>
      <w:proofErr w:type="spellStart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>Teyma</w:t>
      </w:r>
      <w:proofErr w:type="spellEnd"/>
      <w:r w:rsidR="00EB039C">
        <w:rPr>
          <w:rFonts w:ascii="Arial" w:eastAsia="Times New Roman" w:hAnsi="Arial" w:cs="Times New Roman"/>
          <w:sz w:val="24"/>
          <w:szCs w:val="20"/>
          <w:lang w:eastAsia="es-ES"/>
        </w:rPr>
        <w:t xml:space="preserve"> Uruguay S.A;</w:t>
      </w:r>
    </w:p>
    <w:p w:rsidR="0034513C" w:rsidRDefault="00707006" w:rsidP="0034513C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 w:rsidRPr="00EB039C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2)</w:t>
      </w:r>
      <w:r w:rsidRPr="00707006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</w:t>
      </w:r>
      <w:r w:rsidR="00D308D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que de conformidad con lo dispuesto en el 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A</w:t>
      </w:r>
      <w:r w:rsidR="00D308D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rtículo 30 Sección I del Pliego de Condiciones Particulares, el 02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 w:rsidR="00D308D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10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 w:rsidR="00D308D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15 la Comisión Asesora de Adjudicaciones procedió a realizar la corrección de los precios ofertados, agregando un informe según el cual la oferta presentada por </w:t>
      </w:r>
      <w:proofErr w:type="spellStart"/>
      <w:r w:rsidR="00D308D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Citesa</w:t>
      </w:r>
      <w:proofErr w:type="spellEnd"/>
      <w:r w:rsidR="00D308D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</w:t>
      </w:r>
      <w:r w:rsidR="0006566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es</w:t>
      </w:r>
      <w:r w:rsidR="00E607A9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la</w:t>
      </w:r>
      <w:r w:rsidR="00D308D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más económica;</w:t>
      </w:r>
    </w:p>
    <w:p w:rsidR="00D308DE" w:rsidRDefault="00D308DE" w:rsidP="0034513C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 w:rsidRPr="00D308DE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3)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que </w:t>
      </w:r>
      <w:r w:rsidR="0006566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con fecha </w:t>
      </w:r>
      <w:r w:rsidR="002517D8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07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 w:rsidR="002517D8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10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 w:rsidR="002517D8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15 la mencionada firma agregó la información complementaria solicitada por </w:t>
      </w:r>
      <w:r w:rsidR="0006566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la Comisión Asesora de Adjudicaciones </w:t>
      </w:r>
      <w:r w:rsidR="002517D8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el 05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 w:rsidR="002517D8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10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 w:rsidR="002517D8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15;</w:t>
      </w:r>
    </w:p>
    <w:p w:rsidR="0034513C" w:rsidRDefault="00D308DE" w:rsidP="0034513C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bCs/>
          <w:sz w:val="24"/>
          <w:szCs w:val="20"/>
          <w:lang w:eastAsia="es-ES"/>
        </w:rPr>
      </w:pPr>
      <w:r w:rsidRPr="00E607A9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4)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</w:t>
      </w:r>
      <w:r w:rsidR="00E607A9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que</w:t>
      </w:r>
      <w:r w:rsidR="007D2E84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en </w:t>
      </w:r>
      <w:r w:rsidR="00E607A9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el dictamen de </w:t>
      </w:r>
      <w:r w:rsidR="00E607A9" w:rsidRPr="00E44CA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la </w:t>
      </w:r>
      <w:r w:rsidR="00E607A9" w:rsidRP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>Comisión Asesora de Adjudicaciones de f</w:t>
      </w:r>
      <w:r w:rsidR="00E607A9" w:rsidRPr="00E44CA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echa </w:t>
      </w:r>
      <w:r w:rsidR="00E607A9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09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 w:rsidR="00E607A9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10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 w:rsidR="00E607A9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15</w:t>
      </w:r>
      <w:r w:rsidR="007D2E84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se detalló</w:t>
      </w:r>
      <w:r w:rsidR="00E44CA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el </w:t>
      </w:r>
      <w:r w:rsidR="00E607A9">
        <w:rPr>
          <w:rFonts w:ascii="Arial" w:eastAsia="Times New Roman" w:hAnsi="Arial" w:cs="Times New Roman"/>
          <w:bCs/>
          <w:sz w:val="24"/>
          <w:szCs w:val="20"/>
          <w:lang w:eastAsia="es-ES"/>
        </w:rPr>
        <w:t>proceso de</w:t>
      </w:r>
      <w:r w:rsid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evaluación, </w:t>
      </w:r>
      <w:r w:rsidR="007D2E84">
        <w:rPr>
          <w:rFonts w:ascii="Arial" w:eastAsia="Times New Roman" w:hAnsi="Arial" w:cs="Times New Roman"/>
          <w:bCs/>
          <w:sz w:val="24"/>
          <w:szCs w:val="20"/>
          <w:lang w:eastAsia="es-ES"/>
        </w:rPr>
        <w:t>concluyéndose</w:t>
      </w:r>
      <w:r w:rsid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que la oferta presentada por </w:t>
      </w:r>
      <w:proofErr w:type="spellStart"/>
      <w:r w:rsid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>Citesa</w:t>
      </w:r>
      <w:proofErr w:type="spellEnd"/>
      <w:r w:rsid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es admisible desde el punto de vi</w:t>
      </w:r>
      <w:r w:rsidR="007D2E84">
        <w:rPr>
          <w:rFonts w:ascii="Arial" w:eastAsia="Times New Roman" w:hAnsi="Arial" w:cs="Times New Roman"/>
          <w:bCs/>
          <w:sz w:val="24"/>
          <w:szCs w:val="20"/>
          <w:lang w:eastAsia="es-ES"/>
        </w:rPr>
        <w:t>sta legal, financiero y técnico</w:t>
      </w:r>
      <w:r w:rsidR="00F85416">
        <w:rPr>
          <w:rFonts w:ascii="Arial" w:eastAsia="Times New Roman" w:hAnsi="Arial" w:cs="Times New Roman"/>
          <w:bCs/>
          <w:sz w:val="24"/>
          <w:szCs w:val="20"/>
          <w:lang w:eastAsia="es-ES"/>
        </w:rPr>
        <w:t>, recomendándose en favor de la misma la adjudicación de la presente licitación</w:t>
      </w:r>
      <w:r w:rsidR="007D2E84">
        <w:rPr>
          <w:rFonts w:ascii="Arial" w:eastAsia="Times New Roman" w:hAnsi="Arial" w:cs="Times New Roman"/>
          <w:bCs/>
          <w:sz w:val="24"/>
          <w:szCs w:val="20"/>
          <w:lang w:eastAsia="es-ES"/>
        </w:rPr>
        <w:t>. En el</w:t>
      </w:r>
      <w:r w:rsidR="00F85416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referido dictamen </w:t>
      </w:r>
      <w:r w:rsidR="007D2E84">
        <w:rPr>
          <w:rFonts w:ascii="Arial" w:eastAsia="Times New Roman" w:hAnsi="Arial" w:cs="Times New Roman"/>
          <w:bCs/>
          <w:sz w:val="24"/>
          <w:szCs w:val="20"/>
          <w:lang w:eastAsia="es-ES"/>
        </w:rPr>
        <w:t>se dejó</w:t>
      </w:r>
      <w:r w:rsid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constancia de qu</w:t>
      </w:r>
      <w:r w:rsidR="00E44CA7" w:rsidRP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>e úni</w:t>
      </w:r>
      <w:r w:rsidR="00E607A9" w:rsidRP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camente 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se </w:t>
      </w:r>
      <w:r w:rsidR="00E607A9" w:rsidRP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>procedió al análisis exhausti</w:t>
      </w:r>
      <w:r w:rsidR="00B72D6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vo de </w:t>
      </w:r>
      <w:r w:rsidR="007D2E84">
        <w:rPr>
          <w:rFonts w:ascii="Arial" w:eastAsia="Times New Roman" w:hAnsi="Arial" w:cs="Times New Roman"/>
          <w:bCs/>
          <w:sz w:val="24"/>
          <w:szCs w:val="20"/>
          <w:lang w:eastAsia="es-ES"/>
        </w:rPr>
        <w:t>esta oferta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</w:t>
      </w:r>
      <w:r w:rsidR="00B72D6B">
        <w:rPr>
          <w:rFonts w:ascii="Arial" w:eastAsia="Times New Roman" w:hAnsi="Arial" w:cs="Times New Roman"/>
          <w:bCs/>
          <w:sz w:val="24"/>
          <w:szCs w:val="20"/>
          <w:lang w:eastAsia="es-ES"/>
        </w:rPr>
        <w:t>por</w:t>
      </w:r>
      <w:r w:rsidR="004E4DB2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ser</w:t>
      </w:r>
      <w:r w:rsidR="00E607A9" w:rsidRP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la más beneficiosa 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>económicamente, conforme con</w:t>
      </w:r>
      <w:r w:rsidR="00E607A9" w:rsidRP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lo d</w:t>
      </w:r>
      <w:r w:rsid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ispuesto en el </w:t>
      </w:r>
      <w:r w:rsidR="0075020F">
        <w:rPr>
          <w:rFonts w:ascii="Arial" w:eastAsia="Times New Roman" w:hAnsi="Arial" w:cs="Times New Roman"/>
          <w:bCs/>
          <w:sz w:val="24"/>
          <w:szCs w:val="20"/>
          <w:lang w:eastAsia="es-ES"/>
        </w:rPr>
        <w:t>A</w:t>
      </w:r>
      <w:r w:rsid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>rtículo 34 del Pliego de Condiciones Particulares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</w:t>
      </w:r>
      <w:r w:rsidR="005B4813">
        <w:rPr>
          <w:rFonts w:ascii="Arial" w:eastAsia="Times New Roman" w:hAnsi="Arial" w:cs="Times New Roman"/>
          <w:bCs/>
          <w:sz w:val="24"/>
          <w:szCs w:val="20"/>
          <w:lang w:eastAsia="es-ES"/>
        </w:rPr>
        <w:t>que establece expresamente que se compararán las ofertas para determinar cuál es la más económica y se v</w:t>
      </w:r>
      <w:r w:rsidR="00B72D6B">
        <w:rPr>
          <w:rFonts w:ascii="Arial" w:eastAsia="Times New Roman" w:hAnsi="Arial" w:cs="Times New Roman"/>
          <w:bCs/>
          <w:sz w:val="24"/>
          <w:szCs w:val="20"/>
          <w:lang w:eastAsia="es-ES"/>
        </w:rPr>
        <w:t>erificará que la misma se ajuste</w:t>
      </w:r>
      <w:r w:rsidR="005B4813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sustancialmente a </w:t>
      </w:r>
      <w:r w:rsidR="004E4DB2">
        <w:rPr>
          <w:rFonts w:ascii="Arial" w:eastAsia="Times New Roman" w:hAnsi="Arial" w:cs="Times New Roman"/>
          <w:bCs/>
          <w:sz w:val="24"/>
          <w:szCs w:val="20"/>
          <w:lang w:eastAsia="es-ES"/>
        </w:rPr>
        <w:t>l</w:t>
      </w:r>
      <w:r w:rsidR="00B72D6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os documentos </w:t>
      </w:r>
      <w:r w:rsidR="00F85416">
        <w:rPr>
          <w:rFonts w:ascii="Arial" w:eastAsia="Times New Roman" w:hAnsi="Arial" w:cs="Times New Roman"/>
          <w:bCs/>
          <w:sz w:val="24"/>
          <w:szCs w:val="20"/>
          <w:lang w:eastAsia="es-ES"/>
        </w:rPr>
        <w:t>de la licitación</w:t>
      </w:r>
      <w:r w:rsidR="00E44CA7">
        <w:rPr>
          <w:rFonts w:ascii="Arial" w:eastAsia="Times New Roman" w:hAnsi="Arial" w:cs="Times New Roman"/>
          <w:bCs/>
          <w:sz w:val="24"/>
          <w:szCs w:val="20"/>
          <w:lang w:eastAsia="es-ES"/>
        </w:rPr>
        <w:t>;</w:t>
      </w:r>
    </w:p>
    <w:p w:rsidR="0034513C" w:rsidRDefault="0013185E" w:rsidP="0034513C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bCs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eastAsia="es-ES"/>
        </w:rPr>
        <w:t>5</w:t>
      </w:r>
      <w:r w:rsidR="0044782B" w:rsidRPr="0044782B">
        <w:rPr>
          <w:rFonts w:ascii="Arial" w:eastAsia="Times New Roman" w:hAnsi="Arial" w:cs="Times New Roman"/>
          <w:b/>
          <w:bCs/>
          <w:sz w:val="24"/>
          <w:szCs w:val="20"/>
          <w:lang w:eastAsia="es-ES"/>
        </w:rPr>
        <w:t xml:space="preserve">) </w:t>
      </w:r>
      <w:r w:rsidR="0044782B" w:rsidRP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>que por Resolución R/D N° 1529/15 de fecha 16</w:t>
      </w:r>
      <w:r w:rsidR="0075020F">
        <w:rPr>
          <w:rFonts w:ascii="Arial" w:eastAsia="Times New Roman" w:hAnsi="Arial" w:cs="Times New Roman"/>
          <w:bCs/>
          <w:sz w:val="24"/>
          <w:szCs w:val="20"/>
          <w:lang w:eastAsia="es-ES"/>
        </w:rPr>
        <w:t>/</w:t>
      </w:r>
      <w:r w:rsidR="0044782B" w:rsidRP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>12</w:t>
      </w:r>
      <w:r w:rsidR="0075020F">
        <w:rPr>
          <w:rFonts w:ascii="Arial" w:eastAsia="Times New Roman" w:hAnsi="Arial" w:cs="Times New Roman"/>
          <w:bCs/>
          <w:sz w:val="24"/>
          <w:szCs w:val="20"/>
          <w:lang w:eastAsia="es-ES"/>
        </w:rPr>
        <w:t>/</w:t>
      </w:r>
      <w:r w:rsidR="0044782B" w:rsidRP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>15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</w:t>
      </w:r>
      <w:r w:rsidR="0044782B" w:rsidRP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el Directorio </w:t>
      </w:r>
      <w:r w:rsidR="00CA4EBD">
        <w:rPr>
          <w:rFonts w:ascii="Arial" w:eastAsia="Times New Roman" w:hAnsi="Arial" w:cs="Times New Roman"/>
          <w:bCs/>
          <w:sz w:val="24"/>
          <w:szCs w:val="20"/>
          <w:lang w:eastAsia="es-ES"/>
        </w:rPr>
        <w:t>dispuso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la adjudicación en la forma propuesta, autorizando un crédito por el monto de $76:</w:t>
      </w:r>
      <w:r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373.471,56, el 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>que se desglosa de la siguiente manera: $</w:t>
      </w:r>
      <w:r w:rsidR="0075020F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42:585.319,85 por concepto </w:t>
      </w:r>
      <w:r w:rsidR="0075020F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de obra básica más impuestos; $ 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>4:258.531,99 por concepto de imprevistos de obra más impuestos; $</w:t>
      </w:r>
      <w:r w:rsidR="0075020F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>9:368.770,37 por concepto de ajustes de precios más impuestos; y $</w:t>
      </w:r>
      <w:r w:rsidR="0075020F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 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7:794.072,46 por concepto de </w:t>
      </w:r>
      <w:r w:rsidR="0075020F">
        <w:rPr>
          <w:rFonts w:ascii="Arial" w:eastAsia="Times New Roman" w:hAnsi="Arial" w:cs="Times New Roman"/>
          <w:bCs/>
          <w:sz w:val="24"/>
          <w:szCs w:val="20"/>
          <w:lang w:eastAsia="es-ES"/>
        </w:rPr>
        <w:t>L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eyes </w:t>
      </w:r>
      <w:r w:rsidR="0075020F">
        <w:rPr>
          <w:rFonts w:ascii="Arial" w:eastAsia="Times New Roman" w:hAnsi="Arial" w:cs="Times New Roman"/>
          <w:bCs/>
          <w:sz w:val="24"/>
          <w:szCs w:val="20"/>
          <w:lang w:eastAsia="es-ES"/>
        </w:rPr>
        <w:t>S</w:t>
      </w:r>
      <w:r w:rsidR="0044782B">
        <w:rPr>
          <w:rFonts w:ascii="Arial" w:eastAsia="Times New Roman" w:hAnsi="Arial" w:cs="Times New Roman"/>
          <w:bCs/>
          <w:sz w:val="24"/>
          <w:szCs w:val="20"/>
          <w:lang w:eastAsia="es-ES"/>
        </w:rPr>
        <w:t>ociales, a fin de atender el gasto de la contratación;</w:t>
      </w:r>
    </w:p>
    <w:p w:rsidR="0013185E" w:rsidRPr="0034513C" w:rsidRDefault="0013185E" w:rsidP="0034513C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bCs/>
          <w:sz w:val="24"/>
          <w:szCs w:val="20"/>
          <w:lang w:eastAsia="es-ES"/>
        </w:rPr>
      </w:pPr>
      <w:r w:rsidRPr="0013185E">
        <w:rPr>
          <w:rFonts w:ascii="Arial" w:eastAsia="Times New Roman" w:hAnsi="Arial" w:cs="Times New Roman"/>
          <w:b/>
          <w:bCs/>
          <w:sz w:val="24"/>
          <w:szCs w:val="20"/>
          <w:lang w:eastAsia="es-ES"/>
        </w:rPr>
        <w:t xml:space="preserve">6) </w:t>
      </w:r>
      <w:r w:rsidRPr="0013185E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que con fecha </w:t>
      </w:r>
      <w:r w:rsidRPr="0013185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29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02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16 </w:t>
      </w:r>
      <w:r w:rsidRPr="0013185E">
        <w:rPr>
          <w:rFonts w:ascii="Arial" w:eastAsia="Times New Roman" w:hAnsi="Arial" w:cs="Times New Roman"/>
          <w:bCs/>
          <w:sz w:val="24"/>
          <w:szCs w:val="20"/>
          <w:lang w:eastAsia="es-ES"/>
        </w:rPr>
        <w:t xml:space="preserve">el Departamento de Contabilidad Presupuestal informó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que se imputaron los montos de </w:t>
      </w:r>
      <w:r w:rsidR="0075020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                 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$ 33:727.573 más IVA y de $ 4:676.443 (c. </w:t>
      </w:r>
      <w:proofErr w:type="spellStart"/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soc.</w:t>
      </w:r>
      <w:proofErr w:type="spellEnd"/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) con cargo al año 2016, Objeto 380 del Presupuesto de Compras 2016 en el Grupo 3 “Bienes de Uso” con disponibilidad suficiente;</w:t>
      </w:r>
    </w:p>
    <w:p w:rsidR="0013185E" w:rsidRDefault="00065667" w:rsidP="0034513C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CONSIDERANDO: 1) </w:t>
      </w:r>
      <w:r w:rsidRPr="0006566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que </w:t>
      </w:r>
      <w:r w:rsidR="0013185E" w:rsidRPr="0006566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s</w:t>
      </w:r>
      <w:r w:rsidR="0013185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iendo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las </w:t>
      </w:r>
      <w:r w:rsidR="0013185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obras objeto de la presente licitación </w:t>
      </w:r>
      <w:r w:rsidR="0013185E">
        <w:rPr>
          <w:rFonts w:ascii="Arial" w:eastAsia="Times New Roman" w:hAnsi="Arial" w:cs="Times New Roman"/>
          <w:sz w:val="24"/>
          <w:szCs w:val="20"/>
          <w:lang w:val="es-MX" w:eastAsia="es-ES"/>
        </w:rPr>
        <w:t>financiadas parcialmente por el Fondo Financiero para el Desarrollo de la Cuenca del Plata (FONPLATA), el</w:t>
      </w:r>
      <w:r w:rsidR="0013185E" w:rsidRPr="00382530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procedimiento se efectuó al amparo de las bases establecidas </w:t>
      </w:r>
      <w:r w:rsidR="0013185E">
        <w:rPr>
          <w:rFonts w:ascii="Arial" w:eastAsia="Times New Roman" w:hAnsi="Arial" w:cs="Times New Roman"/>
          <w:sz w:val="24"/>
          <w:szCs w:val="20"/>
          <w:lang w:val="es-MX" w:eastAsia="es-ES"/>
        </w:rPr>
        <w:t>en</w:t>
      </w:r>
      <w:r w:rsidR="0013185E" w:rsidRPr="00382530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las normas </w:t>
      </w:r>
      <w:r w:rsidR="0013185E">
        <w:rPr>
          <w:rFonts w:ascii="Arial" w:eastAsia="Times New Roman" w:hAnsi="Arial" w:cs="Times New Roman"/>
          <w:sz w:val="24"/>
          <w:szCs w:val="20"/>
          <w:lang w:val="es-MX" w:eastAsia="es-ES"/>
        </w:rPr>
        <w:t>del préstamo N° URU-14/2014 del</w:t>
      </w:r>
      <w:r w:rsidR="0013185E" w:rsidRPr="00382530">
        <w:rPr>
          <w:rFonts w:ascii="Arial" w:eastAsia="Times New Roman" w:hAnsi="Arial" w:cs="Times New Roman"/>
          <w:sz w:val="24"/>
          <w:szCs w:val="20"/>
          <w:lang w:val="es-MX" w:eastAsia="es-ES"/>
        </w:rPr>
        <w:t>,</w:t>
      </w:r>
      <w:r w:rsidR="0013185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13185E" w:rsidRPr="00382530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aplicable en razón de lo dispuesto por el </w:t>
      </w:r>
      <w:r w:rsidR="0075020F">
        <w:rPr>
          <w:rFonts w:ascii="Arial" w:eastAsia="Times New Roman" w:hAnsi="Arial" w:cs="Times New Roman"/>
          <w:sz w:val="24"/>
          <w:szCs w:val="20"/>
          <w:lang w:val="es-MX" w:eastAsia="es-ES"/>
        </w:rPr>
        <w:t>A</w:t>
      </w:r>
      <w:r w:rsidR="0013185E" w:rsidRPr="00382530">
        <w:rPr>
          <w:rFonts w:ascii="Arial" w:eastAsia="Times New Roman" w:hAnsi="Arial" w:cs="Times New Roman"/>
          <w:sz w:val="24"/>
          <w:szCs w:val="20"/>
          <w:lang w:val="es-MX" w:eastAsia="es-ES"/>
        </w:rPr>
        <w:t>rtículo 45 del T.O.C.A.F</w:t>
      </w:r>
      <w:r w:rsidR="0013185E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707006" w:rsidRPr="0034513C" w:rsidRDefault="005720D8" w:rsidP="0034513C">
      <w:pPr>
        <w:spacing w:after="0" w:line="360" w:lineRule="auto"/>
        <w:ind w:firstLine="3119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 w:rsidRPr="005720D8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que </w:t>
      </w:r>
      <w:r w:rsidR="0030024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los </w:t>
      </w:r>
      <w:r w:rsidR="0075020F">
        <w:rPr>
          <w:rFonts w:ascii="Arial" w:eastAsia="Times New Roman" w:hAnsi="Arial" w:cs="Times New Roman"/>
          <w:sz w:val="24"/>
          <w:szCs w:val="20"/>
          <w:lang w:val="es-MX" w:eastAsia="es-ES"/>
        </w:rPr>
        <w:t>A</w:t>
      </w:r>
      <w:r w:rsidR="00300246">
        <w:rPr>
          <w:rFonts w:ascii="Arial" w:eastAsia="Times New Roman" w:hAnsi="Arial" w:cs="Times New Roman"/>
          <w:sz w:val="24"/>
          <w:szCs w:val="20"/>
          <w:lang w:val="es-MX" w:eastAsia="es-ES"/>
        </w:rPr>
        <w:t>rtículos 33.1 y siguientes d</w:t>
      </w:r>
      <w:r w:rsidR="0085013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el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referido préstamo prevén</w:t>
      </w:r>
      <w:r w:rsidR="0085013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expresamente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un sistema de evaluación</w:t>
      </w:r>
      <w:r w:rsidR="0085013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de ofertas</w:t>
      </w:r>
      <w:r w:rsidR="0030024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conforme con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el cual únicamente se estudiarán los requisitos técnicos y de capacidad financiera de aquella cuyo precio haya sido evaluado como el más bajo, por lo que la adjudicación procede </w:t>
      </w:r>
      <w:r w:rsidR="00850138">
        <w:rPr>
          <w:rFonts w:ascii="Arial" w:eastAsia="Times New Roman" w:hAnsi="Arial" w:cs="Times New Roman"/>
          <w:sz w:val="24"/>
          <w:szCs w:val="20"/>
          <w:lang w:val="es-MX" w:eastAsia="es-ES"/>
        </w:rPr>
        <w:t>en favor de la</w:t>
      </w:r>
      <w:r w:rsidR="0030024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propuesta</w:t>
      </w:r>
      <w:r w:rsidR="0085013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más económica que cumpla con las bases de la licitación;</w:t>
      </w:r>
    </w:p>
    <w:p w:rsidR="0031225B" w:rsidRPr="008165C6" w:rsidRDefault="0031225B" w:rsidP="0034513C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165C6">
        <w:rPr>
          <w:rFonts w:ascii="Arial" w:hAnsi="Arial" w:cs="Arial"/>
          <w:b/>
          <w:color w:val="000000"/>
          <w:sz w:val="24"/>
          <w:szCs w:val="24"/>
        </w:rPr>
        <w:t>EL TRIBUNAL ACUERDA:</w:t>
      </w:r>
    </w:p>
    <w:p w:rsidR="0031225B" w:rsidRDefault="0031225B" w:rsidP="0034513C">
      <w:p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8165C6">
        <w:rPr>
          <w:rFonts w:ascii="Arial" w:hAnsi="Arial" w:cs="Arial"/>
          <w:b/>
          <w:color w:val="000000"/>
          <w:sz w:val="24"/>
          <w:szCs w:val="24"/>
        </w:rPr>
        <w:t>1)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Cometer a</w:t>
      </w:r>
      <w:r w:rsidR="003451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>l</w:t>
      </w:r>
      <w:r w:rsidR="0034513C">
        <w:rPr>
          <w:rFonts w:ascii="Arial" w:hAnsi="Arial" w:cs="Arial"/>
          <w:color w:val="000000"/>
          <w:sz w:val="24"/>
          <w:szCs w:val="24"/>
        </w:rPr>
        <w:t>a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Contador</w:t>
      </w:r>
      <w:r w:rsidR="0034513C">
        <w:rPr>
          <w:rFonts w:ascii="Arial" w:hAnsi="Arial" w:cs="Arial"/>
          <w:color w:val="000000"/>
          <w:sz w:val="24"/>
          <w:szCs w:val="24"/>
        </w:rPr>
        <w:t>a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Delegad</w:t>
      </w:r>
      <w:r w:rsidR="0034513C">
        <w:rPr>
          <w:rFonts w:ascii="Arial" w:hAnsi="Arial" w:cs="Arial"/>
          <w:color w:val="000000"/>
          <w:sz w:val="24"/>
          <w:szCs w:val="24"/>
        </w:rPr>
        <w:t>a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la intervención del </w:t>
      </w:r>
      <w:r>
        <w:rPr>
          <w:rFonts w:ascii="Arial" w:hAnsi="Arial" w:cs="Arial"/>
          <w:color w:val="000000"/>
          <w:sz w:val="24"/>
          <w:szCs w:val="24"/>
        </w:rPr>
        <w:t>gasto previo control de su imputación a grupo adecuado con disponibilidad suficiente</w:t>
      </w:r>
      <w:r w:rsidRPr="00EA3B58">
        <w:rPr>
          <w:rFonts w:ascii="Arial" w:hAnsi="Arial" w:cs="Arial"/>
          <w:color w:val="000000"/>
          <w:sz w:val="24"/>
          <w:szCs w:val="24"/>
        </w:rPr>
        <w:t>;</w:t>
      </w:r>
    </w:p>
    <w:p w:rsidR="0031225B" w:rsidRPr="00EA3B58" w:rsidRDefault="0031225B" w:rsidP="0034513C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Pr="008165C6"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Comunicar a</w:t>
      </w:r>
      <w:r w:rsidR="0034513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 w:rsidR="0034513C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Contador</w:t>
      </w:r>
      <w:r w:rsidR="0034513C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Delegad</w:t>
      </w:r>
      <w:r w:rsidR="0034513C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; y</w:t>
      </w:r>
    </w:p>
    <w:p w:rsidR="0031225B" w:rsidRDefault="0031225B" w:rsidP="0034513C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8165C6">
        <w:rPr>
          <w:rFonts w:ascii="Arial" w:hAnsi="Arial" w:cs="Arial"/>
          <w:b/>
          <w:color w:val="000000"/>
          <w:sz w:val="24"/>
          <w:szCs w:val="24"/>
        </w:rPr>
        <w:t>)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Devolver las actuaciones.</w:t>
      </w:r>
    </w:p>
    <w:p w:rsidR="00707006" w:rsidRDefault="00707006" w:rsidP="0034513C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0"/>
          <w:lang w:eastAsia="es-ES"/>
        </w:rPr>
      </w:pPr>
    </w:p>
    <w:p w:rsidR="0034513C" w:rsidRDefault="0034513C" w:rsidP="0034513C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0"/>
          <w:lang w:eastAsia="es-ES"/>
        </w:rPr>
      </w:pPr>
    </w:p>
    <w:p w:rsidR="0034513C" w:rsidRDefault="0034513C" w:rsidP="0034513C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0"/>
          <w:lang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bCs/>
          <w:sz w:val="24"/>
          <w:szCs w:val="20"/>
          <w:lang w:eastAsia="es-ES"/>
        </w:rPr>
        <w:t>bf</w:t>
      </w:r>
      <w:proofErr w:type="spellEnd"/>
      <w:proofErr w:type="gramEnd"/>
    </w:p>
    <w:p w:rsidR="0034513C" w:rsidRDefault="0034513C" w:rsidP="0034513C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0"/>
          <w:lang w:eastAsia="es-ES"/>
        </w:rPr>
      </w:pPr>
    </w:p>
    <w:p w:rsidR="0034513C" w:rsidRDefault="0034513C" w:rsidP="0034513C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0"/>
          <w:lang w:eastAsia="es-ES"/>
        </w:rPr>
      </w:pPr>
    </w:p>
    <w:p w:rsidR="0034513C" w:rsidRDefault="0034513C"/>
    <w:p w:rsidR="0034513C" w:rsidRDefault="0034513C" w:rsidP="0034513C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0"/>
          <w:lang w:eastAsia="es-ES"/>
        </w:rPr>
      </w:pPr>
    </w:p>
    <w:p w:rsidR="0034513C" w:rsidRPr="0031225B" w:rsidRDefault="0034513C" w:rsidP="0034513C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0"/>
          <w:lang w:eastAsia="es-ES"/>
        </w:rPr>
      </w:pPr>
    </w:p>
    <w:sectPr w:rsidR="0034513C" w:rsidRPr="0031225B" w:rsidSect="0075020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D8" w:rsidRDefault="005720D8" w:rsidP="00971B6C">
      <w:pPr>
        <w:spacing w:after="0" w:line="240" w:lineRule="auto"/>
      </w:pPr>
      <w:r>
        <w:separator/>
      </w:r>
    </w:p>
  </w:endnote>
  <w:endnote w:type="continuationSeparator" w:id="0">
    <w:p w:rsidR="005720D8" w:rsidRDefault="005720D8" w:rsidP="0097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D8" w:rsidRDefault="005720D8" w:rsidP="00971B6C">
      <w:pPr>
        <w:spacing w:after="0" w:line="240" w:lineRule="auto"/>
      </w:pPr>
      <w:r>
        <w:separator/>
      </w:r>
    </w:p>
  </w:footnote>
  <w:footnote w:type="continuationSeparator" w:id="0">
    <w:p w:rsidR="005720D8" w:rsidRDefault="005720D8" w:rsidP="00971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49F0"/>
    <w:multiLevelType w:val="hybridMultilevel"/>
    <w:tmpl w:val="4F68DAD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C7BB4"/>
    <w:multiLevelType w:val="hybridMultilevel"/>
    <w:tmpl w:val="DB1C487A"/>
    <w:lvl w:ilvl="0" w:tplc="8DBA91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62"/>
    <w:rsid w:val="0005507B"/>
    <w:rsid w:val="00065667"/>
    <w:rsid w:val="00074420"/>
    <w:rsid w:val="00086CFD"/>
    <w:rsid w:val="000A295F"/>
    <w:rsid w:val="000E19C2"/>
    <w:rsid w:val="00130655"/>
    <w:rsid w:val="0013185E"/>
    <w:rsid w:val="001C0FEB"/>
    <w:rsid w:val="001D7579"/>
    <w:rsid w:val="002471D4"/>
    <w:rsid w:val="002517D8"/>
    <w:rsid w:val="00254068"/>
    <w:rsid w:val="00300246"/>
    <w:rsid w:val="0031225B"/>
    <w:rsid w:val="00334590"/>
    <w:rsid w:val="0034513C"/>
    <w:rsid w:val="00382530"/>
    <w:rsid w:val="00403188"/>
    <w:rsid w:val="0044782B"/>
    <w:rsid w:val="00477716"/>
    <w:rsid w:val="0048465E"/>
    <w:rsid w:val="00486186"/>
    <w:rsid w:val="004A5B5A"/>
    <w:rsid w:val="004B3D8F"/>
    <w:rsid w:val="004E4DB2"/>
    <w:rsid w:val="005720D8"/>
    <w:rsid w:val="00574810"/>
    <w:rsid w:val="005A3459"/>
    <w:rsid w:val="005B4813"/>
    <w:rsid w:val="00612711"/>
    <w:rsid w:val="00644EFB"/>
    <w:rsid w:val="00696748"/>
    <w:rsid w:val="006F6C3A"/>
    <w:rsid w:val="00707006"/>
    <w:rsid w:val="0074665E"/>
    <w:rsid w:val="0075020F"/>
    <w:rsid w:val="007D2E84"/>
    <w:rsid w:val="007E08C8"/>
    <w:rsid w:val="00831E95"/>
    <w:rsid w:val="00850138"/>
    <w:rsid w:val="00971B6C"/>
    <w:rsid w:val="009772EA"/>
    <w:rsid w:val="00A73E53"/>
    <w:rsid w:val="00A94E6D"/>
    <w:rsid w:val="00AB00D6"/>
    <w:rsid w:val="00B33FFE"/>
    <w:rsid w:val="00B72D6B"/>
    <w:rsid w:val="00BA00E2"/>
    <w:rsid w:val="00BC7277"/>
    <w:rsid w:val="00BD1F62"/>
    <w:rsid w:val="00C4002E"/>
    <w:rsid w:val="00C772B5"/>
    <w:rsid w:val="00CA4EBD"/>
    <w:rsid w:val="00CE5594"/>
    <w:rsid w:val="00D308DE"/>
    <w:rsid w:val="00D441E6"/>
    <w:rsid w:val="00E44CA7"/>
    <w:rsid w:val="00E607A9"/>
    <w:rsid w:val="00EB039C"/>
    <w:rsid w:val="00EF2A51"/>
    <w:rsid w:val="00F01FCD"/>
    <w:rsid w:val="00F51F82"/>
    <w:rsid w:val="00F8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1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7FA10-31A8-428E-B5CF-F8809ED7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BEATRIZ FERNANDEZ</cp:lastModifiedBy>
  <cp:revision>4</cp:revision>
  <cp:lastPrinted>2016-04-01T17:21:00Z</cp:lastPrinted>
  <dcterms:created xsi:type="dcterms:W3CDTF">2016-04-01T16:27:00Z</dcterms:created>
  <dcterms:modified xsi:type="dcterms:W3CDTF">2016-04-01T17:21:00Z</dcterms:modified>
</cp:coreProperties>
</file>