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5D0" w:rsidRPr="00786EEB" w:rsidRDefault="009825D0" w:rsidP="00786EEB">
      <w:pPr>
        <w:tabs>
          <w:tab w:val="center" w:pos="4253"/>
        </w:tabs>
        <w:suppressAutoHyphens/>
        <w:jc w:val="right"/>
        <w:rPr>
          <w:rFonts w:ascii="Arial" w:hAnsi="Arial" w:cs="Arial"/>
          <w:b/>
          <w:sz w:val="28"/>
          <w:szCs w:val="28"/>
          <w:lang w:val="es-ES_tradnl"/>
        </w:rPr>
      </w:pPr>
      <w:r w:rsidRPr="00786EEB">
        <w:rPr>
          <w:rFonts w:ascii="Arial" w:hAnsi="Arial" w:cs="Arial"/>
          <w:b/>
          <w:sz w:val="28"/>
          <w:szCs w:val="28"/>
          <w:lang w:val="es-ES_tradnl"/>
        </w:rPr>
        <w:t xml:space="preserve">RES. </w:t>
      </w:r>
      <w:r>
        <w:rPr>
          <w:rFonts w:ascii="Arial" w:hAnsi="Arial" w:cs="Arial"/>
          <w:b/>
          <w:sz w:val="28"/>
          <w:szCs w:val="28"/>
          <w:lang w:val="es-ES_tradnl"/>
        </w:rPr>
        <w:t>962</w:t>
      </w:r>
      <w:r w:rsidRPr="00786EEB">
        <w:rPr>
          <w:rFonts w:ascii="Arial" w:hAnsi="Arial" w:cs="Arial"/>
          <w:b/>
          <w:sz w:val="28"/>
          <w:szCs w:val="28"/>
          <w:lang w:val="es-ES_tradnl"/>
        </w:rPr>
        <w:t>/16</w:t>
      </w:r>
    </w:p>
    <w:p w:rsidR="009825D0" w:rsidRDefault="009825D0" w:rsidP="00786EEB">
      <w:pPr>
        <w:tabs>
          <w:tab w:val="center" w:pos="4253"/>
        </w:tabs>
        <w:suppressAutoHyphens/>
        <w:jc w:val="right"/>
        <w:rPr>
          <w:rFonts w:ascii="Arial" w:hAnsi="Arial" w:cs="Arial"/>
          <w:b/>
          <w:lang w:val="es-ES_tradnl"/>
        </w:rPr>
      </w:pPr>
    </w:p>
    <w:p w:rsidR="009825D0" w:rsidRPr="00762B34" w:rsidRDefault="009825D0">
      <w:pPr>
        <w:tabs>
          <w:tab w:val="center" w:pos="4253"/>
        </w:tabs>
        <w:suppressAutoHyphens/>
        <w:jc w:val="center"/>
        <w:rPr>
          <w:rFonts w:ascii="Arial" w:hAnsi="Arial" w:cs="Arial"/>
          <w:b/>
          <w:lang w:val="es-ES_tradnl"/>
        </w:rPr>
      </w:pPr>
      <w:r w:rsidRPr="00762B34">
        <w:rPr>
          <w:rFonts w:ascii="Arial" w:hAnsi="Arial" w:cs="Arial"/>
          <w:b/>
          <w:lang w:val="es-ES_tradnl"/>
        </w:rPr>
        <w:t>RESOLUCION ADOPTADA POR EL</w:t>
      </w:r>
    </w:p>
    <w:p w:rsidR="009825D0" w:rsidRPr="00762B34" w:rsidRDefault="009825D0">
      <w:pPr>
        <w:tabs>
          <w:tab w:val="center" w:pos="4253"/>
        </w:tabs>
        <w:suppressAutoHyphens/>
        <w:jc w:val="center"/>
        <w:rPr>
          <w:rFonts w:ascii="Arial" w:hAnsi="Arial" w:cs="Arial"/>
          <w:b/>
          <w:lang w:val="es-ES_tradnl"/>
        </w:rPr>
      </w:pPr>
      <w:r w:rsidRPr="00762B34">
        <w:rPr>
          <w:rFonts w:ascii="Arial" w:hAnsi="Arial" w:cs="Arial"/>
          <w:b/>
          <w:lang w:val="es-ES_tradnl"/>
        </w:rPr>
        <w:t>TRIBUNAL DE CUENTAS</w:t>
      </w:r>
    </w:p>
    <w:p w:rsidR="009825D0" w:rsidRPr="00762B34" w:rsidRDefault="009825D0">
      <w:pPr>
        <w:tabs>
          <w:tab w:val="center" w:pos="4253"/>
        </w:tabs>
        <w:suppressAutoHyphens/>
        <w:jc w:val="center"/>
        <w:rPr>
          <w:rFonts w:ascii="Arial" w:hAnsi="Arial" w:cs="Arial"/>
          <w:b/>
          <w:lang w:val="es-ES_tradnl"/>
        </w:rPr>
      </w:pPr>
      <w:r w:rsidRPr="00762B34">
        <w:rPr>
          <w:rFonts w:ascii="Arial" w:hAnsi="Arial" w:cs="Arial"/>
          <w:b/>
          <w:lang w:val="es-ES_tradnl"/>
        </w:rPr>
        <w:t xml:space="preserve">EN SESION DE FECHA </w:t>
      </w:r>
      <w:r>
        <w:rPr>
          <w:rFonts w:ascii="Helvetica" w:hAnsi="Helvetica"/>
          <w:b/>
          <w:lang w:val="es-ES_tradnl"/>
        </w:rPr>
        <w:t>30 DE MARZO DE 2016</w:t>
      </w:r>
    </w:p>
    <w:p w:rsidR="009825D0" w:rsidRPr="00762B34" w:rsidRDefault="009825D0">
      <w:pPr>
        <w:tabs>
          <w:tab w:val="center" w:pos="4253"/>
        </w:tabs>
        <w:suppressAutoHyphens/>
        <w:jc w:val="center"/>
        <w:rPr>
          <w:rFonts w:ascii="Arial" w:hAnsi="Arial" w:cs="Arial"/>
          <w:b/>
          <w:lang w:val="en-US"/>
        </w:rPr>
      </w:pPr>
      <w:r w:rsidRPr="00762B34">
        <w:rPr>
          <w:rFonts w:ascii="Arial" w:hAnsi="Arial" w:cs="Arial"/>
          <w:b/>
          <w:lang w:val="en-US"/>
        </w:rPr>
        <w:t xml:space="preserve">(E. E. Nº </w:t>
      </w:r>
      <w:r w:rsidR="000F5FA4">
        <w:rPr>
          <w:rFonts w:ascii="Arial" w:hAnsi="Arial" w:cs="Arial"/>
          <w:b/>
          <w:lang w:val="en-US"/>
        </w:rPr>
        <w:t>2016-17-1-0001326</w:t>
      </w:r>
      <w:r w:rsidRPr="00762B34">
        <w:rPr>
          <w:rFonts w:ascii="Arial" w:hAnsi="Arial" w:cs="Arial"/>
          <w:b/>
          <w:lang w:val="en-US"/>
        </w:rPr>
        <w:t xml:space="preserve">, </w:t>
      </w:r>
      <w:proofErr w:type="spellStart"/>
      <w:proofErr w:type="gramStart"/>
      <w:r w:rsidRPr="00762B34">
        <w:rPr>
          <w:rFonts w:ascii="Arial" w:hAnsi="Arial" w:cs="Arial"/>
          <w:b/>
          <w:lang w:val="en-US"/>
        </w:rPr>
        <w:t>Ent</w:t>
      </w:r>
      <w:proofErr w:type="spellEnd"/>
      <w:proofErr w:type="gramEnd"/>
      <w:r w:rsidRPr="00762B34">
        <w:rPr>
          <w:rFonts w:ascii="Arial" w:hAnsi="Arial" w:cs="Arial"/>
          <w:b/>
          <w:lang w:val="en-US"/>
        </w:rPr>
        <w:t>. N°</w:t>
      </w:r>
      <w:r w:rsidR="000F5FA4">
        <w:rPr>
          <w:rFonts w:ascii="Arial" w:hAnsi="Arial" w:cs="Arial"/>
          <w:b/>
          <w:lang w:val="en-US"/>
        </w:rPr>
        <w:t xml:space="preserve"> 1012/16</w:t>
      </w:r>
      <w:r w:rsidRPr="00762B34">
        <w:rPr>
          <w:rFonts w:ascii="Arial" w:hAnsi="Arial" w:cs="Arial"/>
          <w:b/>
          <w:lang w:val="en-US"/>
        </w:rPr>
        <w:t>)</w:t>
      </w:r>
    </w:p>
    <w:p w:rsidR="000F5FA4" w:rsidRDefault="000F5FA4">
      <w:pPr>
        <w:autoSpaceDE w:val="0"/>
        <w:autoSpaceDN w:val="0"/>
        <w:adjustRightInd w:val="0"/>
        <w:spacing w:after="0" w:line="360" w:lineRule="auto"/>
        <w:jc w:val="both"/>
        <w:rPr>
          <w:rFonts w:ascii="Arial" w:hAnsi="Arial" w:cs="Arial"/>
          <w:b/>
          <w:bCs/>
          <w:color w:val="000000"/>
          <w:sz w:val="24"/>
          <w:szCs w:val="24"/>
        </w:rPr>
      </w:pPr>
      <w:r>
        <w:rPr>
          <w:rFonts w:ascii="Arial" w:hAnsi="Arial" w:cs="Arial"/>
          <w:b/>
          <w:bCs/>
          <w:color w:val="000000"/>
          <w:sz w:val="24"/>
          <w:szCs w:val="24"/>
        </w:rPr>
        <w:tab/>
      </w:r>
    </w:p>
    <w:p w:rsidR="00B13C9D" w:rsidRDefault="000F5FA4">
      <w:pPr>
        <w:autoSpaceDE w:val="0"/>
        <w:autoSpaceDN w:val="0"/>
        <w:adjustRightInd w:val="0"/>
        <w:spacing w:after="0" w:line="360" w:lineRule="auto"/>
        <w:jc w:val="both"/>
        <w:rPr>
          <w:rFonts w:ascii="Arial" w:hAnsi="Arial" w:cs="Arial"/>
          <w:color w:val="000000"/>
          <w:sz w:val="24"/>
          <w:szCs w:val="24"/>
        </w:rPr>
      </w:pPr>
      <w:r>
        <w:rPr>
          <w:rFonts w:ascii="Arial" w:hAnsi="Arial" w:cs="Arial"/>
          <w:b/>
          <w:bCs/>
          <w:color w:val="000000"/>
          <w:sz w:val="24"/>
          <w:szCs w:val="24"/>
        </w:rPr>
        <w:tab/>
      </w:r>
      <w:r w:rsidR="00B13C9D">
        <w:rPr>
          <w:rFonts w:ascii="Arial" w:hAnsi="Arial" w:cs="Arial"/>
          <w:b/>
          <w:bCs/>
          <w:color w:val="000000"/>
          <w:sz w:val="24"/>
          <w:szCs w:val="24"/>
        </w:rPr>
        <w:t>VISTO:</w:t>
      </w:r>
      <w:r w:rsidR="00B13C9D">
        <w:rPr>
          <w:rFonts w:ascii="Arial" w:hAnsi="Arial" w:cs="Arial"/>
          <w:color w:val="000000"/>
          <w:sz w:val="24"/>
          <w:szCs w:val="24"/>
        </w:rPr>
        <w:t xml:space="preserve"> las actuaciones remitidas por el Consejo Directivo Central de la Administración Nacional de Educación Pública, relacionadas con la autorización de la liquidación y pago de los abonos de docentes de distintos Consejos de Educación que deben trasladarse fuera del departamento en el que residen;</w:t>
      </w:r>
    </w:p>
    <w:p w:rsidR="00B13C9D" w:rsidRDefault="000F5FA4">
      <w:pPr>
        <w:autoSpaceDE w:val="0"/>
        <w:autoSpaceDN w:val="0"/>
        <w:adjustRightInd w:val="0"/>
        <w:spacing w:after="0" w:line="360" w:lineRule="auto"/>
        <w:jc w:val="both"/>
        <w:rPr>
          <w:rFonts w:ascii="Arial" w:hAnsi="Arial" w:cs="Arial"/>
          <w:color w:val="000000"/>
          <w:sz w:val="24"/>
          <w:szCs w:val="24"/>
        </w:rPr>
      </w:pPr>
      <w:r>
        <w:rPr>
          <w:rFonts w:ascii="Arial" w:hAnsi="Arial" w:cs="Arial"/>
          <w:b/>
          <w:bCs/>
          <w:color w:val="000000"/>
          <w:sz w:val="24"/>
          <w:szCs w:val="24"/>
        </w:rPr>
        <w:tab/>
      </w:r>
      <w:r w:rsidR="00B13C9D">
        <w:rPr>
          <w:rFonts w:ascii="Arial" w:hAnsi="Arial" w:cs="Arial"/>
          <w:b/>
          <w:bCs/>
          <w:color w:val="000000"/>
          <w:sz w:val="24"/>
          <w:szCs w:val="24"/>
        </w:rPr>
        <w:t xml:space="preserve">RESULTANDO: 1) </w:t>
      </w:r>
      <w:r w:rsidR="00B13C9D">
        <w:rPr>
          <w:rFonts w:ascii="Arial" w:hAnsi="Arial" w:cs="Arial"/>
          <w:color w:val="000000"/>
          <w:sz w:val="24"/>
          <w:szCs w:val="24"/>
        </w:rPr>
        <w:t>que por Resolución N° 1, Acta N° 54 de fecha 28.08.07, el Consejo Directivo Central dispuso transferir a los Consejos Desconcentrados, la administración del beneficio de abonos docentes;</w:t>
      </w:r>
    </w:p>
    <w:p w:rsidR="00B13C9D" w:rsidRDefault="000F5FA4" w:rsidP="000F5FA4">
      <w:pPr>
        <w:autoSpaceDE w:val="0"/>
        <w:autoSpaceDN w:val="0"/>
        <w:adjustRightInd w:val="0"/>
        <w:spacing w:after="0" w:line="360" w:lineRule="auto"/>
        <w:ind w:firstLine="2552"/>
        <w:jc w:val="both"/>
        <w:rPr>
          <w:rFonts w:ascii="Arial" w:hAnsi="Arial" w:cs="Arial"/>
          <w:color w:val="000000"/>
          <w:sz w:val="24"/>
          <w:szCs w:val="24"/>
        </w:rPr>
      </w:pPr>
      <w:r>
        <w:rPr>
          <w:rFonts w:ascii="Arial" w:hAnsi="Arial" w:cs="Arial"/>
          <w:b/>
          <w:bCs/>
          <w:color w:val="000000"/>
          <w:sz w:val="24"/>
          <w:szCs w:val="24"/>
        </w:rPr>
        <w:t xml:space="preserve"> </w:t>
      </w:r>
      <w:r w:rsidR="00B13C9D">
        <w:rPr>
          <w:rFonts w:ascii="Arial" w:hAnsi="Arial" w:cs="Arial"/>
          <w:b/>
          <w:bCs/>
          <w:color w:val="000000"/>
          <w:sz w:val="24"/>
          <w:szCs w:val="24"/>
        </w:rPr>
        <w:t xml:space="preserve">2) </w:t>
      </w:r>
      <w:r w:rsidR="00B13C9D">
        <w:rPr>
          <w:rFonts w:ascii="Arial" w:hAnsi="Arial" w:cs="Arial"/>
          <w:color w:val="000000"/>
          <w:sz w:val="24"/>
          <w:szCs w:val="24"/>
        </w:rPr>
        <w:t>que con fecha 07.12.15, el Área de Contabilidad Financiera informó que el Consejo de Educación Técnico Profesional estima un gasto de $</w:t>
      </w:r>
      <w:r>
        <w:rPr>
          <w:rFonts w:ascii="Arial" w:hAnsi="Arial" w:cs="Arial"/>
          <w:color w:val="000000"/>
          <w:sz w:val="24"/>
          <w:szCs w:val="24"/>
        </w:rPr>
        <w:t xml:space="preserve"> </w:t>
      </w:r>
      <w:r w:rsidR="00B13C9D">
        <w:rPr>
          <w:rFonts w:ascii="Arial" w:hAnsi="Arial" w:cs="Arial"/>
          <w:color w:val="000000"/>
          <w:sz w:val="24"/>
          <w:szCs w:val="24"/>
        </w:rPr>
        <w:t>4:389.000 para el Ejercicio 2016 y que existe disponibilidad presupuestal en la Financiación 1.1, objeto del gasto 239</w:t>
      </w:r>
      <w:r w:rsidR="00B13C9D">
        <w:rPr>
          <w:rFonts w:ascii="Arial" w:hAnsi="Arial" w:cs="Arial"/>
          <w:b/>
          <w:bCs/>
          <w:color w:val="000000"/>
          <w:sz w:val="24"/>
          <w:szCs w:val="24"/>
        </w:rPr>
        <w:t xml:space="preserve"> </w:t>
      </w:r>
      <w:r w:rsidR="00B13C9D">
        <w:rPr>
          <w:rFonts w:ascii="Arial" w:hAnsi="Arial" w:cs="Arial"/>
          <w:color w:val="000000"/>
          <w:sz w:val="24"/>
          <w:szCs w:val="24"/>
        </w:rPr>
        <w:t xml:space="preserve">para hacer frente al gasto por concepto de abonos fuera del departamento, en cumplimiento del </w:t>
      </w:r>
      <w:r>
        <w:rPr>
          <w:rFonts w:ascii="Arial" w:hAnsi="Arial" w:cs="Arial"/>
          <w:color w:val="000000"/>
          <w:sz w:val="24"/>
          <w:szCs w:val="24"/>
        </w:rPr>
        <w:t>Artículo 280 de la L</w:t>
      </w:r>
      <w:r w:rsidR="00B13C9D">
        <w:rPr>
          <w:rFonts w:ascii="Arial" w:hAnsi="Arial" w:cs="Arial"/>
          <w:color w:val="000000"/>
          <w:sz w:val="24"/>
          <w:szCs w:val="24"/>
        </w:rPr>
        <w:t xml:space="preserve">ey N° 18.172; y, asimismo, estima que  los abonos docentes </w:t>
      </w:r>
      <w:r w:rsidR="00B13C9D" w:rsidRPr="000F5FA4">
        <w:rPr>
          <w:rFonts w:ascii="Arial" w:hAnsi="Arial" w:cs="Arial"/>
          <w:color w:val="000000"/>
          <w:spacing w:val="8"/>
          <w:sz w:val="24"/>
          <w:szCs w:val="24"/>
        </w:rPr>
        <w:t xml:space="preserve">no atendidos de acuerdo al </w:t>
      </w:r>
      <w:r w:rsidRPr="000F5FA4">
        <w:rPr>
          <w:rFonts w:ascii="Arial" w:hAnsi="Arial" w:cs="Arial"/>
          <w:color w:val="000000"/>
          <w:spacing w:val="8"/>
          <w:sz w:val="24"/>
          <w:szCs w:val="24"/>
        </w:rPr>
        <w:t>A</w:t>
      </w:r>
      <w:r w:rsidR="00B13C9D" w:rsidRPr="000F5FA4">
        <w:rPr>
          <w:rFonts w:ascii="Arial" w:hAnsi="Arial" w:cs="Arial"/>
          <w:color w:val="000000"/>
          <w:spacing w:val="8"/>
          <w:sz w:val="24"/>
          <w:szCs w:val="24"/>
        </w:rPr>
        <w:t xml:space="preserve">rtículo 280 de la </w:t>
      </w:r>
      <w:r w:rsidRPr="000F5FA4">
        <w:rPr>
          <w:rFonts w:ascii="Arial" w:hAnsi="Arial" w:cs="Arial"/>
          <w:color w:val="000000"/>
          <w:spacing w:val="8"/>
          <w:sz w:val="24"/>
          <w:szCs w:val="24"/>
        </w:rPr>
        <w:t>L</w:t>
      </w:r>
      <w:r w:rsidR="00B13C9D" w:rsidRPr="000F5FA4">
        <w:rPr>
          <w:rFonts w:ascii="Arial" w:hAnsi="Arial" w:cs="Arial"/>
          <w:color w:val="000000"/>
          <w:spacing w:val="8"/>
          <w:sz w:val="24"/>
          <w:szCs w:val="24"/>
        </w:rPr>
        <w:t>ey N° 18.172 ascenderán a $</w:t>
      </w:r>
      <w:r>
        <w:rPr>
          <w:rFonts w:ascii="Arial" w:hAnsi="Arial" w:cs="Arial"/>
          <w:color w:val="000000"/>
          <w:sz w:val="24"/>
          <w:szCs w:val="24"/>
        </w:rPr>
        <w:t xml:space="preserve"> </w:t>
      </w:r>
      <w:r w:rsidR="00B13C9D">
        <w:rPr>
          <w:rFonts w:ascii="Arial" w:hAnsi="Arial" w:cs="Arial"/>
          <w:color w:val="000000"/>
          <w:sz w:val="24"/>
          <w:szCs w:val="24"/>
        </w:rPr>
        <w:t>50:000.000 en el Ejercicio 2016, existiendo disponibilidad presupuestal con cargo a los créditos presupuestales del Consejo de Educación Técnico Profesional, Financiación 1.1, objeto del gasto 239, para hacer frente a dicha erogación;</w:t>
      </w:r>
    </w:p>
    <w:p w:rsidR="00B13C9D" w:rsidRDefault="000F5FA4" w:rsidP="000F5FA4">
      <w:pPr>
        <w:autoSpaceDE w:val="0"/>
        <w:autoSpaceDN w:val="0"/>
        <w:adjustRightInd w:val="0"/>
        <w:spacing w:after="0" w:line="360" w:lineRule="auto"/>
        <w:ind w:firstLine="2552"/>
        <w:jc w:val="both"/>
        <w:rPr>
          <w:rFonts w:ascii="Arial" w:hAnsi="Arial" w:cs="Arial"/>
          <w:color w:val="000000"/>
          <w:sz w:val="24"/>
          <w:szCs w:val="24"/>
        </w:rPr>
      </w:pPr>
      <w:r>
        <w:rPr>
          <w:rFonts w:ascii="Arial" w:hAnsi="Arial" w:cs="Arial"/>
          <w:b/>
          <w:bCs/>
          <w:color w:val="000000"/>
          <w:sz w:val="24"/>
          <w:szCs w:val="24"/>
        </w:rPr>
        <w:t xml:space="preserve"> </w:t>
      </w:r>
      <w:r w:rsidR="00B13C9D">
        <w:rPr>
          <w:rFonts w:ascii="Arial" w:hAnsi="Arial" w:cs="Arial"/>
          <w:b/>
          <w:bCs/>
          <w:color w:val="000000"/>
          <w:sz w:val="24"/>
          <w:szCs w:val="24"/>
        </w:rPr>
        <w:t xml:space="preserve">3) </w:t>
      </w:r>
      <w:r w:rsidR="00B13C9D">
        <w:rPr>
          <w:rFonts w:ascii="Arial" w:hAnsi="Arial" w:cs="Arial"/>
          <w:color w:val="000000"/>
          <w:sz w:val="24"/>
          <w:szCs w:val="24"/>
        </w:rPr>
        <w:t xml:space="preserve">que con  fecha 21.12.15, la División Hacienda  informó que el gasto por concepto de Abonos Docentes está contemplado en el </w:t>
      </w:r>
      <w:r w:rsidR="00B13C9D">
        <w:rPr>
          <w:rFonts w:ascii="Arial" w:hAnsi="Arial" w:cs="Arial"/>
          <w:color w:val="000000"/>
          <w:sz w:val="24"/>
          <w:szCs w:val="24"/>
        </w:rPr>
        <w:lastRenderedPageBreak/>
        <w:t>Plan Anual de Compras para el Ejercicio 2016, en la financiación 1.2 “Tributo de Educación Primaria” por $ 99:972.976;</w:t>
      </w:r>
    </w:p>
    <w:p w:rsidR="00B13C9D" w:rsidRDefault="00B13C9D" w:rsidP="000F5FA4">
      <w:pPr>
        <w:autoSpaceDE w:val="0"/>
        <w:autoSpaceDN w:val="0"/>
        <w:adjustRightInd w:val="0"/>
        <w:spacing w:after="0" w:line="360" w:lineRule="auto"/>
        <w:ind w:firstLine="2694"/>
        <w:jc w:val="both"/>
        <w:rPr>
          <w:rFonts w:ascii="Arial" w:hAnsi="Arial" w:cs="Arial"/>
          <w:color w:val="000000"/>
          <w:sz w:val="24"/>
          <w:szCs w:val="24"/>
        </w:rPr>
      </w:pPr>
      <w:r>
        <w:rPr>
          <w:rFonts w:ascii="Arial" w:hAnsi="Arial" w:cs="Arial"/>
          <w:b/>
          <w:bCs/>
          <w:color w:val="000000"/>
          <w:sz w:val="24"/>
          <w:szCs w:val="24"/>
        </w:rPr>
        <w:t xml:space="preserve">4) </w:t>
      </w:r>
      <w:r>
        <w:rPr>
          <w:rFonts w:ascii="Arial" w:hAnsi="Arial" w:cs="Arial"/>
          <w:color w:val="000000"/>
          <w:sz w:val="24"/>
          <w:szCs w:val="24"/>
        </w:rPr>
        <w:t>que, asimismo, la División Hacienda informó con fecha 22.12.15, que el gasto por concepto de abonos docentes no contemplados en el artículo 280 de la ley N° 18.172 por la suma de $ 3:167.000 se encuentran previstos en la asignación presupuestal del Ejercicio 2016 en la Financiación Rentas Generales; y también informó que el gasto por abonos docentes contemplados en el artículo 280 de la ley 18.172 por la suma de $975.000 se encuentran previstos en la asignación presupuestal del Ejercicio 2016 en la Financiación Rentas Generales;</w:t>
      </w:r>
    </w:p>
    <w:p w:rsidR="00B13C9D" w:rsidRDefault="00BE23EE" w:rsidP="00BE23EE">
      <w:pPr>
        <w:autoSpaceDE w:val="0"/>
        <w:autoSpaceDN w:val="0"/>
        <w:adjustRightInd w:val="0"/>
        <w:spacing w:after="0" w:line="360" w:lineRule="auto"/>
        <w:ind w:firstLine="2694"/>
        <w:jc w:val="both"/>
        <w:rPr>
          <w:rFonts w:ascii="Arial" w:hAnsi="Arial" w:cs="Arial"/>
          <w:color w:val="000000"/>
          <w:sz w:val="24"/>
          <w:szCs w:val="24"/>
        </w:rPr>
      </w:pPr>
      <w:r>
        <w:rPr>
          <w:rFonts w:ascii="Arial" w:hAnsi="Arial" w:cs="Arial"/>
          <w:b/>
          <w:bCs/>
          <w:color w:val="000000"/>
          <w:sz w:val="24"/>
          <w:szCs w:val="24"/>
        </w:rPr>
        <w:t xml:space="preserve"> </w:t>
      </w:r>
      <w:r w:rsidR="00B13C9D">
        <w:rPr>
          <w:rFonts w:ascii="Arial" w:hAnsi="Arial" w:cs="Arial"/>
          <w:b/>
          <w:bCs/>
          <w:color w:val="000000"/>
          <w:sz w:val="24"/>
          <w:szCs w:val="24"/>
        </w:rPr>
        <w:t>5)</w:t>
      </w:r>
      <w:r w:rsidR="00B13C9D">
        <w:rPr>
          <w:rFonts w:ascii="Arial" w:hAnsi="Arial" w:cs="Arial"/>
          <w:color w:val="000000"/>
          <w:sz w:val="24"/>
          <w:szCs w:val="24"/>
        </w:rPr>
        <w:t xml:space="preserve"> que con fecha 28.12.15, el Área de Contabilidad Financiera del Consejo Directivo Central informó que existiría disponibilidad de crédito presupuestal en el Programa 604 “Educación Media Básica Tecnológica” y en el Programa 605 “Educación Media Superior Tecnológica” Proyecto 207 “Mejoramiento de los Aprendizajes” (ley 19.355), para atender los traslados de los funcionarios del inciso 25, Unidad Ejecutora 03 Consejo de Educación Secundaria, Financiación 1.1, Ejercicio 2016, siendo la cifra estimada para atender dicha erogación  la suma de $ 70:947.000;</w:t>
      </w:r>
    </w:p>
    <w:p w:rsidR="00B13C9D" w:rsidRDefault="00B13C9D" w:rsidP="00BE23EE">
      <w:pPr>
        <w:autoSpaceDE w:val="0"/>
        <w:autoSpaceDN w:val="0"/>
        <w:adjustRightInd w:val="0"/>
        <w:spacing w:after="0" w:line="360" w:lineRule="auto"/>
        <w:ind w:firstLine="2835"/>
        <w:jc w:val="both"/>
        <w:rPr>
          <w:rFonts w:ascii="Arial" w:hAnsi="Arial" w:cs="Arial"/>
          <w:color w:val="000000"/>
          <w:sz w:val="24"/>
          <w:szCs w:val="24"/>
        </w:rPr>
      </w:pPr>
      <w:r>
        <w:rPr>
          <w:rFonts w:ascii="Arial" w:hAnsi="Arial" w:cs="Arial"/>
          <w:b/>
          <w:bCs/>
          <w:color w:val="000000"/>
          <w:sz w:val="24"/>
          <w:szCs w:val="24"/>
        </w:rPr>
        <w:t>6)</w:t>
      </w:r>
      <w:r>
        <w:rPr>
          <w:rFonts w:ascii="Arial" w:hAnsi="Arial" w:cs="Arial"/>
          <w:color w:val="000000"/>
          <w:sz w:val="24"/>
          <w:szCs w:val="24"/>
        </w:rPr>
        <w:t xml:space="preserve"> que en definitiva, según informaron las Divisiones Hacienda de los Consejos de Educación, se proyectaron los siguientes montos y existe disponibilidad para el pago de traslados de docentes que deban viajar fuera del departamento en el que residen para el año 2016:</w:t>
      </w:r>
    </w:p>
    <w:tbl>
      <w:tblPr>
        <w:tblpPr w:leftFromText="141" w:rightFromText="141" w:vertAnchor="text" w:horzAnchor="margin"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45"/>
        <w:gridCol w:w="2299"/>
      </w:tblGrid>
      <w:tr w:rsidR="00B13C9D">
        <w:tc>
          <w:tcPr>
            <w:tcW w:w="6345" w:type="dxa"/>
            <w:vAlign w:val="center"/>
          </w:tcPr>
          <w:p w:rsidR="00B13C9D" w:rsidRDefault="00B13C9D">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Programa 02 “Consejo de Educación Inicial y Primaria”</w:t>
            </w:r>
          </w:p>
        </w:tc>
        <w:tc>
          <w:tcPr>
            <w:tcW w:w="2299" w:type="dxa"/>
            <w:vAlign w:val="center"/>
          </w:tcPr>
          <w:p w:rsidR="00B13C9D" w:rsidRDefault="00B13C9D">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$99:972.976,00</w:t>
            </w:r>
          </w:p>
        </w:tc>
      </w:tr>
      <w:tr w:rsidR="00B13C9D">
        <w:tc>
          <w:tcPr>
            <w:tcW w:w="6345" w:type="dxa"/>
            <w:vAlign w:val="center"/>
          </w:tcPr>
          <w:p w:rsidR="00B13C9D" w:rsidRDefault="00B13C9D">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Programa 03 “Consejo de Educación Secundaria”</w:t>
            </w:r>
          </w:p>
        </w:tc>
        <w:tc>
          <w:tcPr>
            <w:tcW w:w="2299" w:type="dxa"/>
            <w:vAlign w:val="center"/>
          </w:tcPr>
          <w:p w:rsidR="00B13C9D" w:rsidRDefault="00B13C9D">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$70:947.000,00</w:t>
            </w:r>
          </w:p>
        </w:tc>
      </w:tr>
      <w:tr w:rsidR="00B13C9D">
        <w:tc>
          <w:tcPr>
            <w:tcW w:w="6345" w:type="dxa"/>
            <w:vAlign w:val="center"/>
          </w:tcPr>
          <w:p w:rsidR="00B13C9D" w:rsidRDefault="00B13C9D">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Programa 04 “Consejo de Educación Técnico Profesional”</w:t>
            </w:r>
          </w:p>
        </w:tc>
        <w:tc>
          <w:tcPr>
            <w:tcW w:w="2299" w:type="dxa"/>
            <w:vAlign w:val="center"/>
          </w:tcPr>
          <w:p w:rsidR="00B13C9D" w:rsidRDefault="00B13C9D">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$54:389.000,00</w:t>
            </w:r>
          </w:p>
          <w:p w:rsidR="00B13C9D" w:rsidRDefault="00B13C9D">
            <w:pPr>
              <w:autoSpaceDE w:val="0"/>
              <w:autoSpaceDN w:val="0"/>
              <w:adjustRightInd w:val="0"/>
              <w:spacing w:after="0" w:line="360" w:lineRule="auto"/>
              <w:rPr>
                <w:rFonts w:ascii="Arial" w:hAnsi="Arial" w:cs="Arial"/>
                <w:color w:val="000000"/>
                <w:sz w:val="24"/>
                <w:szCs w:val="24"/>
              </w:rPr>
            </w:pPr>
          </w:p>
        </w:tc>
      </w:tr>
      <w:tr w:rsidR="00B13C9D">
        <w:tc>
          <w:tcPr>
            <w:tcW w:w="6345" w:type="dxa"/>
            <w:vAlign w:val="center"/>
          </w:tcPr>
          <w:p w:rsidR="00B13C9D" w:rsidRDefault="00B13C9D">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Programa 05 “Consejo de Formación en Educación”</w:t>
            </w:r>
          </w:p>
        </w:tc>
        <w:tc>
          <w:tcPr>
            <w:tcW w:w="2299" w:type="dxa"/>
            <w:vAlign w:val="center"/>
          </w:tcPr>
          <w:p w:rsidR="00B13C9D" w:rsidRDefault="00B13C9D">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$4:142.000,00</w:t>
            </w:r>
          </w:p>
        </w:tc>
      </w:tr>
      <w:tr w:rsidR="00B13C9D">
        <w:tc>
          <w:tcPr>
            <w:tcW w:w="6345" w:type="dxa"/>
            <w:vAlign w:val="center"/>
          </w:tcPr>
          <w:p w:rsidR="00B13C9D" w:rsidRDefault="00B13C9D">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TOTAL</w:t>
            </w:r>
          </w:p>
        </w:tc>
        <w:tc>
          <w:tcPr>
            <w:tcW w:w="2299" w:type="dxa"/>
            <w:vAlign w:val="center"/>
          </w:tcPr>
          <w:p w:rsidR="00B13C9D" w:rsidRDefault="00B13C9D">
            <w:p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$229:450.976,00</w:t>
            </w:r>
          </w:p>
        </w:tc>
      </w:tr>
    </w:tbl>
    <w:p w:rsidR="00B13C9D" w:rsidRDefault="00B13C9D" w:rsidP="00BE23EE">
      <w:pPr>
        <w:autoSpaceDE w:val="0"/>
        <w:autoSpaceDN w:val="0"/>
        <w:adjustRightInd w:val="0"/>
        <w:spacing w:after="0" w:line="360" w:lineRule="auto"/>
        <w:ind w:firstLine="2835"/>
        <w:jc w:val="both"/>
        <w:rPr>
          <w:rFonts w:ascii="Arial" w:hAnsi="Arial" w:cs="Arial"/>
          <w:color w:val="000000"/>
          <w:sz w:val="24"/>
          <w:szCs w:val="24"/>
        </w:rPr>
      </w:pPr>
      <w:r>
        <w:rPr>
          <w:rFonts w:ascii="Arial" w:hAnsi="Arial" w:cs="Arial"/>
          <w:b/>
          <w:bCs/>
          <w:color w:val="000000"/>
          <w:sz w:val="24"/>
          <w:szCs w:val="24"/>
        </w:rPr>
        <w:lastRenderedPageBreak/>
        <w:t xml:space="preserve">7) </w:t>
      </w:r>
      <w:r>
        <w:rPr>
          <w:rFonts w:ascii="Arial" w:hAnsi="Arial" w:cs="Arial"/>
          <w:color w:val="000000"/>
          <w:sz w:val="24"/>
          <w:szCs w:val="24"/>
        </w:rPr>
        <w:t xml:space="preserve">que por Resolución Nº 11, Acta Nº 6, de fecha 11.02.16, el Consejo Directivo Centra, invocando  la causal prevista en el </w:t>
      </w:r>
      <w:r w:rsidR="00BE23EE">
        <w:rPr>
          <w:rFonts w:ascii="Arial" w:hAnsi="Arial" w:cs="Arial"/>
          <w:color w:val="000000"/>
          <w:sz w:val="24"/>
          <w:szCs w:val="24"/>
        </w:rPr>
        <w:t>A</w:t>
      </w:r>
      <w:r>
        <w:rPr>
          <w:rFonts w:ascii="Arial" w:hAnsi="Arial" w:cs="Arial"/>
          <w:color w:val="000000"/>
          <w:sz w:val="24"/>
          <w:szCs w:val="24"/>
        </w:rPr>
        <w:t xml:space="preserve">rtículo 33 </w:t>
      </w:r>
      <w:r w:rsidR="00BE23EE">
        <w:rPr>
          <w:rFonts w:ascii="Arial" w:hAnsi="Arial" w:cs="Arial"/>
          <w:color w:val="000000"/>
          <w:sz w:val="24"/>
          <w:szCs w:val="24"/>
        </w:rPr>
        <w:t>N</w:t>
      </w:r>
      <w:r>
        <w:rPr>
          <w:rFonts w:ascii="Arial" w:hAnsi="Arial" w:cs="Arial"/>
          <w:color w:val="000000"/>
          <w:sz w:val="24"/>
          <w:szCs w:val="24"/>
        </w:rPr>
        <w:t>umeral 3</w:t>
      </w:r>
      <w:r w:rsidR="00BE23EE">
        <w:rPr>
          <w:rFonts w:ascii="Arial" w:hAnsi="Arial" w:cs="Arial"/>
          <w:color w:val="000000"/>
          <w:sz w:val="24"/>
          <w:szCs w:val="24"/>
        </w:rPr>
        <w:t>)</w:t>
      </w:r>
      <w:r>
        <w:rPr>
          <w:rFonts w:ascii="Arial" w:hAnsi="Arial" w:cs="Arial"/>
          <w:color w:val="000000"/>
          <w:sz w:val="24"/>
          <w:szCs w:val="24"/>
        </w:rPr>
        <w:t xml:space="preserve"> del TOCAF, dispuso autorizar a la División Hacienda del Consejo de Educación Inicial y Primaria a efectuar la liquidación y pago con cargo al grupo 2, Financiación 1.2 “Tributo de Educación Primaria” y a las restantes Divisiones Hacienda de los Consejos de Educación, a realizar la liquidación y pago con cargo al Grupo 2 de la Financiación 1.1 “Rentas Generales” de la facturación que emitan las empresas transportistas, por concepto de abonos emitidos a funcionarios de esa Administración, con cargo a los fondos provenientes de la </w:t>
      </w:r>
      <w:r w:rsidR="00BE23EE">
        <w:rPr>
          <w:rFonts w:ascii="Arial" w:hAnsi="Arial" w:cs="Arial"/>
          <w:color w:val="000000"/>
          <w:sz w:val="24"/>
          <w:szCs w:val="24"/>
        </w:rPr>
        <w:t>L</w:t>
      </w:r>
      <w:r>
        <w:rPr>
          <w:rFonts w:ascii="Arial" w:hAnsi="Arial" w:cs="Arial"/>
          <w:color w:val="000000"/>
          <w:sz w:val="24"/>
          <w:szCs w:val="24"/>
        </w:rPr>
        <w:t>ey N° 19.355;</w:t>
      </w:r>
    </w:p>
    <w:p w:rsidR="00B13C9D" w:rsidRDefault="00DA5B73" w:rsidP="00DA5B73">
      <w:pPr>
        <w:spacing w:after="0" w:line="360" w:lineRule="auto"/>
        <w:jc w:val="both"/>
        <w:rPr>
          <w:rFonts w:ascii="Arial" w:hAnsi="Arial" w:cs="Arial"/>
          <w:color w:val="000000"/>
          <w:sz w:val="24"/>
          <w:szCs w:val="24"/>
        </w:rPr>
      </w:pPr>
      <w:r>
        <w:rPr>
          <w:rFonts w:ascii="Arial" w:hAnsi="Arial" w:cs="Arial"/>
          <w:b/>
          <w:bCs/>
          <w:color w:val="000000"/>
          <w:sz w:val="24"/>
          <w:szCs w:val="24"/>
        </w:rPr>
        <w:tab/>
      </w:r>
      <w:r w:rsidR="00B13C9D">
        <w:rPr>
          <w:rFonts w:ascii="Arial" w:hAnsi="Arial" w:cs="Arial"/>
          <w:b/>
          <w:bCs/>
          <w:color w:val="000000"/>
          <w:sz w:val="24"/>
          <w:szCs w:val="24"/>
        </w:rPr>
        <w:t>CONSIDERANDO:</w:t>
      </w:r>
      <w:r w:rsidR="00B13C9D">
        <w:rPr>
          <w:rFonts w:ascii="Arial" w:hAnsi="Arial" w:cs="Arial"/>
          <w:color w:val="000000"/>
          <w:sz w:val="24"/>
          <w:szCs w:val="24"/>
        </w:rPr>
        <w:t xml:space="preserve"> </w:t>
      </w:r>
      <w:r w:rsidR="00B13C9D">
        <w:rPr>
          <w:rFonts w:ascii="Arial" w:hAnsi="Arial" w:cs="Arial"/>
          <w:b/>
          <w:bCs/>
          <w:color w:val="000000"/>
          <w:sz w:val="24"/>
          <w:szCs w:val="24"/>
        </w:rPr>
        <w:t xml:space="preserve">1) </w:t>
      </w:r>
      <w:r w:rsidR="00B13C9D">
        <w:rPr>
          <w:rFonts w:ascii="Arial" w:hAnsi="Arial" w:cs="Arial"/>
          <w:color w:val="000000"/>
          <w:sz w:val="24"/>
          <w:szCs w:val="24"/>
        </w:rPr>
        <w:t xml:space="preserve">que la causal de excepción invocada se ha configurado en razón de que, según lo informa el Organismo, los servicios de transporte de pasajeros departamentales o interdepartamentales son brindados en forma exclusiva por ciertas empresas concesionarias y/o </w:t>
      </w:r>
      <w:proofErr w:type="spellStart"/>
      <w:r w:rsidR="00B13C9D">
        <w:rPr>
          <w:rFonts w:ascii="Arial" w:hAnsi="Arial" w:cs="Arial"/>
          <w:color w:val="000000"/>
          <w:sz w:val="24"/>
          <w:szCs w:val="24"/>
        </w:rPr>
        <w:t>permisiarias</w:t>
      </w:r>
      <w:proofErr w:type="spellEnd"/>
      <w:r w:rsidR="00B13C9D">
        <w:rPr>
          <w:rFonts w:ascii="Arial" w:hAnsi="Arial" w:cs="Arial"/>
          <w:color w:val="000000"/>
          <w:sz w:val="24"/>
          <w:szCs w:val="24"/>
        </w:rPr>
        <w:t xml:space="preserve"> de líneas regulares de transporte de corta, mediana y larga distancia; </w:t>
      </w:r>
    </w:p>
    <w:p w:rsidR="00B13C9D" w:rsidRDefault="00B13C9D" w:rsidP="00F213A3">
      <w:pPr>
        <w:spacing w:after="0" w:line="360" w:lineRule="auto"/>
        <w:ind w:firstLine="2977"/>
        <w:jc w:val="both"/>
        <w:rPr>
          <w:rFonts w:ascii="Arial" w:hAnsi="Arial" w:cs="Arial"/>
          <w:color w:val="000000"/>
          <w:sz w:val="24"/>
          <w:szCs w:val="24"/>
        </w:rPr>
      </w:pPr>
      <w:r>
        <w:rPr>
          <w:rFonts w:ascii="Arial" w:hAnsi="Arial" w:cs="Arial"/>
          <w:b/>
          <w:bCs/>
          <w:color w:val="000000"/>
          <w:sz w:val="24"/>
          <w:szCs w:val="24"/>
        </w:rPr>
        <w:t xml:space="preserve">2) </w:t>
      </w:r>
      <w:r>
        <w:rPr>
          <w:rFonts w:ascii="Arial" w:hAnsi="Arial" w:cs="Arial"/>
          <w:color w:val="000000"/>
          <w:sz w:val="24"/>
          <w:szCs w:val="24"/>
        </w:rPr>
        <w:t xml:space="preserve">que conforme con lo dispuesto en el </w:t>
      </w:r>
      <w:r w:rsidR="00F213A3">
        <w:rPr>
          <w:rFonts w:ascii="Arial" w:hAnsi="Arial" w:cs="Arial"/>
          <w:color w:val="000000"/>
          <w:sz w:val="24"/>
          <w:szCs w:val="24"/>
        </w:rPr>
        <w:t>A</w:t>
      </w:r>
      <w:r>
        <w:rPr>
          <w:rFonts w:ascii="Arial" w:hAnsi="Arial" w:cs="Arial"/>
          <w:color w:val="000000"/>
          <w:sz w:val="24"/>
          <w:szCs w:val="24"/>
        </w:rPr>
        <w:t>rtículo 132 del TOCAF, se deberá rendir cuenta de las partidas a otorgar;</w:t>
      </w:r>
    </w:p>
    <w:p w:rsidR="00B13C9D" w:rsidRDefault="00F213A3" w:rsidP="00DA5B73">
      <w:pPr>
        <w:spacing w:after="0" w:line="360" w:lineRule="auto"/>
        <w:jc w:val="both"/>
        <w:rPr>
          <w:rFonts w:ascii="Arial" w:hAnsi="Arial" w:cs="Arial"/>
          <w:color w:val="000000"/>
          <w:sz w:val="24"/>
          <w:szCs w:val="24"/>
        </w:rPr>
      </w:pPr>
      <w:r>
        <w:rPr>
          <w:rFonts w:ascii="Arial" w:hAnsi="Arial" w:cs="Arial"/>
          <w:b/>
          <w:bCs/>
          <w:color w:val="000000"/>
          <w:sz w:val="24"/>
          <w:szCs w:val="24"/>
        </w:rPr>
        <w:tab/>
      </w:r>
      <w:r w:rsidR="00B13C9D">
        <w:rPr>
          <w:rFonts w:ascii="Arial" w:hAnsi="Arial" w:cs="Arial"/>
          <w:b/>
          <w:bCs/>
          <w:color w:val="000000"/>
          <w:sz w:val="24"/>
          <w:szCs w:val="24"/>
        </w:rPr>
        <w:t>ATENTO:</w:t>
      </w:r>
      <w:r w:rsidR="00B13C9D">
        <w:rPr>
          <w:rFonts w:ascii="Arial" w:hAnsi="Arial" w:cs="Arial"/>
          <w:color w:val="000000"/>
          <w:sz w:val="24"/>
          <w:szCs w:val="24"/>
        </w:rPr>
        <w:t xml:space="preserve"> a lo expuesto y a lo dispuesto por  el  </w:t>
      </w:r>
      <w:r>
        <w:rPr>
          <w:rFonts w:ascii="Arial" w:hAnsi="Arial" w:cs="Arial"/>
          <w:color w:val="000000"/>
          <w:sz w:val="24"/>
          <w:szCs w:val="24"/>
        </w:rPr>
        <w:t>A</w:t>
      </w:r>
      <w:r w:rsidR="00B13C9D">
        <w:rPr>
          <w:rFonts w:ascii="Arial" w:hAnsi="Arial" w:cs="Arial"/>
          <w:color w:val="000000"/>
          <w:sz w:val="24"/>
          <w:szCs w:val="24"/>
        </w:rPr>
        <w:t xml:space="preserve">rtículo 211 </w:t>
      </w:r>
      <w:r>
        <w:rPr>
          <w:rFonts w:ascii="Arial" w:hAnsi="Arial" w:cs="Arial"/>
          <w:color w:val="000000"/>
          <w:sz w:val="24"/>
          <w:szCs w:val="24"/>
        </w:rPr>
        <w:t>L</w:t>
      </w:r>
      <w:r w:rsidR="00B13C9D">
        <w:rPr>
          <w:rFonts w:ascii="Arial" w:hAnsi="Arial" w:cs="Arial"/>
          <w:color w:val="000000"/>
          <w:sz w:val="24"/>
          <w:szCs w:val="24"/>
        </w:rPr>
        <w:t>iteral  B)  de la Constitución de la República;</w:t>
      </w:r>
    </w:p>
    <w:p w:rsidR="00B13C9D" w:rsidRDefault="00B13C9D" w:rsidP="00DA5B73">
      <w:pPr>
        <w:spacing w:after="0" w:line="360" w:lineRule="auto"/>
        <w:jc w:val="center"/>
        <w:rPr>
          <w:rFonts w:ascii="Arial" w:hAnsi="Arial" w:cs="Arial"/>
          <w:b/>
          <w:bCs/>
          <w:color w:val="000000"/>
          <w:sz w:val="24"/>
          <w:szCs w:val="24"/>
        </w:rPr>
      </w:pPr>
      <w:r>
        <w:rPr>
          <w:rFonts w:ascii="Arial" w:hAnsi="Arial" w:cs="Arial"/>
          <w:b/>
          <w:bCs/>
          <w:color w:val="000000"/>
          <w:sz w:val="24"/>
          <w:szCs w:val="24"/>
        </w:rPr>
        <w:t>EL TRIBUNAL ACUERDA:</w:t>
      </w:r>
    </w:p>
    <w:p w:rsidR="00B13C9D" w:rsidRDefault="00B13C9D" w:rsidP="00F213A3">
      <w:pPr>
        <w:spacing w:after="0" w:line="360" w:lineRule="auto"/>
        <w:ind w:left="284" w:hanging="284"/>
        <w:jc w:val="both"/>
        <w:rPr>
          <w:rFonts w:ascii="Arial" w:hAnsi="Arial" w:cs="Arial"/>
          <w:color w:val="000000"/>
          <w:sz w:val="24"/>
          <w:szCs w:val="24"/>
        </w:rPr>
      </w:pPr>
      <w:r>
        <w:rPr>
          <w:rFonts w:ascii="Arial" w:hAnsi="Arial" w:cs="Arial"/>
          <w:b/>
          <w:bCs/>
          <w:color w:val="000000"/>
          <w:sz w:val="24"/>
          <w:szCs w:val="24"/>
        </w:rPr>
        <w:t>1)</w:t>
      </w:r>
      <w:r>
        <w:rPr>
          <w:rFonts w:ascii="Arial" w:hAnsi="Arial" w:cs="Arial"/>
          <w:color w:val="000000"/>
          <w:sz w:val="24"/>
          <w:szCs w:val="24"/>
        </w:rPr>
        <w:t xml:space="preserve"> Cometer al Contador Delegado la intervención del gasto previo control de su imputación a grupo adecuado con disponibilidad suficiente;</w:t>
      </w:r>
    </w:p>
    <w:p w:rsidR="00B13C9D" w:rsidRDefault="00B13C9D" w:rsidP="00DA5B73">
      <w:pPr>
        <w:spacing w:after="0" w:line="360" w:lineRule="auto"/>
        <w:jc w:val="both"/>
        <w:rPr>
          <w:rFonts w:ascii="Arial" w:hAnsi="Arial" w:cs="Arial"/>
          <w:color w:val="000000"/>
          <w:sz w:val="24"/>
          <w:szCs w:val="24"/>
        </w:rPr>
      </w:pPr>
      <w:r>
        <w:rPr>
          <w:rFonts w:ascii="Arial" w:hAnsi="Arial" w:cs="Arial"/>
          <w:b/>
          <w:bCs/>
          <w:color w:val="000000"/>
          <w:sz w:val="24"/>
          <w:szCs w:val="24"/>
        </w:rPr>
        <w:t>2)</w:t>
      </w:r>
      <w:r>
        <w:rPr>
          <w:rFonts w:ascii="Arial" w:hAnsi="Arial" w:cs="Arial"/>
          <w:color w:val="000000"/>
          <w:sz w:val="24"/>
          <w:szCs w:val="24"/>
        </w:rPr>
        <w:t xml:space="preserve"> Téngase presente lo expresado en el Considerando N° 2;</w:t>
      </w:r>
    </w:p>
    <w:p w:rsidR="00B13C9D" w:rsidRDefault="00B13C9D" w:rsidP="00DA5B73">
      <w:pPr>
        <w:spacing w:after="0" w:line="360" w:lineRule="auto"/>
        <w:jc w:val="both"/>
        <w:rPr>
          <w:rFonts w:ascii="Arial" w:hAnsi="Arial" w:cs="Arial"/>
          <w:color w:val="000000"/>
          <w:sz w:val="24"/>
          <w:szCs w:val="24"/>
        </w:rPr>
      </w:pPr>
      <w:r>
        <w:rPr>
          <w:rFonts w:ascii="Arial" w:hAnsi="Arial" w:cs="Arial"/>
          <w:b/>
          <w:bCs/>
          <w:color w:val="000000"/>
          <w:sz w:val="24"/>
          <w:szCs w:val="24"/>
        </w:rPr>
        <w:t>3)</w:t>
      </w:r>
      <w:r>
        <w:rPr>
          <w:rFonts w:ascii="Arial" w:hAnsi="Arial" w:cs="Arial"/>
          <w:color w:val="000000"/>
          <w:sz w:val="24"/>
          <w:szCs w:val="24"/>
        </w:rPr>
        <w:t xml:space="preserve"> Comunicar al Contador Delegado; y</w:t>
      </w:r>
    </w:p>
    <w:p w:rsidR="00B13C9D" w:rsidRDefault="00B13C9D" w:rsidP="00DA5B73">
      <w:pPr>
        <w:spacing w:after="0" w:line="360" w:lineRule="auto"/>
        <w:jc w:val="both"/>
        <w:rPr>
          <w:rFonts w:ascii="Arial" w:hAnsi="Arial" w:cs="Arial"/>
          <w:color w:val="000000"/>
          <w:sz w:val="24"/>
          <w:szCs w:val="24"/>
        </w:rPr>
      </w:pPr>
      <w:r>
        <w:rPr>
          <w:rFonts w:ascii="Arial" w:hAnsi="Arial" w:cs="Arial"/>
          <w:b/>
          <w:bCs/>
          <w:color w:val="000000"/>
          <w:sz w:val="24"/>
          <w:szCs w:val="24"/>
        </w:rPr>
        <w:t>4)</w:t>
      </w:r>
      <w:r>
        <w:rPr>
          <w:rFonts w:ascii="Arial" w:hAnsi="Arial" w:cs="Arial"/>
          <w:color w:val="000000"/>
          <w:sz w:val="24"/>
          <w:szCs w:val="24"/>
        </w:rPr>
        <w:t xml:space="preserve"> Devolver las actuaciones.</w:t>
      </w:r>
    </w:p>
    <w:p w:rsidR="00B13C9D" w:rsidRDefault="00B13C9D">
      <w:pPr>
        <w:spacing w:line="360" w:lineRule="auto"/>
        <w:jc w:val="both"/>
        <w:rPr>
          <w:rFonts w:ascii="Arial" w:hAnsi="Arial" w:cs="Arial"/>
          <w:i/>
          <w:iCs/>
          <w:color w:val="000000"/>
          <w:sz w:val="24"/>
          <w:szCs w:val="24"/>
        </w:rPr>
      </w:pPr>
    </w:p>
    <w:p w:rsidR="00F213A3" w:rsidRDefault="00F213A3" w:rsidP="00F213A3">
      <w:pPr>
        <w:spacing w:line="360" w:lineRule="auto"/>
        <w:jc w:val="both"/>
        <w:rPr>
          <w:rFonts w:ascii="Arial" w:hAnsi="Arial" w:cs="Arial"/>
          <w:i/>
          <w:iCs/>
          <w:color w:val="000000"/>
          <w:sz w:val="24"/>
          <w:szCs w:val="24"/>
        </w:rPr>
      </w:pPr>
      <w:proofErr w:type="spellStart"/>
      <w:proofErr w:type="gramStart"/>
      <w:r w:rsidRPr="00F213A3">
        <w:rPr>
          <w:rFonts w:ascii="Arial" w:hAnsi="Arial" w:cs="Arial"/>
          <w:iCs/>
          <w:color w:val="000000"/>
          <w:sz w:val="24"/>
          <w:szCs w:val="24"/>
        </w:rPr>
        <w:t>cr</w:t>
      </w:r>
      <w:bookmarkStart w:id="0" w:name="_GoBack"/>
      <w:bookmarkEnd w:id="0"/>
      <w:proofErr w:type="spellEnd"/>
      <w:proofErr w:type="gramEnd"/>
    </w:p>
    <w:sectPr w:rsidR="00F213A3" w:rsidSect="00F213A3">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C9D"/>
    <w:rsid w:val="000F5FA4"/>
    <w:rsid w:val="00187D39"/>
    <w:rsid w:val="009825D0"/>
    <w:rsid w:val="00B13C9D"/>
    <w:rsid w:val="00BE23EE"/>
    <w:rsid w:val="00D73E39"/>
    <w:rsid w:val="00DA5B73"/>
    <w:rsid w:val="00F21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4110</Characters>
  <Application>Microsoft Office Word</Application>
  <DocSecurity>4</DocSecurity>
  <Lines>34</Lines>
  <Paragraphs>9</Paragraphs>
  <ScaleCrop>false</ScaleCrop>
  <HeadingPairs>
    <vt:vector size="2" baseType="variant">
      <vt:variant>
        <vt:lpstr>Título</vt:lpstr>
      </vt:variant>
      <vt:variant>
        <vt:i4>1</vt:i4>
      </vt:variant>
    </vt:vector>
  </HeadingPairs>
  <TitlesOfParts>
    <vt:vector size="1" baseType="lpstr">
      <vt:lpstr>CARPETA N°: 2016-17-1-0001326</vt:lpstr>
    </vt:vector>
  </TitlesOfParts>
  <Company>Tribunal de Cuentas</Company>
  <LinksUpToDate>false</LinksUpToDate>
  <CharactersWithSpaces>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2016-17-1-0001326</dc:title>
  <dc:subject/>
  <dc:creator>MARIA ALEJANDRA ALVAREZ LOPEZ</dc:creator>
  <cp:keywords/>
  <dc:description/>
  <cp:lastModifiedBy>Miriam Cristina Rivero</cp:lastModifiedBy>
  <cp:revision>2</cp:revision>
  <cp:lastPrinted>2016-03-31T18:32:00Z</cp:lastPrinted>
  <dcterms:created xsi:type="dcterms:W3CDTF">2016-03-31T18:33:00Z</dcterms:created>
  <dcterms:modified xsi:type="dcterms:W3CDTF">2016-03-31T18:33:00Z</dcterms:modified>
</cp:coreProperties>
</file>