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B33" w:rsidRPr="00786EEB" w:rsidRDefault="00ED0B33" w:rsidP="00ED0B33">
      <w:pPr>
        <w:tabs>
          <w:tab w:val="center" w:pos="4253"/>
        </w:tabs>
        <w:suppressAutoHyphens/>
        <w:jc w:val="right"/>
        <w:rPr>
          <w:rFonts w:ascii="Arial" w:hAnsi="Arial" w:cs="Arial"/>
          <w:b/>
          <w:sz w:val="28"/>
          <w:szCs w:val="28"/>
          <w:lang w:val="es-ES_tradnl"/>
        </w:rPr>
      </w:pPr>
      <w:bookmarkStart w:id="0" w:name="_GoBack"/>
      <w:bookmarkEnd w:id="0"/>
      <w:r w:rsidRPr="00786EEB">
        <w:rPr>
          <w:rFonts w:ascii="Arial" w:hAnsi="Arial" w:cs="Arial"/>
          <w:b/>
          <w:sz w:val="28"/>
          <w:szCs w:val="28"/>
          <w:lang w:val="es-ES_tradnl"/>
        </w:rPr>
        <w:t xml:space="preserve">RES. </w:t>
      </w:r>
      <w:r>
        <w:rPr>
          <w:rFonts w:ascii="Arial" w:hAnsi="Arial" w:cs="Arial"/>
          <w:b/>
          <w:sz w:val="28"/>
          <w:szCs w:val="28"/>
          <w:lang w:val="es-ES_tradnl"/>
        </w:rPr>
        <w:t>915</w:t>
      </w:r>
      <w:r w:rsidRPr="00786EEB">
        <w:rPr>
          <w:rFonts w:ascii="Arial" w:hAnsi="Arial" w:cs="Arial"/>
          <w:b/>
          <w:sz w:val="28"/>
          <w:szCs w:val="28"/>
          <w:lang w:val="es-ES_tradnl"/>
        </w:rPr>
        <w:t>/16</w:t>
      </w:r>
    </w:p>
    <w:p w:rsidR="00ED0B33" w:rsidRDefault="00ED0B33" w:rsidP="00276C50">
      <w:pPr>
        <w:tabs>
          <w:tab w:val="center" w:pos="4253"/>
        </w:tabs>
        <w:suppressAutoHyphens/>
        <w:jc w:val="right"/>
        <w:rPr>
          <w:rFonts w:ascii="Arial" w:hAnsi="Arial" w:cs="Arial"/>
          <w:b/>
          <w:lang w:val="es-ES_tradnl"/>
        </w:rPr>
      </w:pPr>
    </w:p>
    <w:p w:rsidR="00ED0B33" w:rsidRPr="00ED0B33" w:rsidRDefault="00ED0B33" w:rsidP="00ED0B33">
      <w:pPr>
        <w:tabs>
          <w:tab w:val="center" w:pos="4253"/>
        </w:tabs>
        <w:suppressAutoHyphens/>
        <w:spacing w:after="0" w:line="240" w:lineRule="auto"/>
        <w:jc w:val="center"/>
        <w:rPr>
          <w:rFonts w:ascii="Arial" w:hAnsi="Arial" w:cs="Arial"/>
          <w:b/>
          <w:sz w:val="24"/>
          <w:szCs w:val="24"/>
          <w:lang w:val="es-ES_tradnl"/>
        </w:rPr>
      </w:pPr>
      <w:r w:rsidRPr="00ED0B33">
        <w:rPr>
          <w:rFonts w:ascii="Arial" w:hAnsi="Arial" w:cs="Arial"/>
          <w:b/>
          <w:sz w:val="24"/>
          <w:szCs w:val="24"/>
          <w:lang w:val="es-ES_tradnl"/>
        </w:rPr>
        <w:t>RESOLUCION ADOPTADA POR EL</w:t>
      </w:r>
    </w:p>
    <w:p w:rsidR="00ED0B33" w:rsidRPr="00ED0B33" w:rsidRDefault="00ED0B33" w:rsidP="00ED0B33">
      <w:pPr>
        <w:tabs>
          <w:tab w:val="left" w:pos="-720"/>
        </w:tabs>
        <w:suppressAutoHyphens/>
        <w:spacing w:after="0" w:line="240" w:lineRule="auto"/>
        <w:jc w:val="center"/>
        <w:rPr>
          <w:rFonts w:ascii="Arial" w:hAnsi="Arial" w:cs="Arial"/>
          <w:b/>
          <w:sz w:val="24"/>
          <w:szCs w:val="24"/>
          <w:lang w:val="es-ES_tradnl"/>
        </w:rPr>
      </w:pPr>
    </w:p>
    <w:p w:rsidR="00ED0B33" w:rsidRPr="00ED0B33" w:rsidRDefault="00ED0B33" w:rsidP="00ED0B33">
      <w:pPr>
        <w:tabs>
          <w:tab w:val="center" w:pos="4253"/>
        </w:tabs>
        <w:suppressAutoHyphens/>
        <w:spacing w:after="0" w:line="240" w:lineRule="auto"/>
        <w:jc w:val="center"/>
        <w:rPr>
          <w:rFonts w:ascii="Arial" w:hAnsi="Arial" w:cs="Arial"/>
          <w:b/>
          <w:sz w:val="24"/>
          <w:szCs w:val="24"/>
          <w:lang w:val="es-ES_tradnl"/>
        </w:rPr>
      </w:pPr>
      <w:r w:rsidRPr="00ED0B33">
        <w:rPr>
          <w:rFonts w:ascii="Arial" w:hAnsi="Arial" w:cs="Arial"/>
          <w:b/>
          <w:sz w:val="24"/>
          <w:szCs w:val="24"/>
          <w:lang w:val="es-ES_tradnl"/>
        </w:rPr>
        <w:t>TRIBUNAL DE CUENTAS</w:t>
      </w:r>
    </w:p>
    <w:p w:rsidR="00ED0B33" w:rsidRPr="00ED0B33" w:rsidRDefault="00ED0B33" w:rsidP="00ED0B33">
      <w:pPr>
        <w:tabs>
          <w:tab w:val="left" w:pos="-720"/>
        </w:tabs>
        <w:suppressAutoHyphens/>
        <w:spacing w:after="0" w:line="240" w:lineRule="auto"/>
        <w:jc w:val="center"/>
        <w:rPr>
          <w:rFonts w:ascii="Arial" w:hAnsi="Arial" w:cs="Arial"/>
          <w:b/>
          <w:sz w:val="24"/>
          <w:szCs w:val="24"/>
          <w:lang w:val="es-ES_tradnl"/>
        </w:rPr>
      </w:pPr>
    </w:p>
    <w:p w:rsidR="00ED0B33" w:rsidRPr="00ED0B33" w:rsidRDefault="00ED0B33" w:rsidP="00ED0B33">
      <w:pPr>
        <w:tabs>
          <w:tab w:val="center" w:pos="4253"/>
        </w:tabs>
        <w:suppressAutoHyphens/>
        <w:spacing w:after="0" w:line="240" w:lineRule="auto"/>
        <w:jc w:val="center"/>
        <w:rPr>
          <w:rFonts w:ascii="Arial" w:hAnsi="Arial" w:cs="Arial"/>
          <w:b/>
          <w:sz w:val="24"/>
          <w:szCs w:val="24"/>
          <w:lang w:val="es-ES_tradnl"/>
        </w:rPr>
      </w:pPr>
      <w:r w:rsidRPr="00ED0B33">
        <w:rPr>
          <w:rFonts w:ascii="Arial" w:hAnsi="Arial" w:cs="Arial"/>
          <w:b/>
          <w:sz w:val="24"/>
          <w:szCs w:val="24"/>
          <w:lang w:val="es-ES_tradnl"/>
        </w:rPr>
        <w:t>EN SESION DE FECHA 16 DE MARZO  DE 2016</w:t>
      </w:r>
    </w:p>
    <w:p w:rsidR="00ED0B33" w:rsidRPr="00ED0B33" w:rsidRDefault="00ED0B33" w:rsidP="00ED0B33">
      <w:pPr>
        <w:tabs>
          <w:tab w:val="center" w:pos="4253"/>
        </w:tabs>
        <w:suppressAutoHyphens/>
        <w:spacing w:after="0" w:line="240" w:lineRule="auto"/>
        <w:jc w:val="center"/>
        <w:rPr>
          <w:rFonts w:ascii="Arial" w:hAnsi="Arial" w:cs="Arial"/>
          <w:b/>
          <w:sz w:val="24"/>
          <w:szCs w:val="24"/>
          <w:lang w:val="es-ES_tradnl"/>
        </w:rPr>
      </w:pPr>
    </w:p>
    <w:p w:rsidR="00ED0B33" w:rsidRPr="00ED0B33" w:rsidRDefault="00ED0B33" w:rsidP="00ED0B33">
      <w:pPr>
        <w:autoSpaceDE w:val="0"/>
        <w:autoSpaceDN w:val="0"/>
        <w:adjustRightInd w:val="0"/>
        <w:spacing w:after="0" w:line="240" w:lineRule="auto"/>
        <w:jc w:val="center"/>
        <w:rPr>
          <w:rFonts w:ascii="Arial" w:hAnsi="Arial" w:cs="Arial"/>
          <w:b/>
          <w:bCs/>
          <w:sz w:val="24"/>
          <w:szCs w:val="24"/>
        </w:rPr>
      </w:pPr>
      <w:r w:rsidRPr="00ED0B33">
        <w:rPr>
          <w:rFonts w:ascii="Arial" w:hAnsi="Arial" w:cs="Arial"/>
          <w:b/>
          <w:sz w:val="24"/>
          <w:szCs w:val="24"/>
          <w:lang w:val="es-UY"/>
        </w:rPr>
        <w:t xml:space="preserve">(E. E. Nº </w:t>
      </w:r>
      <w:r w:rsidRPr="00ED0B33">
        <w:rPr>
          <w:rFonts w:ascii="Arial" w:hAnsi="Arial" w:cs="Arial"/>
          <w:b/>
          <w:bCs/>
          <w:sz w:val="24"/>
          <w:szCs w:val="24"/>
        </w:rPr>
        <w:t>2015-17-1-0003602</w:t>
      </w:r>
      <w:r w:rsidRPr="00ED0B33">
        <w:rPr>
          <w:rFonts w:ascii="Arial" w:hAnsi="Arial" w:cs="Arial"/>
          <w:b/>
          <w:sz w:val="24"/>
          <w:szCs w:val="24"/>
          <w:lang w:val="es-UY"/>
        </w:rPr>
        <w:t xml:space="preserve">, </w:t>
      </w:r>
      <w:proofErr w:type="spellStart"/>
      <w:r w:rsidRPr="00ED0B33">
        <w:rPr>
          <w:rFonts w:ascii="Arial" w:hAnsi="Arial" w:cs="Arial"/>
          <w:b/>
          <w:sz w:val="24"/>
          <w:szCs w:val="24"/>
          <w:lang w:val="es-UY"/>
        </w:rPr>
        <w:t>Ent</w:t>
      </w:r>
      <w:proofErr w:type="spellEnd"/>
      <w:r w:rsidRPr="00ED0B33">
        <w:rPr>
          <w:rFonts w:ascii="Arial" w:hAnsi="Arial" w:cs="Arial"/>
          <w:b/>
          <w:sz w:val="24"/>
          <w:szCs w:val="24"/>
          <w:lang w:val="es-UY"/>
        </w:rPr>
        <w:t xml:space="preserve">. N° </w:t>
      </w:r>
      <w:r w:rsidRPr="00ED0B33">
        <w:rPr>
          <w:rFonts w:ascii="Arial" w:hAnsi="Arial" w:cs="Arial"/>
          <w:b/>
          <w:bCs/>
          <w:sz w:val="24"/>
          <w:szCs w:val="24"/>
        </w:rPr>
        <w:t>564/</w:t>
      </w:r>
      <w:r>
        <w:rPr>
          <w:rFonts w:ascii="Arial" w:hAnsi="Arial" w:cs="Arial"/>
          <w:b/>
          <w:bCs/>
          <w:sz w:val="24"/>
          <w:szCs w:val="24"/>
        </w:rPr>
        <w:t>16</w:t>
      </w:r>
      <w:r w:rsidRPr="00ED0B33">
        <w:rPr>
          <w:rFonts w:ascii="Arial" w:hAnsi="Arial" w:cs="Arial"/>
          <w:b/>
          <w:sz w:val="24"/>
          <w:szCs w:val="24"/>
          <w:lang w:val="es-UY"/>
        </w:rPr>
        <w:t>)</w:t>
      </w:r>
    </w:p>
    <w:p w:rsidR="00ED0B33" w:rsidRPr="00ED0B33" w:rsidRDefault="00ED0B33">
      <w:pPr>
        <w:tabs>
          <w:tab w:val="center" w:pos="4253"/>
        </w:tabs>
        <w:suppressAutoHyphens/>
        <w:jc w:val="center"/>
        <w:rPr>
          <w:rFonts w:ascii="Helvetica" w:hAnsi="Helvetica"/>
          <w:b/>
          <w:lang w:val="es-UY"/>
        </w:rPr>
      </w:pPr>
    </w:p>
    <w:p w:rsidR="00DB690C" w:rsidRPr="009F3311" w:rsidRDefault="00DB690C" w:rsidP="00ED0B33">
      <w:pPr>
        <w:autoSpaceDE w:val="0"/>
        <w:autoSpaceDN w:val="0"/>
        <w:adjustRightInd w:val="0"/>
        <w:spacing w:after="0" w:line="360" w:lineRule="auto"/>
        <w:ind w:firstLine="851"/>
        <w:jc w:val="both"/>
        <w:rPr>
          <w:rFonts w:ascii="Arial" w:hAnsi="Arial" w:cs="Arial"/>
          <w:sz w:val="24"/>
          <w:szCs w:val="24"/>
        </w:rPr>
      </w:pPr>
      <w:r w:rsidRPr="009F3311">
        <w:rPr>
          <w:rFonts w:ascii="Arial" w:hAnsi="Arial" w:cs="Arial"/>
          <w:b/>
          <w:bCs/>
          <w:sz w:val="24"/>
          <w:szCs w:val="24"/>
        </w:rPr>
        <w:t>VISTO Y CONSIDERANDO</w:t>
      </w:r>
      <w:r w:rsidRPr="00276C50">
        <w:rPr>
          <w:rFonts w:ascii="Arial" w:hAnsi="Arial" w:cs="Arial"/>
          <w:b/>
          <w:sz w:val="24"/>
          <w:szCs w:val="24"/>
        </w:rPr>
        <w:t>:</w:t>
      </w:r>
      <w:r w:rsidRPr="009F3311">
        <w:rPr>
          <w:rFonts w:ascii="Arial" w:hAnsi="Arial" w:cs="Arial"/>
          <w:sz w:val="24"/>
          <w:szCs w:val="24"/>
        </w:rPr>
        <w:t xml:space="preserve"> </w:t>
      </w:r>
      <w:r w:rsidR="0038173F">
        <w:rPr>
          <w:rFonts w:ascii="Arial" w:hAnsi="Arial" w:cs="Arial"/>
          <w:sz w:val="24"/>
          <w:szCs w:val="24"/>
        </w:rPr>
        <w:t xml:space="preserve">los antecedentes remitidos por la Junta Departamental de Maldonado relativos a </w:t>
      </w:r>
      <w:r w:rsidRPr="009F3311">
        <w:rPr>
          <w:rFonts w:ascii="Arial" w:hAnsi="Arial" w:cs="Arial"/>
          <w:sz w:val="24"/>
          <w:szCs w:val="24"/>
        </w:rPr>
        <w:t xml:space="preserve">la </w:t>
      </w:r>
      <w:r w:rsidR="00E52499">
        <w:rPr>
          <w:rFonts w:ascii="Arial" w:hAnsi="Arial" w:cs="Arial"/>
          <w:sz w:val="24"/>
          <w:szCs w:val="24"/>
        </w:rPr>
        <w:t>Resolución Nº 424/2016 de la Intendencia, por la que se</w:t>
      </w:r>
      <w:r w:rsidRPr="009F3311">
        <w:rPr>
          <w:rFonts w:ascii="Arial" w:hAnsi="Arial" w:cs="Arial"/>
          <w:sz w:val="24"/>
          <w:szCs w:val="24"/>
        </w:rPr>
        <w:t xml:space="preserve"> </w:t>
      </w:r>
      <w:r w:rsidR="00E52499">
        <w:rPr>
          <w:rFonts w:ascii="Arial" w:hAnsi="Arial" w:cs="Arial"/>
          <w:bCs/>
          <w:sz w:val="24"/>
          <w:szCs w:val="24"/>
        </w:rPr>
        <w:t xml:space="preserve">dispuso requerir autorización a </w:t>
      </w:r>
      <w:r w:rsidR="0038173F">
        <w:rPr>
          <w:rFonts w:ascii="Arial" w:hAnsi="Arial" w:cs="Arial"/>
          <w:bCs/>
          <w:sz w:val="24"/>
          <w:szCs w:val="24"/>
        </w:rPr>
        <w:t>dicha Corporación</w:t>
      </w:r>
      <w:r w:rsidR="00E52499">
        <w:rPr>
          <w:rFonts w:ascii="Arial" w:hAnsi="Arial" w:cs="Arial"/>
          <w:bCs/>
          <w:sz w:val="24"/>
          <w:szCs w:val="24"/>
        </w:rPr>
        <w:t xml:space="preserve"> a efectos de ajustar la aprobación realizada por Resolución Nº 144/2015, </w:t>
      </w:r>
      <w:r w:rsidRPr="009F3311">
        <w:rPr>
          <w:rFonts w:ascii="Arial" w:hAnsi="Arial" w:cs="Arial"/>
          <w:sz w:val="24"/>
          <w:szCs w:val="24"/>
        </w:rPr>
        <w:t xml:space="preserve">para la obtención de líneas de crédito con destino a atender el déficit acumulado, reconstruir los fondos operativos del Ejecutivo y financiar </w:t>
      </w:r>
      <w:r w:rsidR="00E52499">
        <w:rPr>
          <w:rFonts w:ascii="Arial" w:hAnsi="Arial" w:cs="Arial"/>
          <w:sz w:val="24"/>
          <w:szCs w:val="24"/>
        </w:rPr>
        <w:t xml:space="preserve">el Plan de Obras Departamental, </w:t>
      </w:r>
      <w:r w:rsidRPr="009F3311">
        <w:rPr>
          <w:rFonts w:ascii="Arial" w:hAnsi="Arial" w:cs="Arial"/>
          <w:sz w:val="24"/>
          <w:szCs w:val="24"/>
        </w:rPr>
        <w:t xml:space="preserve">en cumplimiento de lo dispuesto por el </w:t>
      </w:r>
      <w:r w:rsidR="00ED0B33">
        <w:rPr>
          <w:rFonts w:ascii="Arial" w:hAnsi="Arial" w:cs="Arial"/>
          <w:sz w:val="24"/>
          <w:szCs w:val="24"/>
        </w:rPr>
        <w:t>I</w:t>
      </w:r>
      <w:r w:rsidRPr="009F3311">
        <w:rPr>
          <w:rFonts w:ascii="Arial" w:hAnsi="Arial" w:cs="Arial"/>
          <w:sz w:val="24"/>
          <w:szCs w:val="24"/>
        </w:rPr>
        <w:t>n</w:t>
      </w:r>
      <w:r>
        <w:rPr>
          <w:rFonts w:ascii="Arial" w:hAnsi="Arial" w:cs="Arial"/>
          <w:sz w:val="24"/>
          <w:szCs w:val="24"/>
        </w:rPr>
        <w:t>c</w:t>
      </w:r>
      <w:r w:rsidRPr="009F3311">
        <w:rPr>
          <w:rFonts w:ascii="Arial" w:hAnsi="Arial" w:cs="Arial"/>
          <w:sz w:val="24"/>
          <w:szCs w:val="24"/>
        </w:rPr>
        <w:t>iso 2</w:t>
      </w:r>
      <w:r>
        <w:rPr>
          <w:rFonts w:ascii="Arial" w:hAnsi="Arial" w:cs="Arial"/>
          <w:sz w:val="24"/>
          <w:szCs w:val="24"/>
        </w:rPr>
        <w:t>º</w:t>
      </w:r>
      <w:r w:rsidRPr="009F3311">
        <w:rPr>
          <w:rFonts w:ascii="Arial" w:hAnsi="Arial" w:cs="Arial"/>
          <w:sz w:val="24"/>
          <w:szCs w:val="24"/>
        </w:rPr>
        <w:t xml:space="preserve"> del Artículo 301 de la Constitución de la República;</w:t>
      </w:r>
    </w:p>
    <w:p w:rsidR="00DB690C" w:rsidRPr="00ED0B33" w:rsidRDefault="00DB690C" w:rsidP="00ED0B33">
      <w:pPr>
        <w:tabs>
          <w:tab w:val="left" w:pos="-1440"/>
          <w:tab w:val="left" w:pos="-720"/>
          <w:tab w:val="left" w:pos="0"/>
          <w:tab w:val="left" w:pos="720"/>
          <w:tab w:val="left" w:pos="1440"/>
          <w:tab w:val="left" w:pos="2160"/>
          <w:tab w:val="left" w:pos="2448"/>
          <w:tab w:val="left" w:pos="6480"/>
          <w:tab w:val="left" w:pos="7920"/>
        </w:tabs>
        <w:suppressAutoHyphens/>
        <w:spacing w:after="0" w:line="360" w:lineRule="auto"/>
        <w:ind w:firstLine="851"/>
        <w:jc w:val="both"/>
        <w:rPr>
          <w:rFonts w:ascii="Arial" w:hAnsi="Arial" w:cs="Arial"/>
          <w:sz w:val="24"/>
          <w:szCs w:val="24"/>
        </w:rPr>
      </w:pPr>
      <w:r w:rsidRPr="009F3311">
        <w:rPr>
          <w:rFonts w:ascii="Arial" w:hAnsi="Arial" w:cs="Arial"/>
          <w:b/>
          <w:bCs/>
          <w:sz w:val="24"/>
          <w:szCs w:val="24"/>
        </w:rPr>
        <w:t>ATENTO</w:t>
      </w:r>
      <w:r w:rsidRPr="00276C50">
        <w:rPr>
          <w:rFonts w:ascii="Arial" w:hAnsi="Arial" w:cs="Arial"/>
          <w:b/>
          <w:sz w:val="24"/>
          <w:szCs w:val="24"/>
        </w:rPr>
        <w:t>:</w:t>
      </w:r>
      <w:r w:rsidRPr="009F3311">
        <w:rPr>
          <w:rFonts w:ascii="Arial" w:hAnsi="Arial" w:cs="Arial"/>
          <w:sz w:val="24"/>
          <w:szCs w:val="24"/>
        </w:rPr>
        <w:t xml:space="preserve"> a lo establecido precedentemente;</w:t>
      </w:r>
    </w:p>
    <w:p w:rsidR="00DB690C" w:rsidRPr="004E256D" w:rsidRDefault="00DB690C" w:rsidP="00ED0B33">
      <w:pPr>
        <w:tabs>
          <w:tab w:val="left" w:pos="-1440"/>
          <w:tab w:val="left" w:pos="-720"/>
          <w:tab w:val="left" w:pos="0"/>
          <w:tab w:val="left" w:pos="720"/>
          <w:tab w:val="left" w:pos="1440"/>
          <w:tab w:val="left" w:pos="2160"/>
          <w:tab w:val="left" w:pos="2448"/>
          <w:tab w:val="left" w:pos="6480"/>
          <w:tab w:val="left" w:pos="7920"/>
        </w:tabs>
        <w:suppressAutoHyphens/>
        <w:spacing w:after="0" w:line="360" w:lineRule="auto"/>
        <w:jc w:val="center"/>
        <w:rPr>
          <w:rFonts w:ascii="Arial" w:hAnsi="Arial" w:cs="Arial"/>
          <w:b/>
          <w:bCs/>
          <w:sz w:val="24"/>
          <w:szCs w:val="24"/>
        </w:rPr>
      </w:pPr>
      <w:r w:rsidRPr="004E256D">
        <w:rPr>
          <w:rFonts w:ascii="Arial" w:hAnsi="Arial" w:cs="Arial"/>
          <w:b/>
          <w:bCs/>
          <w:sz w:val="24"/>
          <w:szCs w:val="24"/>
        </w:rPr>
        <w:t>EL TRIBUNAL ACUERDA</w:t>
      </w:r>
    </w:p>
    <w:p w:rsidR="00DB690C" w:rsidRPr="00ED0B33" w:rsidRDefault="00DB690C" w:rsidP="00ED0B33">
      <w:pPr>
        <w:pStyle w:val="Prrafodelista"/>
        <w:numPr>
          <w:ilvl w:val="0"/>
          <w:numId w:val="1"/>
        </w:numPr>
        <w:tabs>
          <w:tab w:val="left" w:pos="-1440"/>
          <w:tab w:val="left" w:pos="-720"/>
          <w:tab w:val="left" w:pos="0"/>
          <w:tab w:val="left" w:pos="426"/>
          <w:tab w:val="left" w:pos="851"/>
          <w:tab w:val="left" w:pos="1440"/>
          <w:tab w:val="left" w:pos="2160"/>
          <w:tab w:val="left" w:pos="2448"/>
          <w:tab w:val="left" w:pos="6480"/>
          <w:tab w:val="left" w:pos="7920"/>
        </w:tabs>
        <w:suppressAutoHyphens/>
        <w:spacing w:after="0" w:line="360" w:lineRule="auto"/>
        <w:ind w:left="0" w:firstLine="0"/>
        <w:jc w:val="both"/>
        <w:rPr>
          <w:rFonts w:ascii="Arial" w:hAnsi="Arial" w:cs="Arial"/>
          <w:sz w:val="24"/>
          <w:szCs w:val="24"/>
        </w:rPr>
      </w:pPr>
      <w:r w:rsidRPr="00ED0B33">
        <w:rPr>
          <w:rFonts w:ascii="Arial" w:hAnsi="Arial" w:cs="Arial"/>
          <w:sz w:val="24"/>
          <w:szCs w:val="24"/>
        </w:rPr>
        <w:t>Aprobar el informe que se adjunta</w:t>
      </w:r>
      <w:r w:rsidR="00ED0B33">
        <w:rPr>
          <w:rFonts w:ascii="Arial" w:hAnsi="Arial" w:cs="Arial"/>
          <w:sz w:val="24"/>
          <w:szCs w:val="24"/>
        </w:rPr>
        <w:t>;</w:t>
      </w:r>
    </w:p>
    <w:p w:rsidR="00DB690C" w:rsidRDefault="00DB690C" w:rsidP="00DB690C">
      <w:pPr>
        <w:numPr>
          <w:ilvl w:val="0"/>
          <w:numId w:val="1"/>
        </w:numPr>
        <w:tabs>
          <w:tab w:val="left" w:pos="-1440"/>
          <w:tab w:val="left" w:pos="-720"/>
          <w:tab w:val="left" w:pos="0"/>
          <w:tab w:val="left" w:pos="426"/>
          <w:tab w:val="left" w:pos="851"/>
          <w:tab w:val="left" w:pos="1440"/>
          <w:tab w:val="left" w:pos="2160"/>
          <w:tab w:val="left" w:pos="2448"/>
          <w:tab w:val="left" w:pos="6480"/>
          <w:tab w:val="left" w:pos="7920"/>
        </w:tabs>
        <w:suppressAutoHyphens/>
        <w:spacing w:after="0" w:line="360" w:lineRule="auto"/>
        <w:ind w:left="357" w:hanging="357"/>
        <w:jc w:val="both"/>
        <w:rPr>
          <w:rFonts w:ascii="Arial" w:hAnsi="Arial" w:cs="Arial"/>
          <w:sz w:val="24"/>
          <w:szCs w:val="24"/>
        </w:rPr>
      </w:pPr>
      <w:r w:rsidRPr="00ED01F7">
        <w:rPr>
          <w:rFonts w:ascii="Arial" w:hAnsi="Arial" w:cs="Arial"/>
          <w:sz w:val="24"/>
          <w:szCs w:val="24"/>
        </w:rPr>
        <w:t xml:space="preserve">Comunicar a la </w:t>
      </w:r>
      <w:r>
        <w:rPr>
          <w:rFonts w:ascii="Arial" w:hAnsi="Arial" w:cs="Arial"/>
          <w:sz w:val="24"/>
          <w:szCs w:val="24"/>
        </w:rPr>
        <w:t xml:space="preserve">Intendencia y a la </w:t>
      </w:r>
      <w:r w:rsidRPr="00ED01F7">
        <w:rPr>
          <w:rFonts w:ascii="Arial" w:hAnsi="Arial" w:cs="Arial"/>
          <w:sz w:val="24"/>
          <w:szCs w:val="24"/>
        </w:rPr>
        <w:t>Junta Departamental de Maldonado</w:t>
      </w:r>
      <w:r w:rsidR="00ED0B33">
        <w:rPr>
          <w:rFonts w:ascii="Arial" w:hAnsi="Arial" w:cs="Arial"/>
          <w:sz w:val="24"/>
          <w:szCs w:val="24"/>
        </w:rPr>
        <w:t>;</w:t>
      </w:r>
    </w:p>
    <w:p w:rsidR="00DB690C" w:rsidRPr="00ED01F7" w:rsidRDefault="00DB690C" w:rsidP="00DB690C">
      <w:pPr>
        <w:numPr>
          <w:ilvl w:val="0"/>
          <w:numId w:val="1"/>
        </w:numPr>
        <w:tabs>
          <w:tab w:val="left" w:pos="-1440"/>
          <w:tab w:val="left" w:pos="-720"/>
          <w:tab w:val="left" w:pos="0"/>
          <w:tab w:val="left" w:pos="426"/>
          <w:tab w:val="left" w:pos="851"/>
          <w:tab w:val="left" w:pos="1440"/>
          <w:tab w:val="left" w:pos="2160"/>
          <w:tab w:val="left" w:pos="2448"/>
          <w:tab w:val="left" w:pos="6480"/>
          <w:tab w:val="left" w:pos="7920"/>
        </w:tabs>
        <w:suppressAutoHyphens/>
        <w:spacing w:after="0" w:line="360" w:lineRule="auto"/>
        <w:ind w:left="357" w:hanging="357"/>
        <w:jc w:val="both"/>
        <w:rPr>
          <w:rFonts w:ascii="Arial" w:hAnsi="Arial" w:cs="Arial"/>
          <w:sz w:val="24"/>
          <w:szCs w:val="24"/>
        </w:rPr>
      </w:pPr>
      <w:r>
        <w:rPr>
          <w:rFonts w:ascii="Arial" w:hAnsi="Arial" w:cs="Arial"/>
          <w:sz w:val="24"/>
          <w:szCs w:val="24"/>
        </w:rPr>
        <w:t>Devolver los antecedentes.</w:t>
      </w:r>
    </w:p>
    <w:p w:rsidR="00DB690C" w:rsidRDefault="00DB690C" w:rsidP="00DB690C">
      <w:pPr>
        <w:tabs>
          <w:tab w:val="left" w:pos="-1440"/>
          <w:tab w:val="left" w:pos="-720"/>
          <w:tab w:val="left" w:pos="0"/>
          <w:tab w:val="left" w:pos="720"/>
          <w:tab w:val="left" w:pos="1440"/>
          <w:tab w:val="left" w:pos="2160"/>
          <w:tab w:val="left" w:pos="2448"/>
          <w:tab w:val="left" w:pos="6480"/>
          <w:tab w:val="left" w:pos="7920"/>
        </w:tabs>
        <w:suppressAutoHyphens/>
        <w:spacing w:line="360" w:lineRule="auto"/>
        <w:jc w:val="both"/>
        <w:rPr>
          <w:rFonts w:ascii="Arial" w:hAnsi="Arial" w:cs="Arial"/>
          <w:sz w:val="24"/>
          <w:szCs w:val="24"/>
        </w:rPr>
      </w:pPr>
    </w:p>
    <w:p w:rsidR="00276C50" w:rsidRDefault="00276C50" w:rsidP="00DB690C">
      <w:pPr>
        <w:tabs>
          <w:tab w:val="left" w:pos="-1440"/>
          <w:tab w:val="left" w:pos="-720"/>
          <w:tab w:val="left" w:pos="0"/>
          <w:tab w:val="left" w:pos="720"/>
          <w:tab w:val="left" w:pos="1440"/>
          <w:tab w:val="left" w:pos="2160"/>
          <w:tab w:val="left" w:pos="2448"/>
          <w:tab w:val="left" w:pos="6480"/>
          <w:tab w:val="left" w:pos="7920"/>
        </w:tabs>
        <w:suppressAutoHyphens/>
        <w:spacing w:line="360" w:lineRule="auto"/>
        <w:jc w:val="both"/>
        <w:rPr>
          <w:rFonts w:ascii="Arial" w:hAnsi="Arial" w:cs="Arial"/>
          <w:sz w:val="24"/>
          <w:szCs w:val="24"/>
        </w:rPr>
      </w:pPr>
    </w:p>
    <w:p w:rsidR="00276C50" w:rsidRDefault="00276C50" w:rsidP="00DB690C">
      <w:pPr>
        <w:tabs>
          <w:tab w:val="left" w:pos="-1440"/>
          <w:tab w:val="left" w:pos="-720"/>
          <w:tab w:val="left" w:pos="0"/>
          <w:tab w:val="left" w:pos="720"/>
          <w:tab w:val="left" w:pos="1440"/>
          <w:tab w:val="left" w:pos="2160"/>
          <w:tab w:val="left" w:pos="2448"/>
          <w:tab w:val="left" w:pos="6480"/>
          <w:tab w:val="left" w:pos="7920"/>
        </w:tabs>
        <w:suppressAutoHyphens/>
        <w:spacing w:line="360" w:lineRule="auto"/>
        <w:jc w:val="both"/>
        <w:rPr>
          <w:rFonts w:ascii="Arial" w:hAnsi="Arial" w:cs="Arial"/>
          <w:sz w:val="24"/>
          <w:szCs w:val="24"/>
        </w:rPr>
      </w:pPr>
    </w:p>
    <w:p w:rsidR="00276C50" w:rsidRDefault="00276C50" w:rsidP="00DB690C">
      <w:pPr>
        <w:tabs>
          <w:tab w:val="left" w:pos="-1440"/>
          <w:tab w:val="left" w:pos="-720"/>
          <w:tab w:val="left" w:pos="0"/>
          <w:tab w:val="left" w:pos="720"/>
          <w:tab w:val="left" w:pos="1440"/>
          <w:tab w:val="left" w:pos="2160"/>
          <w:tab w:val="left" w:pos="2448"/>
          <w:tab w:val="left" w:pos="6480"/>
          <w:tab w:val="left" w:pos="7920"/>
        </w:tabs>
        <w:suppressAutoHyphens/>
        <w:spacing w:line="360" w:lineRule="auto"/>
        <w:jc w:val="both"/>
        <w:rPr>
          <w:rFonts w:ascii="Arial" w:hAnsi="Arial" w:cs="Arial"/>
          <w:sz w:val="24"/>
          <w:szCs w:val="24"/>
        </w:rPr>
      </w:pPr>
    </w:p>
    <w:p w:rsidR="00276C50" w:rsidRPr="009F3311" w:rsidRDefault="00276C50" w:rsidP="00DB690C">
      <w:pPr>
        <w:tabs>
          <w:tab w:val="left" w:pos="-1440"/>
          <w:tab w:val="left" w:pos="-720"/>
          <w:tab w:val="left" w:pos="0"/>
          <w:tab w:val="left" w:pos="720"/>
          <w:tab w:val="left" w:pos="1440"/>
          <w:tab w:val="left" w:pos="2160"/>
          <w:tab w:val="left" w:pos="2448"/>
          <w:tab w:val="left" w:pos="6480"/>
          <w:tab w:val="left" w:pos="7920"/>
        </w:tabs>
        <w:suppressAutoHyphens/>
        <w:spacing w:line="360" w:lineRule="auto"/>
        <w:jc w:val="both"/>
        <w:rPr>
          <w:rFonts w:ascii="Arial" w:hAnsi="Arial" w:cs="Arial"/>
          <w:sz w:val="24"/>
          <w:szCs w:val="24"/>
        </w:rPr>
      </w:pPr>
    </w:p>
    <w:p w:rsidR="00276C50" w:rsidRDefault="00276C50" w:rsidP="00276C50">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INFORME</w:t>
      </w:r>
    </w:p>
    <w:p w:rsidR="00276C50" w:rsidRDefault="00276C50">
      <w:pPr>
        <w:autoSpaceDE w:val="0"/>
        <w:autoSpaceDN w:val="0"/>
        <w:adjustRightInd w:val="0"/>
        <w:spacing w:after="0" w:line="240" w:lineRule="auto"/>
        <w:jc w:val="center"/>
        <w:rPr>
          <w:rFonts w:ascii="Arial" w:hAnsi="Arial" w:cs="Arial"/>
          <w:b/>
          <w:bCs/>
          <w:sz w:val="24"/>
          <w:szCs w:val="24"/>
        </w:rPr>
      </w:pPr>
    </w:p>
    <w:p w:rsidR="00276C50" w:rsidRDefault="00276C50">
      <w:pPr>
        <w:autoSpaceDE w:val="0"/>
        <w:autoSpaceDN w:val="0"/>
        <w:adjustRightInd w:val="0"/>
        <w:spacing w:after="0" w:line="240" w:lineRule="auto"/>
        <w:rPr>
          <w:rFonts w:ascii="LiberationSans-Bold" w:hAnsi="LiberationSans-Bold" w:cs="LiberationSans-Bold"/>
          <w:b/>
          <w:bCs/>
          <w:sz w:val="24"/>
          <w:szCs w:val="24"/>
        </w:rPr>
      </w:pPr>
    </w:p>
    <w:p w:rsidR="00276C50" w:rsidRDefault="00276C50" w:rsidP="00276C50">
      <w:pPr>
        <w:autoSpaceDE w:val="0"/>
        <w:autoSpaceDN w:val="0"/>
        <w:adjustRightInd w:val="0"/>
        <w:spacing w:after="0" w:line="240" w:lineRule="auto"/>
        <w:rPr>
          <w:rFonts w:ascii="LiberationSans-Bold" w:hAnsi="LiberationSans-Bold" w:cs="LiberationSans-Bold"/>
          <w:b/>
          <w:bCs/>
          <w:sz w:val="24"/>
          <w:szCs w:val="24"/>
        </w:rPr>
      </w:pPr>
      <w:r>
        <w:rPr>
          <w:rFonts w:ascii="LiberationSans-Bold" w:hAnsi="LiberationSans-Bold" w:cs="LiberationSans-Bold"/>
          <w:b/>
          <w:bCs/>
          <w:sz w:val="24"/>
          <w:szCs w:val="24"/>
        </w:rPr>
        <w:t>1) OBJETO</w:t>
      </w:r>
    </w:p>
    <w:p w:rsidR="00276C50" w:rsidRDefault="00276C50">
      <w:pPr>
        <w:autoSpaceDE w:val="0"/>
        <w:autoSpaceDN w:val="0"/>
        <w:adjustRightInd w:val="0"/>
        <w:spacing w:after="0" w:line="240" w:lineRule="auto"/>
        <w:rPr>
          <w:rFonts w:ascii="LiberationSans-Regular" w:hAnsi="LiberationSans-Regular" w:cs="LiberationSans-Regular"/>
          <w:sz w:val="24"/>
          <w:szCs w:val="24"/>
        </w:rPr>
      </w:pPr>
    </w:p>
    <w:p w:rsidR="00276C50" w:rsidRDefault="00276C50" w:rsidP="00276C50">
      <w:pPr>
        <w:autoSpaceDE w:val="0"/>
        <w:autoSpaceDN w:val="0"/>
        <w:adjustRightInd w:val="0"/>
        <w:spacing w:after="0" w:line="360" w:lineRule="auto"/>
        <w:ind w:firstLine="851"/>
        <w:jc w:val="both"/>
        <w:rPr>
          <w:rFonts w:ascii="Arial" w:hAnsi="Arial" w:cs="Arial"/>
          <w:sz w:val="24"/>
          <w:szCs w:val="24"/>
        </w:rPr>
      </w:pPr>
      <w:r>
        <w:rPr>
          <w:rFonts w:ascii="Arial" w:hAnsi="Arial" w:cs="Arial"/>
          <w:sz w:val="24"/>
          <w:szCs w:val="24"/>
        </w:rPr>
        <w:t>El presente informe se emite en ejercicio de la atribución asignada al Tribunal de Cuentas por el Artículo 301 Inciso 2º de la Constitución de la República.</w:t>
      </w:r>
    </w:p>
    <w:p w:rsidR="00276C50" w:rsidRDefault="00276C50">
      <w:pPr>
        <w:autoSpaceDE w:val="0"/>
        <w:autoSpaceDN w:val="0"/>
        <w:adjustRightInd w:val="0"/>
        <w:spacing w:after="0" w:line="360" w:lineRule="auto"/>
        <w:jc w:val="center"/>
        <w:rPr>
          <w:rFonts w:ascii="Arial" w:hAnsi="Arial" w:cs="Arial"/>
          <w:b/>
          <w:bCs/>
          <w:sz w:val="24"/>
          <w:szCs w:val="24"/>
        </w:rPr>
      </w:pPr>
    </w:p>
    <w:p w:rsidR="00276C50" w:rsidRDefault="00276C50" w:rsidP="00276C50">
      <w:pPr>
        <w:autoSpaceDE w:val="0"/>
        <w:autoSpaceDN w:val="0"/>
        <w:adjustRightInd w:val="0"/>
        <w:spacing w:after="0" w:line="360" w:lineRule="auto"/>
        <w:rPr>
          <w:rFonts w:ascii="Arial" w:hAnsi="Arial" w:cs="Arial"/>
          <w:b/>
          <w:bCs/>
          <w:sz w:val="24"/>
          <w:szCs w:val="24"/>
        </w:rPr>
      </w:pPr>
      <w:r>
        <w:rPr>
          <w:rFonts w:ascii="Arial" w:hAnsi="Arial" w:cs="Arial"/>
          <w:b/>
          <w:bCs/>
          <w:sz w:val="24"/>
          <w:szCs w:val="24"/>
        </w:rPr>
        <w:t>2) ANTECEDENTES</w:t>
      </w:r>
    </w:p>
    <w:p w:rsidR="00276C50" w:rsidRDefault="00276C50">
      <w:pPr>
        <w:autoSpaceDE w:val="0"/>
        <w:autoSpaceDN w:val="0"/>
        <w:adjustRightInd w:val="0"/>
        <w:spacing w:after="0" w:line="360" w:lineRule="auto"/>
        <w:ind w:left="2832"/>
        <w:rPr>
          <w:rFonts w:ascii="Arial" w:hAnsi="Arial" w:cs="Arial"/>
          <w:b/>
          <w:bCs/>
          <w:sz w:val="24"/>
          <w:szCs w:val="24"/>
        </w:rPr>
      </w:pPr>
    </w:p>
    <w:p w:rsidR="00276C50" w:rsidRDefault="00276C50" w:rsidP="00276C50">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2.1.</w:t>
      </w:r>
      <w:r>
        <w:rPr>
          <w:rFonts w:ascii="Arial" w:hAnsi="Arial" w:cs="Arial"/>
          <w:sz w:val="24"/>
          <w:szCs w:val="24"/>
        </w:rPr>
        <w:t xml:space="preserve">  Este Tribunal, a solicitud de la Junta Departamental de Maldonado, emitió en Sesión de fecha 10/06/15 un informe sobre la obtención por parte de la Intendencia de ese Departamento, de una línea de crédito  con  instituciones financieras por un monto de hasta UI 428:721.702,08 planteada al amparo de lo previsto por el Artículo 301 de la Constitución de la República. En el mismo se concluyó que se dio cumplimiento a lo establecido en la norma precitada, señalándose que otorgada la anuencia respectiva y culminado el procedimiento legal de contratación, el mismo debería ser sometido por la Intendencia actuante, junto con el contrato proyectado, o suscrito ad referéndum, a la intervención preventiva que compete a este Tribunal.</w:t>
      </w:r>
    </w:p>
    <w:p w:rsidR="00276C50" w:rsidRPr="00C02237" w:rsidRDefault="00276C50" w:rsidP="00276C50">
      <w:pPr>
        <w:autoSpaceDE w:val="0"/>
        <w:autoSpaceDN w:val="0"/>
        <w:adjustRightInd w:val="0"/>
        <w:spacing w:after="0" w:line="360" w:lineRule="auto"/>
        <w:jc w:val="both"/>
        <w:rPr>
          <w:rFonts w:ascii="Arial" w:hAnsi="Arial" w:cs="Arial"/>
          <w:sz w:val="24"/>
          <w:szCs w:val="24"/>
        </w:rPr>
      </w:pPr>
      <w:r w:rsidRPr="00C02237">
        <w:rPr>
          <w:rFonts w:ascii="Arial" w:hAnsi="Arial" w:cs="Arial"/>
          <w:b/>
          <w:sz w:val="24"/>
          <w:szCs w:val="24"/>
        </w:rPr>
        <w:t>2.2</w:t>
      </w:r>
      <w:r>
        <w:rPr>
          <w:rFonts w:ascii="Arial" w:hAnsi="Arial" w:cs="Arial"/>
          <w:b/>
          <w:sz w:val="24"/>
          <w:szCs w:val="24"/>
        </w:rPr>
        <w:t xml:space="preserve">. </w:t>
      </w:r>
      <w:r>
        <w:rPr>
          <w:rFonts w:ascii="Arial" w:hAnsi="Arial" w:cs="Arial"/>
          <w:sz w:val="24"/>
          <w:szCs w:val="24"/>
        </w:rPr>
        <w:t>La Junta Departamental en sesión de fecha 18/06/15 adoptó la Resolución Nº 144/2015, por la cual concedió la anuencia solicitada por la Intendencia para suscribir líneas de crédito por el monto reseñado o su equivalente en moneda nacional o extranjera, para ser utilizadas a partir del actual período de Gobierno y hasta la finalización del mismo, con destino a atender el déficit acumulado, reconstruir los fondos operativos del Ejecutivo y financiar el Plan de Obras Departamental.</w:t>
      </w:r>
    </w:p>
    <w:p w:rsidR="00276C50" w:rsidRDefault="00276C50">
      <w:pPr>
        <w:autoSpaceDE w:val="0"/>
        <w:autoSpaceDN w:val="0"/>
        <w:adjustRightInd w:val="0"/>
        <w:spacing w:after="0" w:line="360" w:lineRule="auto"/>
        <w:rPr>
          <w:rFonts w:ascii="Arial" w:hAnsi="Arial" w:cs="Arial"/>
          <w:b/>
          <w:bCs/>
          <w:sz w:val="24"/>
          <w:szCs w:val="24"/>
        </w:rPr>
      </w:pPr>
    </w:p>
    <w:p w:rsidR="00276C50" w:rsidRDefault="00276C50">
      <w:pPr>
        <w:autoSpaceDE w:val="0"/>
        <w:autoSpaceDN w:val="0"/>
        <w:adjustRightInd w:val="0"/>
        <w:spacing w:after="0" w:line="360" w:lineRule="auto"/>
        <w:ind w:left="2124" w:firstLine="708"/>
        <w:rPr>
          <w:rFonts w:ascii="Arial" w:hAnsi="Arial" w:cs="Arial"/>
          <w:b/>
          <w:bCs/>
          <w:sz w:val="24"/>
          <w:szCs w:val="24"/>
        </w:rPr>
      </w:pPr>
    </w:p>
    <w:p w:rsidR="00276C50" w:rsidRDefault="00276C50" w:rsidP="00276C50">
      <w:pPr>
        <w:autoSpaceDE w:val="0"/>
        <w:autoSpaceDN w:val="0"/>
        <w:adjustRightInd w:val="0"/>
        <w:spacing w:after="0" w:line="360" w:lineRule="auto"/>
        <w:rPr>
          <w:rFonts w:ascii="Arial" w:hAnsi="Arial" w:cs="Arial"/>
          <w:b/>
          <w:bCs/>
          <w:sz w:val="24"/>
          <w:szCs w:val="24"/>
        </w:rPr>
      </w:pPr>
      <w:r>
        <w:rPr>
          <w:rFonts w:ascii="Arial" w:hAnsi="Arial" w:cs="Arial"/>
          <w:b/>
          <w:bCs/>
          <w:sz w:val="24"/>
          <w:szCs w:val="24"/>
        </w:rPr>
        <w:t>3) RESULTANCIAS DEL TRÀMITE</w:t>
      </w:r>
    </w:p>
    <w:p w:rsidR="00276C50" w:rsidRDefault="00276C50">
      <w:pPr>
        <w:autoSpaceDE w:val="0"/>
        <w:autoSpaceDN w:val="0"/>
        <w:adjustRightInd w:val="0"/>
        <w:spacing w:after="0" w:line="360" w:lineRule="auto"/>
        <w:ind w:left="2124" w:firstLine="708"/>
        <w:rPr>
          <w:rFonts w:ascii="Arial" w:hAnsi="Arial" w:cs="Arial"/>
          <w:b/>
          <w:bCs/>
          <w:sz w:val="24"/>
          <w:szCs w:val="24"/>
        </w:rPr>
      </w:pPr>
    </w:p>
    <w:p w:rsidR="00276C50" w:rsidRDefault="00276C50" w:rsidP="00276C50">
      <w:pPr>
        <w:autoSpaceDE w:val="0"/>
        <w:autoSpaceDN w:val="0"/>
        <w:adjustRightInd w:val="0"/>
        <w:spacing w:after="0" w:line="360" w:lineRule="auto"/>
        <w:jc w:val="both"/>
        <w:rPr>
          <w:rFonts w:ascii="Arial" w:hAnsi="Arial" w:cs="Arial"/>
          <w:bCs/>
          <w:sz w:val="24"/>
          <w:szCs w:val="24"/>
        </w:rPr>
      </w:pPr>
      <w:r>
        <w:rPr>
          <w:rFonts w:ascii="Arial" w:hAnsi="Arial" w:cs="Arial"/>
          <w:b/>
          <w:bCs/>
          <w:sz w:val="24"/>
          <w:szCs w:val="24"/>
        </w:rPr>
        <w:t xml:space="preserve">3.1 </w:t>
      </w:r>
      <w:r>
        <w:rPr>
          <w:rFonts w:ascii="Arial" w:hAnsi="Arial" w:cs="Arial"/>
          <w:bCs/>
          <w:sz w:val="24"/>
          <w:szCs w:val="24"/>
        </w:rPr>
        <w:t>En fecha 15/01/16 el Intendente, por Resolución Nº 424/2016, dispuso requerir autorización a la Junta Departamental a efectos de ajustar la aprobación realizada por la ya citada Resolución Nº 144/2015 de ese Tribunal. Las modificaciones consistirían en: a) un monto máximo de endeudamiento de U$S 50:406.587 o su equivalente en unidades indexadas o moneda nacional y b) autorización para suscribir líneas de crédito con instituciones financieras y empresas reguladas por el Banco Central del Uruguay que presten servicios financieros.</w:t>
      </w:r>
    </w:p>
    <w:p w:rsidR="00276C50" w:rsidRPr="007D3171" w:rsidRDefault="00276C50" w:rsidP="00276C50">
      <w:pPr>
        <w:autoSpaceDE w:val="0"/>
        <w:autoSpaceDN w:val="0"/>
        <w:adjustRightInd w:val="0"/>
        <w:spacing w:after="0" w:line="360" w:lineRule="auto"/>
        <w:jc w:val="both"/>
        <w:rPr>
          <w:rFonts w:ascii="Arial" w:hAnsi="Arial" w:cs="Arial"/>
          <w:sz w:val="24"/>
          <w:szCs w:val="24"/>
        </w:rPr>
      </w:pPr>
      <w:r w:rsidRPr="007D3171">
        <w:rPr>
          <w:rFonts w:ascii="Arial" w:hAnsi="Arial" w:cs="Arial"/>
          <w:b/>
          <w:bCs/>
          <w:sz w:val="24"/>
          <w:szCs w:val="24"/>
        </w:rPr>
        <w:t>3.2</w:t>
      </w:r>
      <w:r>
        <w:rPr>
          <w:rFonts w:ascii="Arial" w:hAnsi="Arial" w:cs="Arial"/>
          <w:b/>
          <w:bCs/>
          <w:sz w:val="24"/>
          <w:szCs w:val="24"/>
        </w:rPr>
        <w:t xml:space="preserve"> </w:t>
      </w:r>
      <w:r>
        <w:rPr>
          <w:rFonts w:ascii="Arial" w:hAnsi="Arial" w:cs="Arial"/>
          <w:bCs/>
          <w:sz w:val="24"/>
          <w:szCs w:val="24"/>
        </w:rPr>
        <w:t>La Mesa de la Junta Departamental dispuso en fecha 29/01/16, remitir las actuaciones a este Tribunal, en acuerdo con lo establecido en el Artículo 301 de la Constitución de la República.</w:t>
      </w:r>
    </w:p>
    <w:p w:rsidR="00276C50" w:rsidRDefault="00276C50">
      <w:pPr>
        <w:autoSpaceDE w:val="0"/>
        <w:autoSpaceDN w:val="0"/>
        <w:adjustRightInd w:val="0"/>
        <w:spacing w:after="0" w:line="360" w:lineRule="auto"/>
        <w:rPr>
          <w:rFonts w:ascii="Arial" w:hAnsi="Arial" w:cs="Arial"/>
          <w:b/>
          <w:bCs/>
          <w:sz w:val="24"/>
          <w:szCs w:val="24"/>
        </w:rPr>
      </w:pPr>
    </w:p>
    <w:p w:rsidR="00276C50" w:rsidRDefault="00276C50" w:rsidP="00276C50">
      <w:pPr>
        <w:autoSpaceDE w:val="0"/>
        <w:autoSpaceDN w:val="0"/>
        <w:adjustRightInd w:val="0"/>
        <w:spacing w:after="0" w:line="360" w:lineRule="auto"/>
        <w:rPr>
          <w:rFonts w:ascii="Arial" w:hAnsi="Arial" w:cs="Arial"/>
          <w:b/>
          <w:bCs/>
          <w:sz w:val="24"/>
          <w:szCs w:val="24"/>
        </w:rPr>
      </w:pPr>
      <w:r>
        <w:rPr>
          <w:rFonts w:ascii="Arial" w:hAnsi="Arial" w:cs="Arial"/>
          <w:b/>
          <w:bCs/>
          <w:sz w:val="24"/>
          <w:szCs w:val="24"/>
        </w:rPr>
        <w:t>4) SITUACIÓN FINANCIERA</w:t>
      </w:r>
    </w:p>
    <w:p w:rsidR="00276C50" w:rsidRDefault="00276C50" w:rsidP="00276C50">
      <w:pPr>
        <w:autoSpaceDE w:val="0"/>
        <w:autoSpaceDN w:val="0"/>
        <w:adjustRightInd w:val="0"/>
        <w:spacing w:after="0" w:line="360" w:lineRule="auto"/>
        <w:rPr>
          <w:rFonts w:ascii="Arial" w:hAnsi="Arial" w:cs="Arial"/>
          <w:b/>
          <w:bCs/>
          <w:sz w:val="24"/>
          <w:szCs w:val="24"/>
        </w:rPr>
      </w:pPr>
    </w:p>
    <w:p w:rsidR="00276C50" w:rsidRDefault="00276C50" w:rsidP="00276C50">
      <w:pPr>
        <w:autoSpaceDE w:val="0"/>
        <w:autoSpaceDN w:val="0"/>
        <w:adjustRightInd w:val="0"/>
        <w:spacing w:line="360" w:lineRule="auto"/>
        <w:ind w:firstLine="720"/>
        <w:jc w:val="both"/>
        <w:rPr>
          <w:rFonts w:ascii="Arial" w:hAnsi="Arial" w:cs="Arial"/>
          <w:color w:val="000000"/>
          <w:sz w:val="24"/>
          <w:szCs w:val="24"/>
        </w:rPr>
      </w:pPr>
      <w:r w:rsidRPr="001940AB">
        <w:rPr>
          <w:rFonts w:ascii="Arial" w:hAnsi="Arial" w:cs="Arial"/>
          <w:color w:val="000000"/>
          <w:sz w:val="24"/>
          <w:szCs w:val="24"/>
        </w:rPr>
        <w:t xml:space="preserve">De acuerdo a las Rendiciones de Cuentas presentadas por la Intendencia correspondientes a los </w:t>
      </w:r>
      <w:r>
        <w:rPr>
          <w:rFonts w:ascii="Arial" w:hAnsi="Arial" w:cs="Arial"/>
          <w:color w:val="000000"/>
          <w:sz w:val="24"/>
          <w:szCs w:val="24"/>
        </w:rPr>
        <w:t>E</w:t>
      </w:r>
      <w:r w:rsidRPr="001940AB">
        <w:rPr>
          <w:rFonts w:ascii="Arial" w:hAnsi="Arial" w:cs="Arial"/>
          <w:color w:val="000000"/>
          <w:sz w:val="24"/>
          <w:szCs w:val="24"/>
        </w:rPr>
        <w:t>jercicios 2010 a 2014, ésta presenta una situación financiera que se resume de la siguiente forma (expresada en miles de pesos uruguayos):</w:t>
      </w:r>
    </w:p>
    <w:p w:rsidR="00276C50" w:rsidRPr="001940AB" w:rsidRDefault="00276C50" w:rsidP="00276C50">
      <w:pPr>
        <w:autoSpaceDE w:val="0"/>
        <w:autoSpaceDN w:val="0"/>
        <w:adjustRightInd w:val="0"/>
        <w:spacing w:line="360" w:lineRule="auto"/>
        <w:ind w:firstLine="720"/>
        <w:jc w:val="both"/>
        <w:rPr>
          <w:rFonts w:ascii="Arial" w:hAnsi="Arial" w:cs="Arial"/>
          <w:color w:val="000000"/>
          <w:sz w:val="24"/>
          <w:szCs w:val="24"/>
        </w:rPr>
      </w:pPr>
      <w:r w:rsidRPr="001940AB">
        <w:rPr>
          <w:rFonts w:ascii="Arial" w:hAnsi="Arial" w:cs="Arial"/>
          <w:color w:val="000000"/>
          <w:sz w:val="24"/>
          <w:szCs w:val="24"/>
        </w:rPr>
        <w:t xml:space="preserve"> </w:t>
      </w:r>
    </w:p>
    <w:tbl>
      <w:tblPr>
        <w:tblW w:w="7088" w:type="dxa"/>
        <w:tblInd w:w="1204" w:type="dxa"/>
        <w:tblCellMar>
          <w:left w:w="70" w:type="dxa"/>
          <w:right w:w="70" w:type="dxa"/>
        </w:tblCellMar>
        <w:tblLook w:val="04A0" w:firstRow="1" w:lastRow="0" w:firstColumn="1" w:lastColumn="0" w:noHBand="0" w:noVBand="1"/>
      </w:tblPr>
      <w:tblGrid>
        <w:gridCol w:w="1276"/>
        <w:gridCol w:w="1843"/>
        <w:gridCol w:w="1940"/>
        <w:gridCol w:w="2029"/>
      </w:tblGrid>
      <w:tr w:rsidR="00276C50" w:rsidRPr="00A73E9A" w:rsidTr="00276C50">
        <w:trPr>
          <w:trHeight w:val="300"/>
        </w:trPr>
        <w:tc>
          <w:tcPr>
            <w:tcW w:w="1276" w:type="dxa"/>
            <w:tcBorders>
              <w:top w:val="single" w:sz="8" w:space="0" w:color="auto"/>
              <w:left w:val="single" w:sz="8" w:space="0" w:color="auto"/>
              <w:bottom w:val="nil"/>
              <w:right w:val="nil"/>
            </w:tcBorders>
            <w:shd w:val="clear" w:color="auto" w:fill="auto"/>
            <w:noWrap/>
            <w:vAlign w:val="bottom"/>
            <w:hideMark/>
          </w:tcPr>
          <w:p w:rsidR="00276C50" w:rsidRPr="00A73E9A" w:rsidRDefault="00276C50" w:rsidP="00276C50">
            <w:pPr>
              <w:widowControl w:val="0"/>
              <w:spacing w:after="0" w:line="240" w:lineRule="auto"/>
              <w:jc w:val="center"/>
              <w:rPr>
                <w:rFonts w:ascii="Arial" w:hAnsi="Arial" w:cs="Arial"/>
                <w:b/>
                <w:bCs/>
                <w:snapToGrid w:val="0"/>
                <w:color w:val="000000"/>
                <w:sz w:val="24"/>
                <w:szCs w:val="20"/>
                <w:lang w:eastAsia="es-ES"/>
              </w:rPr>
            </w:pPr>
          </w:p>
        </w:tc>
        <w:tc>
          <w:tcPr>
            <w:tcW w:w="1843" w:type="dxa"/>
            <w:tcBorders>
              <w:top w:val="single" w:sz="8" w:space="0" w:color="auto"/>
              <w:left w:val="single" w:sz="8" w:space="0" w:color="auto"/>
              <w:bottom w:val="nil"/>
              <w:right w:val="single" w:sz="8" w:space="0" w:color="auto"/>
            </w:tcBorders>
            <w:shd w:val="clear" w:color="auto" w:fill="auto"/>
            <w:noWrap/>
            <w:vAlign w:val="bottom"/>
            <w:hideMark/>
          </w:tcPr>
          <w:p w:rsidR="00276C50" w:rsidRPr="00A73E9A" w:rsidRDefault="00276C50" w:rsidP="00276C50">
            <w:pPr>
              <w:widowControl w:val="0"/>
              <w:spacing w:after="0" w:line="240" w:lineRule="auto"/>
              <w:jc w:val="center"/>
              <w:rPr>
                <w:rFonts w:ascii="Arial" w:hAnsi="Arial" w:cs="Arial"/>
                <w:b/>
                <w:bCs/>
                <w:snapToGrid w:val="0"/>
                <w:color w:val="000000"/>
                <w:sz w:val="24"/>
                <w:szCs w:val="20"/>
                <w:lang w:eastAsia="es-ES"/>
              </w:rPr>
            </w:pPr>
            <w:r w:rsidRPr="00A73E9A">
              <w:rPr>
                <w:rFonts w:ascii="Arial" w:hAnsi="Arial" w:cs="Arial"/>
                <w:b/>
                <w:bCs/>
                <w:snapToGrid w:val="0"/>
                <w:color w:val="000000"/>
                <w:sz w:val="24"/>
                <w:szCs w:val="20"/>
                <w:lang w:eastAsia="es-ES"/>
              </w:rPr>
              <w:t>DEFICIT</w:t>
            </w:r>
          </w:p>
        </w:tc>
        <w:tc>
          <w:tcPr>
            <w:tcW w:w="1940" w:type="dxa"/>
            <w:tcBorders>
              <w:top w:val="single" w:sz="8" w:space="0" w:color="auto"/>
              <w:left w:val="nil"/>
              <w:bottom w:val="nil"/>
              <w:right w:val="nil"/>
            </w:tcBorders>
            <w:shd w:val="clear" w:color="auto" w:fill="auto"/>
            <w:noWrap/>
            <w:vAlign w:val="bottom"/>
            <w:hideMark/>
          </w:tcPr>
          <w:p w:rsidR="00276C50" w:rsidRPr="00A73E9A" w:rsidRDefault="00276C50" w:rsidP="00276C50">
            <w:pPr>
              <w:widowControl w:val="0"/>
              <w:spacing w:after="0" w:line="240" w:lineRule="auto"/>
              <w:jc w:val="center"/>
              <w:rPr>
                <w:rFonts w:ascii="Arial" w:hAnsi="Arial" w:cs="Arial"/>
                <w:b/>
                <w:bCs/>
                <w:snapToGrid w:val="0"/>
                <w:color w:val="000000"/>
                <w:sz w:val="24"/>
                <w:szCs w:val="20"/>
                <w:lang w:eastAsia="es-ES"/>
              </w:rPr>
            </w:pPr>
          </w:p>
        </w:tc>
        <w:tc>
          <w:tcPr>
            <w:tcW w:w="2029" w:type="dxa"/>
            <w:tcBorders>
              <w:top w:val="single" w:sz="8" w:space="0" w:color="auto"/>
              <w:left w:val="single" w:sz="8" w:space="0" w:color="auto"/>
              <w:bottom w:val="nil"/>
              <w:right w:val="single" w:sz="8" w:space="0" w:color="auto"/>
            </w:tcBorders>
            <w:shd w:val="clear" w:color="auto" w:fill="auto"/>
            <w:noWrap/>
            <w:vAlign w:val="bottom"/>
            <w:hideMark/>
          </w:tcPr>
          <w:p w:rsidR="00276C50" w:rsidRPr="00A73E9A" w:rsidRDefault="00276C50" w:rsidP="00276C50">
            <w:pPr>
              <w:widowControl w:val="0"/>
              <w:spacing w:after="0" w:line="240" w:lineRule="auto"/>
              <w:jc w:val="center"/>
              <w:rPr>
                <w:rFonts w:ascii="Arial" w:hAnsi="Arial" w:cs="Arial"/>
                <w:b/>
                <w:bCs/>
                <w:snapToGrid w:val="0"/>
                <w:color w:val="000000"/>
                <w:sz w:val="24"/>
                <w:szCs w:val="20"/>
                <w:lang w:eastAsia="es-ES"/>
              </w:rPr>
            </w:pPr>
          </w:p>
        </w:tc>
      </w:tr>
      <w:tr w:rsidR="00276C50" w:rsidRPr="00A73E9A" w:rsidTr="00276C50">
        <w:trPr>
          <w:trHeight w:val="315"/>
        </w:trPr>
        <w:tc>
          <w:tcPr>
            <w:tcW w:w="1276" w:type="dxa"/>
            <w:tcBorders>
              <w:top w:val="nil"/>
              <w:left w:val="single" w:sz="8" w:space="0" w:color="auto"/>
              <w:bottom w:val="single" w:sz="8" w:space="0" w:color="auto"/>
              <w:right w:val="nil"/>
            </w:tcBorders>
            <w:shd w:val="clear" w:color="auto" w:fill="auto"/>
            <w:noWrap/>
            <w:vAlign w:val="bottom"/>
            <w:hideMark/>
          </w:tcPr>
          <w:p w:rsidR="00276C50" w:rsidRPr="00A73E9A" w:rsidRDefault="00276C50" w:rsidP="00276C50">
            <w:pPr>
              <w:widowControl w:val="0"/>
              <w:spacing w:after="0" w:line="240" w:lineRule="auto"/>
              <w:jc w:val="center"/>
              <w:rPr>
                <w:rFonts w:ascii="Arial" w:hAnsi="Arial" w:cs="Arial"/>
                <w:b/>
                <w:bCs/>
                <w:snapToGrid w:val="0"/>
                <w:color w:val="000000"/>
                <w:sz w:val="24"/>
                <w:szCs w:val="20"/>
                <w:lang w:eastAsia="es-ES"/>
              </w:rPr>
            </w:pPr>
            <w:r w:rsidRPr="00A73E9A">
              <w:rPr>
                <w:rFonts w:ascii="Arial" w:hAnsi="Arial" w:cs="Arial"/>
                <w:b/>
                <w:bCs/>
                <w:snapToGrid w:val="0"/>
                <w:color w:val="000000"/>
                <w:sz w:val="24"/>
                <w:szCs w:val="20"/>
                <w:lang w:eastAsia="es-ES"/>
              </w:rPr>
              <w:t>AÑO</w:t>
            </w:r>
          </w:p>
        </w:tc>
        <w:tc>
          <w:tcPr>
            <w:tcW w:w="1843" w:type="dxa"/>
            <w:tcBorders>
              <w:top w:val="nil"/>
              <w:left w:val="single" w:sz="8" w:space="0" w:color="auto"/>
              <w:bottom w:val="single" w:sz="8" w:space="0" w:color="auto"/>
              <w:right w:val="single" w:sz="8" w:space="0" w:color="auto"/>
            </w:tcBorders>
            <w:shd w:val="clear" w:color="auto" w:fill="auto"/>
            <w:noWrap/>
            <w:vAlign w:val="bottom"/>
            <w:hideMark/>
          </w:tcPr>
          <w:p w:rsidR="00276C50" w:rsidRPr="00A73E9A" w:rsidRDefault="00276C50" w:rsidP="00276C50">
            <w:pPr>
              <w:widowControl w:val="0"/>
              <w:spacing w:after="0" w:line="240" w:lineRule="auto"/>
              <w:jc w:val="center"/>
              <w:rPr>
                <w:rFonts w:ascii="Arial" w:hAnsi="Arial" w:cs="Arial"/>
                <w:b/>
                <w:bCs/>
                <w:snapToGrid w:val="0"/>
                <w:color w:val="000000"/>
                <w:sz w:val="24"/>
                <w:szCs w:val="20"/>
                <w:lang w:eastAsia="es-ES"/>
              </w:rPr>
            </w:pPr>
            <w:r w:rsidRPr="00A73E9A">
              <w:rPr>
                <w:rFonts w:ascii="Arial" w:hAnsi="Arial" w:cs="Arial"/>
                <w:b/>
                <w:bCs/>
                <w:snapToGrid w:val="0"/>
                <w:color w:val="000000"/>
                <w:sz w:val="24"/>
                <w:szCs w:val="20"/>
                <w:lang w:eastAsia="es-ES"/>
              </w:rPr>
              <w:t>ACUMULADO</w:t>
            </w:r>
          </w:p>
        </w:tc>
        <w:tc>
          <w:tcPr>
            <w:tcW w:w="1940" w:type="dxa"/>
            <w:tcBorders>
              <w:top w:val="nil"/>
              <w:left w:val="nil"/>
              <w:bottom w:val="single" w:sz="8" w:space="0" w:color="auto"/>
              <w:right w:val="nil"/>
            </w:tcBorders>
            <w:shd w:val="clear" w:color="auto" w:fill="auto"/>
            <w:noWrap/>
            <w:vAlign w:val="bottom"/>
            <w:hideMark/>
          </w:tcPr>
          <w:p w:rsidR="00276C50" w:rsidRPr="00A73E9A" w:rsidRDefault="00276C50" w:rsidP="00276C50">
            <w:pPr>
              <w:widowControl w:val="0"/>
              <w:spacing w:after="0" w:line="240" w:lineRule="auto"/>
              <w:jc w:val="center"/>
              <w:rPr>
                <w:rFonts w:ascii="Arial" w:hAnsi="Arial" w:cs="Arial"/>
                <w:b/>
                <w:bCs/>
                <w:snapToGrid w:val="0"/>
                <w:color w:val="000000"/>
                <w:sz w:val="24"/>
                <w:szCs w:val="20"/>
                <w:lang w:eastAsia="es-ES"/>
              </w:rPr>
            </w:pPr>
            <w:r w:rsidRPr="00A73E9A">
              <w:rPr>
                <w:rFonts w:ascii="Arial" w:hAnsi="Arial" w:cs="Arial"/>
                <w:b/>
                <w:bCs/>
                <w:snapToGrid w:val="0"/>
                <w:color w:val="000000"/>
                <w:sz w:val="24"/>
                <w:szCs w:val="20"/>
                <w:lang w:eastAsia="es-ES"/>
              </w:rPr>
              <w:t>RECAUDACION</w:t>
            </w:r>
          </w:p>
        </w:tc>
        <w:tc>
          <w:tcPr>
            <w:tcW w:w="2029" w:type="dxa"/>
            <w:tcBorders>
              <w:top w:val="nil"/>
              <w:left w:val="single" w:sz="8" w:space="0" w:color="auto"/>
              <w:bottom w:val="single" w:sz="8" w:space="0" w:color="auto"/>
              <w:right w:val="single" w:sz="8" w:space="0" w:color="auto"/>
            </w:tcBorders>
            <w:shd w:val="clear" w:color="auto" w:fill="auto"/>
            <w:noWrap/>
            <w:vAlign w:val="bottom"/>
            <w:hideMark/>
          </w:tcPr>
          <w:p w:rsidR="00276C50" w:rsidRPr="00A73E9A" w:rsidRDefault="00276C50" w:rsidP="00276C50">
            <w:pPr>
              <w:widowControl w:val="0"/>
              <w:spacing w:after="0" w:line="240" w:lineRule="auto"/>
              <w:jc w:val="center"/>
              <w:rPr>
                <w:rFonts w:ascii="Arial" w:hAnsi="Arial" w:cs="Arial"/>
                <w:b/>
                <w:bCs/>
                <w:snapToGrid w:val="0"/>
                <w:color w:val="000000"/>
                <w:sz w:val="24"/>
                <w:szCs w:val="20"/>
                <w:lang w:eastAsia="es-ES"/>
              </w:rPr>
            </w:pPr>
            <w:r w:rsidRPr="00A73E9A">
              <w:rPr>
                <w:rFonts w:ascii="Arial" w:hAnsi="Arial" w:cs="Arial"/>
                <w:b/>
                <w:bCs/>
                <w:snapToGrid w:val="0"/>
                <w:color w:val="000000"/>
                <w:sz w:val="24"/>
                <w:szCs w:val="20"/>
                <w:lang w:eastAsia="es-ES"/>
              </w:rPr>
              <w:t>DEF.AC./ REC</w:t>
            </w:r>
          </w:p>
        </w:tc>
      </w:tr>
      <w:tr w:rsidR="00276C50" w:rsidRPr="00A73E9A" w:rsidTr="00276C50">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76C50" w:rsidRPr="00A73E9A" w:rsidRDefault="00276C50" w:rsidP="00276C50">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2010</w:t>
            </w:r>
          </w:p>
        </w:tc>
        <w:tc>
          <w:tcPr>
            <w:tcW w:w="1843" w:type="dxa"/>
            <w:tcBorders>
              <w:top w:val="nil"/>
              <w:left w:val="nil"/>
              <w:bottom w:val="single" w:sz="4" w:space="0" w:color="auto"/>
              <w:right w:val="single" w:sz="4" w:space="0" w:color="auto"/>
            </w:tcBorders>
            <w:shd w:val="clear" w:color="auto" w:fill="auto"/>
            <w:noWrap/>
            <w:vAlign w:val="bottom"/>
          </w:tcPr>
          <w:p w:rsidR="00276C50" w:rsidRPr="00A73E9A" w:rsidRDefault="00276C50" w:rsidP="00276C50">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1:007.149</w:t>
            </w:r>
          </w:p>
        </w:tc>
        <w:tc>
          <w:tcPr>
            <w:tcW w:w="1940" w:type="dxa"/>
            <w:tcBorders>
              <w:top w:val="nil"/>
              <w:left w:val="nil"/>
              <w:bottom w:val="single" w:sz="4" w:space="0" w:color="auto"/>
              <w:right w:val="single" w:sz="4" w:space="0" w:color="auto"/>
            </w:tcBorders>
            <w:shd w:val="clear" w:color="auto" w:fill="auto"/>
            <w:noWrap/>
            <w:vAlign w:val="bottom"/>
          </w:tcPr>
          <w:p w:rsidR="00276C50" w:rsidRPr="00A73E9A" w:rsidRDefault="00276C50" w:rsidP="00276C50">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2:765.171</w:t>
            </w:r>
          </w:p>
        </w:tc>
        <w:tc>
          <w:tcPr>
            <w:tcW w:w="2029" w:type="dxa"/>
            <w:tcBorders>
              <w:top w:val="nil"/>
              <w:left w:val="nil"/>
              <w:bottom w:val="single" w:sz="4" w:space="0" w:color="auto"/>
              <w:right w:val="single" w:sz="4" w:space="0" w:color="auto"/>
            </w:tcBorders>
            <w:shd w:val="clear" w:color="auto" w:fill="auto"/>
            <w:noWrap/>
            <w:vAlign w:val="bottom"/>
          </w:tcPr>
          <w:p w:rsidR="00276C50" w:rsidRPr="00A73E9A" w:rsidRDefault="00276C50" w:rsidP="00276C50">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36,42%</w:t>
            </w:r>
          </w:p>
        </w:tc>
      </w:tr>
      <w:tr w:rsidR="00276C50" w:rsidRPr="00A73E9A" w:rsidTr="00276C50">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76C50" w:rsidRPr="00A73E9A" w:rsidRDefault="00276C50" w:rsidP="00276C50">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2011</w:t>
            </w:r>
          </w:p>
        </w:tc>
        <w:tc>
          <w:tcPr>
            <w:tcW w:w="1843" w:type="dxa"/>
            <w:tcBorders>
              <w:top w:val="nil"/>
              <w:left w:val="nil"/>
              <w:bottom w:val="single" w:sz="4" w:space="0" w:color="auto"/>
              <w:right w:val="single" w:sz="4" w:space="0" w:color="auto"/>
            </w:tcBorders>
            <w:shd w:val="clear" w:color="auto" w:fill="auto"/>
            <w:noWrap/>
            <w:vAlign w:val="bottom"/>
          </w:tcPr>
          <w:p w:rsidR="00276C50" w:rsidRPr="00A73E9A" w:rsidRDefault="00276C50" w:rsidP="00276C50">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 xml:space="preserve">   923.319</w:t>
            </w:r>
          </w:p>
        </w:tc>
        <w:tc>
          <w:tcPr>
            <w:tcW w:w="1940" w:type="dxa"/>
            <w:tcBorders>
              <w:top w:val="nil"/>
              <w:left w:val="nil"/>
              <w:bottom w:val="single" w:sz="4" w:space="0" w:color="auto"/>
              <w:right w:val="single" w:sz="4" w:space="0" w:color="auto"/>
            </w:tcBorders>
            <w:shd w:val="clear" w:color="auto" w:fill="auto"/>
            <w:noWrap/>
            <w:vAlign w:val="bottom"/>
          </w:tcPr>
          <w:p w:rsidR="00276C50" w:rsidRPr="00A73E9A" w:rsidRDefault="00276C50" w:rsidP="00276C50">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2:671.030</w:t>
            </w:r>
          </w:p>
        </w:tc>
        <w:tc>
          <w:tcPr>
            <w:tcW w:w="2029" w:type="dxa"/>
            <w:tcBorders>
              <w:top w:val="nil"/>
              <w:left w:val="nil"/>
              <w:bottom w:val="single" w:sz="4" w:space="0" w:color="auto"/>
              <w:right w:val="single" w:sz="4" w:space="0" w:color="auto"/>
            </w:tcBorders>
            <w:shd w:val="clear" w:color="auto" w:fill="auto"/>
            <w:noWrap/>
            <w:vAlign w:val="bottom"/>
          </w:tcPr>
          <w:p w:rsidR="00276C50" w:rsidRPr="00A73E9A" w:rsidRDefault="00276C50" w:rsidP="00276C50">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31,08%</w:t>
            </w:r>
          </w:p>
        </w:tc>
      </w:tr>
      <w:tr w:rsidR="00276C50" w:rsidRPr="00A73E9A" w:rsidTr="00276C50">
        <w:trPr>
          <w:trHeight w:val="30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76C50" w:rsidRPr="00A73E9A" w:rsidRDefault="00276C50" w:rsidP="00276C50">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2012</w:t>
            </w:r>
          </w:p>
        </w:tc>
        <w:tc>
          <w:tcPr>
            <w:tcW w:w="1843" w:type="dxa"/>
            <w:tcBorders>
              <w:top w:val="nil"/>
              <w:left w:val="nil"/>
              <w:bottom w:val="single" w:sz="4" w:space="0" w:color="auto"/>
              <w:right w:val="single" w:sz="4" w:space="0" w:color="auto"/>
            </w:tcBorders>
            <w:shd w:val="clear" w:color="auto" w:fill="auto"/>
            <w:noWrap/>
            <w:vAlign w:val="bottom"/>
          </w:tcPr>
          <w:p w:rsidR="00276C50" w:rsidRPr="00A73E9A" w:rsidRDefault="00276C50" w:rsidP="00276C50">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 xml:space="preserve">   549.077</w:t>
            </w:r>
          </w:p>
        </w:tc>
        <w:tc>
          <w:tcPr>
            <w:tcW w:w="1940" w:type="dxa"/>
            <w:tcBorders>
              <w:top w:val="nil"/>
              <w:left w:val="nil"/>
              <w:bottom w:val="single" w:sz="4" w:space="0" w:color="auto"/>
              <w:right w:val="single" w:sz="4" w:space="0" w:color="auto"/>
            </w:tcBorders>
            <w:shd w:val="clear" w:color="auto" w:fill="auto"/>
            <w:noWrap/>
            <w:vAlign w:val="bottom"/>
          </w:tcPr>
          <w:p w:rsidR="00276C50" w:rsidRPr="00A73E9A" w:rsidRDefault="00276C50" w:rsidP="00276C50">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3:383.766</w:t>
            </w:r>
          </w:p>
        </w:tc>
        <w:tc>
          <w:tcPr>
            <w:tcW w:w="2029" w:type="dxa"/>
            <w:tcBorders>
              <w:top w:val="nil"/>
              <w:left w:val="nil"/>
              <w:bottom w:val="single" w:sz="4" w:space="0" w:color="auto"/>
              <w:right w:val="single" w:sz="4" w:space="0" w:color="auto"/>
            </w:tcBorders>
            <w:shd w:val="clear" w:color="auto" w:fill="auto"/>
            <w:noWrap/>
            <w:vAlign w:val="bottom"/>
          </w:tcPr>
          <w:p w:rsidR="00276C50" w:rsidRPr="00A73E9A" w:rsidRDefault="00276C50" w:rsidP="00276C50">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16,23%</w:t>
            </w:r>
          </w:p>
        </w:tc>
      </w:tr>
      <w:tr w:rsidR="00276C50" w:rsidRPr="00A73E9A" w:rsidTr="00276C50">
        <w:trPr>
          <w:trHeight w:val="70"/>
        </w:trPr>
        <w:tc>
          <w:tcPr>
            <w:tcW w:w="1276" w:type="dxa"/>
            <w:tcBorders>
              <w:top w:val="nil"/>
              <w:left w:val="single" w:sz="4" w:space="0" w:color="auto"/>
              <w:bottom w:val="single" w:sz="4" w:space="0" w:color="auto"/>
              <w:right w:val="single" w:sz="4" w:space="0" w:color="auto"/>
            </w:tcBorders>
            <w:shd w:val="clear" w:color="auto" w:fill="auto"/>
            <w:noWrap/>
            <w:vAlign w:val="bottom"/>
          </w:tcPr>
          <w:p w:rsidR="00276C50" w:rsidRPr="00A73E9A" w:rsidRDefault="00276C50" w:rsidP="00276C50">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2013</w:t>
            </w:r>
          </w:p>
        </w:tc>
        <w:tc>
          <w:tcPr>
            <w:tcW w:w="1843" w:type="dxa"/>
            <w:tcBorders>
              <w:top w:val="nil"/>
              <w:left w:val="nil"/>
              <w:bottom w:val="single" w:sz="4" w:space="0" w:color="auto"/>
              <w:right w:val="single" w:sz="4" w:space="0" w:color="auto"/>
            </w:tcBorders>
            <w:shd w:val="clear" w:color="auto" w:fill="auto"/>
            <w:noWrap/>
            <w:vAlign w:val="bottom"/>
          </w:tcPr>
          <w:p w:rsidR="00276C50" w:rsidRPr="00A73E9A" w:rsidRDefault="00276C50" w:rsidP="00276C50">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 xml:space="preserve">   606.601</w:t>
            </w:r>
          </w:p>
        </w:tc>
        <w:tc>
          <w:tcPr>
            <w:tcW w:w="1940" w:type="dxa"/>
            <w:tcBorders>
              <w:top w:val="nil"/>
              <w:left w:val="nil"/>
              <w:bottom w:val="single" w:sz="4" w:space="0" w:color="auto"/>
              <w:right w:val="single" w:sz="4" w:space="0" w:color="auto"/>
            </w:tcBorders>
            <w:shd w:val="clear" w:color="auto" w:fill="auto"/>
            <w:noWrap/>
            <w:vAlign w:val="bottom"/>
          </w:tcPr>
          <w:p w:rsidR="00276C50" w:rsidRPr="00A73E9A" w:rsidRDefault="00276C50" w:rsidP="00276C50">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3:902.319</w:t>
            </w:r>
          </w:p>
        </w:tc>
        <w:tc>
          <w:tcPr>
            <w:tcW w:w="2029" w:type="dxa"/>
            <w:tcBorders>
              <w:top w:val="nil"/>
              <w:left w:val="nil"/>
              <w:bottom w:val="single" w:sz="4" w:space="0" w:color="auto"/>
              <w:right w:val="single" w:sz="4" w:space="0" w:color="auto"/>
            </w:tcBorders>
            <w:shd w:val="clear" w:color="auto" w:fill="auto"/>
            <w:noWrap/>
            <w:vAlign w:val="bottom"/>
          </w:tcPr>
          <w:p w:rsidR="00276C50" w:rsidRPr="00A73E9A" w:rsidRDefault="00276C50" w:rsidP="00276C50">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15,54%</w:t>
            </w:r>
          </w:p>
        </w:tc>
      </w:tr>
      <w:tr w:rsidR="00276C50" w:rsidRPr="00A73E9A" w:rsidTr="00276C50">
        <w:trPr>
          <w:trHeight w:val="70"/>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276C50" w:rsidRPr="00A73E9A" w:rsidRDefault="00276C50" w:rsidP="00276C50">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2014</w:t>
            </w:r>
          </w:p>
        </w:tc>
        <w:tc>
          <w:tcPr>
            <w:tcW w:w="1843" w:type="dxa"/>
            <w:tcBorders>
              <w:top w:val="nil"/>
              <w:left w:val="nil"/>
              <w:bottom w:val="single" w:sz="4" w:space="0" w:color="auto"/>
              <w:right w:val="single" w:sz="4" w:space="0" w:color="auto"/>
            </w:tcBorders>
            <w:shd w:val="clear" w:color="auto" w:fill="auto"/>
            <w:noWrap/>
            <w:vAlign w:val="bottom"/>
          </w:tcPr>
          <w:p w:rsidR="00276C50" w:rsidRPr="00A73E9A" w:rsidRDefault="00276C50" w:rsidP="00276C50">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1:095.889</w:t>
            </w:r>
          </w:p>
        </w:tc>
        <w:tc>
          <w:tcPr>
            <w:tcW w:w="1940" w:type="dxa"/>
            <w:tcBorders>
              <w:top w:val="nil"/>
              <w:left w:val="nil"/>
              <w:bottom w:val="single" w:sz="4" w:space="0" w:color="auto"/>
              <w:right w:val="single" w:sz="4" w:space="0" w:color="auto"/>
            </w:tcBorders>
            <w:shd w:val="clear" w:color="auto" w:fill="auto"/>
            <w:noWrap/>
            <w:vAlign w:val="bottom"/>
          </w:tcPr>
          <w:p w:rsidR="00276C50" w:rsidRPr="00A73E9A" w:rsidRDefault="00276C50" w:rsidP="00276C50">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3:401.428</w:t>
            </w:r>
          </w:p>
        </w:tc>
        <w:tc>
          <w:tcPr>
            <w:tcW w:w="2029" w:type="dxa"/>
            <w:tcBorders>
              <w:top w:val="nil"/>
              <w:left w:val="nil"/>
              <w:bottom w:val="single" w:sz="4" w:space="0" w:color="auto"/>
              <w:right w:val="single" w:sz="4" w:space="0" w:color="auto"/>
            </w:tcBorders>
            <w:shd w:val="clear" w:color="auto" w:fill="auto"/>
            <w:noWrap/>
            <w:vAlign w:val="bottom"/>
          </w:tcPr>
          <w:p w:rsidR="00276C50" w:rsidRPr="00A73E9A" w:rsidRDefault="00276C50" w:rsidP="00276C50">
            <w:pPr>
              <w:widowControl w:val="0"/>
              <w:spacing w:after="0" w:line="240" w:lineRule="auto"/>
              <w:jc w:val="center"/>
              <w:rPr>
                <w:rFonts w:ascii="Arial" w:hAnsi="Arial" w:cs="Arial"/>
                <w:snapToGrid w:val="0"/>
                <w:color w:val="000000"/>
                <w:sz w:val="24"/>
                <w:szCs w:val="20"/>
                <w:lang w:eastAsia="es-ES"/>
              </w:rPr>
            </w:pPr>
            <w:r w:rsidRPr="00A73E9A">
              <w:rPr>
                <w:rFonts w:ascii="Arial" w:hAnsi="Arial" w:cs="Arial"/>
                <w:snapToGrid w:val="0"/>
                <w:color w:val="000000"/>
                <w:sz w:val="24"/>
                <w:szCs w:val="20"/>
                <w:lang w:eastAsia="es-ES"/>
              </w:rPr>
              <w:t>32,22%</w:t>
            </w:r>
          </w:p>
        </w:tc>
      </w:tr>
    </w:tbl>
    <w:p w:rsidR="00276C50" w:rsidRDefault="00276C50">
      <w:pPr>
        <w:autoSpaceDE w:val="0"/>
        <w:autoSpaceDN w:val="0"/>
        <w:adjustRightInd w:val="0"/>
        <w:spacing w:after="0" w:line="360" w:lineRule="auto"/>
        <w:rPr>
          <w:rFonts w:ascii="Arial" w:hAnsi="Arial" w:cs="Arial"/>
          <w:b/>
          <w:bCs/>
          <w:sz w:val="24"/>
          <w:szCs w:val="24"/>
        </w:rPr>
      </w:pPr>
    </w:p>
    <w:p w:rsidR="00276C50" w:rsidRPr="00885075" w:rsidRDefault="00276C50" w:rsidP="00276C50">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El Tribunal de Cuentas no se ha expedido respecto de la auditoría financiera al 30/06/15 y la proyección del resultado acumulado al 31/12/15 en la Intendencia de Maldonado, solicitada por la Junta Departamental por Resolución                Nº 195/2015 de 11/08/15. El resultado acumulado proyectado al 31/12/15 a esa fecha (sujeto a modificaciones) es de $ 1.400:000.000 aproximadamente.</w:t>
      </w:r>
    </w:p>
    <w:p w:rsidR="00276C50" w:rsidRDefault="00276C50" w:rsidP="00276C50">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La línea de crédito solicitada asciende a U$S 50:406.587 y equivale al monto de la autorizada anteriormente (UI 428:721.702,06) expresado en dólares al tipo de cambio del 18/06/15 ($ 26,30).</w:t>
      </w:r>
    </w:p>
    <w:p w:rsidR="00276C50" w:rsidRDefault="00276C50" w:rsidP="00276C50">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La autorización requerida para suscribir líneas de crédito, se amplía a efectos de incluir además de los Bancos, a las Sociedades de Bolsa, AFAPS, Cooperativas de intermediación financiera y empresas administradoras de crédito y servicios financieros, con el objetivo de mejorar la libre competencia y las ofertas.</w:t>
      </w:r>
    </w:p>
    <w:p w:rsidR="00276C50" w:rsidRPr="005B51F4" w:rsidRDefault="00276C50" w:rsidP="00276C50">
      <w:pPr>
        <w:autoSpaceDE w:val="0"/>
        <w:autoSpaceDN w:val="0"/>
        <w:adjustRightInd w:val="0"/>
        <w:spacing w:after="0" w:line="360" w:lineRule="auto"/>
        <w:jc w:val="both"/>
        <w:rPr>
          <w:rFonts w:ascii="Arial" w:hAnsi="Arial" w:cs="Arial"/>
          <w:bCs/>
          <w:sz w:val="24"/>
          <w:szCs w:val="24"/>
        </w:rPr>
      </w:pPr>
      <w:r>
        <w:rPr>
          <w:rFonts w:ascii="Arial" w:hAnsi="Arial" w:cs="Arial"/>
          <w:bCs/>
          <w:sz w:val="24"/>
          <w:szCs w:val="24"/>
        </w:rPr>
        <w:t>El proyecto de Presupuesto Quinquenal 2016-2020 a estudio de la Junta Departamental de Maldonado, no prevé las asignaciones presupuestales correspondientes para el pago de intereses. No obstante, el Anexo 2 de dicho proyecto establece para el mencionado quinquenio, un monto superavitario de $ 1.417:350.000, el cual se compone de los conceptos “intereses” por               $ 774:450.000” y “amortización deuda” por $ 642:900.000.</w:t>
      </w:r>
    </w:p>
    <w:p w:rsidR="00276C50" w:rsidRDefault="00276C50" w:rsidP="00276C50">
      <w:pPr>
        <w:autoSpaceDE w:val="0"/>
        <w:autoSpaceDN w:val="0"/>
        <w:adjustRightInd w:val="0"/>
        <w:spacing w:after="0" w:line="360" w:lineRule="auto"/>
        <w:rPr>
          <w:rFonts w:ascii="Arial" w:hAnsi="Arial" w:cs="Arial"/>
          <w:b/>
          <w:bCs/>
          <w:sz w:val="24"/>
          <w:szCs w:val="24"/>
        </w:rPr>
      </w:pPr>
    </w:p>
    <w:p w:rsidR="00276C50" w:rsidRDefault="00276C50" w:rsidP="00276C50">
      <w:pPr>
        <w:autoSpaceDE w:val="0"/>
        <w:autoSpaceDN w:val="0"/>
        <w:adjustRightInd w:val="0"/>
        <w:spacing w:after="0" w:line="360" w:lineRule="auto"/>
        <w:rPr>
          <w:rFonts w:ascii="Arial" w:hAnsi="Arial" w:cs="Arial"/>
          <w:b/>
          <w:bCs/>
          <w:sz w:val="24"/>
          <w:szCs w:val="24"/>
        </w:rPr>
      </w:pPr>
      <w:r>
        <w:rPr>
          <w:rFonts w:ascii="Arial" w:hAnsi="Arial" w:cs="Arial"/>
          <w:b/>
          <w:bCs/>
          <w:sz w:val="24"/>
          <w:szCs w:val="24"/>
        </w:rPr>
        <w:t>5) NORMAS Y CRITERIOS APLICABLES</w:t>
      </w:r>
    </w:p>
    <w:p w:rsidR="00276C50" w:rsidRDefault="00276C50" w:rsidP="00276C50">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 xml:space="preserve">5.1 </w:t>
      </w:r>
      <w:r>
        <w:rPr>
          <w:rFonts w:ascii="Arial" w:hAnsi="Arial" w:cs="Arial"/>
          <w:sz w:val="24"/>
          <w:szCs w:val="24"/>
        </w:rPr>
        <w:t>De conformidad al Artículo 301 Inciso 2 de la Constitución de la República, los Gobiernos Departamentales requieren para contratar préstamos “la iniciativa del Intendente y la aprobación de la mayoría absoluta de votos del total de componentes de la Junta Departamental, previo informe del Tribunal de Cuentas. Si el plazo de los préstamos excediera el período de gobierno del Intendente proponente, se requerirá para su aprobación, los dos tercios de votos del total de componentes de la Junta Departamental”.</w:t>
      </w:r>
    </w:p>
    <w:p w:rsidR="00276C50" w:rsidRDefault="00276C50" w:rsidP="00276C50">
      <w:pPr>
        <w:suppressAutoHyphens/>
        <w:spacing w:line="360" w:lineRule="auto"/>
        <w:jc w:val="both"/>
        <w:rPr>
          <w:rFonts w:ascii="Arial" w:hAnsi="Arial" w:cs="Arial"/>
          <w:b/>
          <w:bCs/>
          <w:sz w:val="24"/>
          <w:szCs w:val="24"/>
        </w:rPr>
      </w:pPr>
      <w:r>
        <w:rPr>
          <w:rFonts w:ascii="Arial" w:hAnsi="Arial" w:cs="Arial"/>
          <w:b/>
          <w:bCs/>
          <w:spacing w:val="-3"/>
          <w:sz w:val="24"/>
          <w:szCs w:val="24"/>
        </w:rPr>
        <w:t>5</w:t>
      </w:r>
      <w:r>
        <w:rPr>
          <w:rFonts w:ascii="Arial" w:hAnsi="Arial" w:cs="Arial"/>
          <w:b/>
          <w:bCs/>
          <w:spacing w:val="-3"/>
          <w:sz w:val="24"/>
          <w:szCs w:val="24"/>
          <w:lang w:val="es-ES_tradnl"/>
        </w:rPr>
        <w:t>.2</w:t>
      </w:r>
      <w:r>
        <w:rPr>
          <w:rFonts w:ascii="Arial" w:hAnsi="Arial" w:cs="Arial"/>
          <w:spacing w:val="-3"/>
          <w:sz w:val="24"/>
          <w:szCs w:val="24"/>
          <w:lang w:val="es-ES_tradnl"/>
        </w:rPr>
        <w:t xml:space="preserve"> El informe del Tribunal de Cuentas tiene por objeto el control de los aspectos legales de la contratación proyectada cuyos términos iniciales se proyectan modificar, proporcionando asimismo la información que dispone sobre la evolución de la situación financiera en relación a los recursos del Organismo. Dicho informe, de acuerdo con la norma precitada, debe ser previo al pronunciamiento de la Junta.</w:t>
      </w:r>
    </w:p>
    <w:p w:rsidR="00276C50" w:rsidRDefault="00276C50">
      <w:pPr>
        <w:autoSpaceDE w:val="0"/>
        <w:autoSpaceDN w:val="0"/>
        <w:adjustRightInd w:val="0"/>
        <w:spacing w:after="0" w:line="360" w:lineRule="auto"/>
        <w:rPr>
          <w:rFonts w:ascii="Arial" w:hAnsi="Arial" w:cs="Arial"/>
          <w:b/>
          <w:bCs/>
          <w:sz w:val="24"/>
          <w:szCs w:val="24"/>
        </w:rPr>
      </w:pPr>
    </w:p>
    <w:p w:rsidR="00276C50" w:rsidRDefault="00276C50" w:rsidP="00276C50">
      <w:pPr>
        <w:autoSpaceDE w:val="0"/>
        <w:autoSpaceDN w:val="0"/>
        <w:adjustRightInd w:val="0"/>
        <w:spacing w:after="0" w:line="360" w:lineRule="auto"/>
        <w:rPr>
          <w:rFonts w:ascii="Arial" w:hAnsi="Arial" w:cs="Arial"/>
          <w:b/>
          <w:bCs/>
          <w:sz w:val="24"/>
          <w:szCs w:val="24"/>
        </w:rPr>
      </w:pPr>
      <w:r>
        <w:rPr>
          <w:rFonts w:ascii="Arial" w:hAnsi="Arial" w:cs="Arial"/>
          <w:b/>
          <w:bCs/>
          <w:sz w:val="24"/>
          <w:szCs w:val="24"/>
        </w:rPr>
        <w:t>6) CONCLUSIONES</w:t>
      </w:r>
    </w:p>
    <w:p w:rsidR="00276C50" w:rsidRDefault="00276C50" w:rsidP="00276C50">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 xml:space="preserve">6.1 </w:t>
      </w:r>
      <w:r>
        <w:rPr>
          <w:rFonts w:ascii="Arial" w:hAnsi="Arial" w:cs="Arial"/>
          <w:sz w:val="24"/>
          <w:szCs w:val="24"/>
        </w:rPr>
        <w:t>Se ha dado cumplimiento a lo dispuesto por el Artículo 301 Inciso 2º de la Constitución de la República al solicitarse el informe que compete a este Tribunal, previamente a la aprobación de las modificaciones proyectadas a la autorización concedida por la Junta Departamental mediante Resolución         Nº 144/2015.</w:t>
      </w:r>
    </w:p>
    <w:p w:rsidR="00276C50" w:rsidRDefault="00276C50" w:rsidP="00276C50">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 xml:space="preserve">6.2 </w:t>
      </w:r>
      <w:r>
        <w:rPr>
          <w:rFonts w:ascii="Arial" w:hAnsi="Arial" w:cs="Arial"/>
          <w:sz w:val="24"/>
          <w:szCs w:val="24"/>
        </w:rPr>
        <w:t>Se deberá hacer la previsión presupuestal de fondos para el pago de las líneas de crédito proyectadas y sus intereses.</w:t>
      </w:r>
    </w:p>
    <w:p w:rsidR="00276C50" w:rsidRPr="00726CE9" w:rsidRDefault="00276C50" w:rsidP="00276C50">
      <w:pPr>
        <w:autoSpaceDE w:val="0"/>
        <w:autoSpaceDN w:val="0"/>
        <w:adjustRightInd w:val="0"/>
        <w:spacing w:after="0" w:line="360" w:lineRule="auto"/>
        <w:jc w:val="both"/>
        <w:rPr>
          <w:rFonts w:ascii="Arial" w:hAnsi="Arial" w:cs="Arial"/>
          <w:sz w:val="24"/>
          <w:szCs w:val="24"/>
        </w:rPr>
      </w:pPr>
      <w:r>
        <w:rPr>
          <w:rFonts w:ascii="Arial" w:hAnsi="Arial" w:cs="Arial"/>
          <w:b/>
          <w:bCs/>
          <w:sz w:val="24"/>
          <w:szCs w:val="24"/>
        </w:rPr>
        <w:t xml:space="preserve">6.3 </w:t>
      </w:r>
      <w:r w:rsidRPr="00726CE9">
        <w:rPr>
          <w:rFonts w:ascii="Arial" w:hAnsi="Arial"/>
          <w:sz w:val="24"/>
          <w:szCs w:val="24"/>
        </w:rPr>
        <w:t xml:space="preserve">Otorgada la anuencia </w:t>
      </w:r>
      <w:r>
        <w:rPr>
          <w:rFonts w:ascii="Arial" w:hAnsi="Arial"/>
          <w:sz w:val="24"/>
          <w:szCs w:val="24"/>
        </w:rPr>
        <w:t xml:space="preserve">por parte de la Junta Departamental y culminado el procedimiento </w:t>
      </w:r>
      <w:r w:rsidRPr="00726CE9">
        <w:rPr>
          <w:rFonts w:ascii="Arial" w:hAnsi="Arial"/>
          <w:sz w:val="24"/>
          <w:szCs w:val="24"/>
        </w:rPr>
        <w:t>de contratación</w:t>
      </w:r>
      <w:r>
        <w:rPr>
          <w:rFonts w:ascii="Arial" w:hAnsi="Arial"/>
          <w:sz w:val="24"/>
          <w:szCs w:val="24"/>
        </w:rPr>
        <w:t xml:space="preserve"> respectivo (Artículo 33 del T.O.C.A.F.)</w:t>
      </w:r>
      <w:r w:rsidRPr="00726CE9">
        <w:rPr>
          <w:rFonts w:ascii="Arial" w:hAnsi="Arial"/>
          <w:sz w:val="24"/>
          <w:szCs w:val="24"/>
        </w:rPr>
        <w:t xml:space="preserve">, </w:t>
      </w:r>
      <w:r>
        <w:rPr>
          <w:rFonts w:ascii="Arial" w:hAnsi="Arial"/>
          <w:sz w:val="24"/>
          <w:szCs w:val="24"/>
        </w:rPr>
        <w:t xml:space="preserve">el mismo </w:t>
      </w:r>
      <w:r w:rsidRPr="00726CE9">
        <w:rPr>
          <w:rFonts w:ascii="Arial" w:hAnsi="Arial"/>
          <w:sz w:val="24"/>
          <w:szCs w:val="24"/>
        </w:rPr>
        <w:t>deberá ser sometido por la Intendencia actuante, junto con el contrato proyectado o suscrito ad referéndum, a la intervención preventiva que compete a éste Tribunal.</w:t>
      </w:r>
    </w:p>
    <w:p w:rsidR="00276C50" w:rsidRDefault="00276C50">
      <w:pPr>
        <w:autoSpaceDE w:val="0"/>
        <w:autoSpaceDN w:val="0"/>
        <w:adjustRightInd w:val="0"/>
        <w:spacing w:after="0" w:line="240" w:lineRule="auto"/>
        <w:rPr>
          <w:rFonts w:ascii="LiberationSans-Regular" w:hAnsi="LiberationSans-Regular" w:cs="LiberationSans-Regular"/>
          <w:sz w:val="20"/>
          <w:szCs w:val="20"/>
        </w:rPr>
      </w:pPr>
    </w:p>
    <w:p w:rsidR="00276C50" w:rsidRDefault="00276C50">
      <w:pPr>
        <w:autoSpaceDE w:val="0"/>
        <w:autoSpaceDN w:val="0"/>
        <w:adjustRightInd w:val="0"/>
        <w:spacing w:after="0" w:line="240" w:lineRule="auto"/>
        <w:rPr>
          <w:rFonts w:ascii="LiberationSans-Regular" w:hAnsi="LiberationSans-Regular" w:cs="LiberationSans-Regular"/>
          <w:sz w:val="20"/>
          <w:szCs w:val="20"/>
        </w:rPr>
      </w:pPr>
    </w:p>
    <w:p w:rsidR="00276C50" w:rsidRDefault="00276C50">
      <w:pPr>
        <w:autoSpaceDE w:val="0"/>
        <w:autoSpaceDN w:val="0"/>
        <w:adjustRightInd w:val="0"/>
        <w:spacing w:after="0" w:line="240" w:lineRule="auto"/>
        <w:rPr>
          <w:rFonts w:ascii="LiberationSans-Regular" w:hAnsi="LiberationSans-Regular" w:cs="LiberationSans-Regular"/>
          <w:sz w:val="20"/>
          <w:szCs w:val="20"/>
        </w:rPr>
      </w:pPr>
    </w:p>
    <w:p w:rsidR="00E52499" w:rsidRPr="00276C50" w:rsidRDefault="00276C50" w:rsidP="00276C50">
      <w:pPr>
        <w:autoSpaceDE w:val="0"/>
        <w:autoSpaceDN w:val="0"/>
        <w:adjustRightInd w:val="0"/>
        <w:spacing w:after="0" w:line="240" w:lineRule="auto"/>
        <w:rPr>
          <w:rFonts w:ascii="Arial" w:hAnsi="Arial" w:cs="Arial"/>
          <w:sz w:val="24"/>
          <w:szCs w:val="24"/>
        </w:rPr>
      </w:pPr>
      <w:proofErr w:type="spellStart"/>
      <w:proofErr w:type="gramStart"/>
      <w:r>
        <w:rPr>
          <w:rFonts w:ascii="Arial" w:hAnsi="Arial" w:cs="Arial"/>
          <w:sz w:val="24"/>
          <w:szCs w:val="24"/>
        </w:rPr>
        <w:t>bf</w:t>
      </w:r>
      <w:proofErr w:type="spellEnd"/>
      <w:proofErr w:type="gramEnd"/>
    </w:p>
    <w:sectPr w:rsidR="00E52499" w:rsidRPr="00276C50" w:rsidSect="000E1518">
      <w:footerReference w:type="default" r:id="rId8"/>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C50" w:rsidRDefault="00276C50">
      <w:pPr>
        <w:spacing w:after="0" w:line="240" w:lineRule="auto"/>
      </w:pPr>
      <w:r>
        <w:separator/>
      </w:r>
    </w:p>
  </w:endnote>
  <w:endnote w:type="continuationSeparator" w:id="0">
    <w:p w:rsidR="00276C50" w:rsidRDefault="00276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LiberationSans-Bold">
    <w:panose1 w:val="00000000000000000000"/>
    <w:charset w:val="00"/>
    <w:family w:val="auto"/>
    <w:notTrueType/>
    <w:pitch w:val="default"/>
    <w:sig w:usb0="00000003" w:usb1="00000000" w:usb2="00000000" w:usb3="00000000" w:csb0="00000001" w:csb1="00000000"/>
  </w:font>
  <w:font w:name="LiberationSans-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C50" w:rsidRDefault="00276C50">
    <w:pPr>
      <w:pStyle w:val="Piedepgina"/>
      <w:jc w:val="center"/>
    </w:pPr>
    <w:r>
      <w:fldChar w:fldCharType="begin"/>
    </w:r>
    <w:r>
      <w:instrText>PAGE   \* MERGEFORMAT</w:instrText>
    </w:r>
    <w:r>
      <w:fldChar w:fldCharType="separate"/>
    </w:r>
    <w:r w:rsidR="007A3809">
      <w:rPr>
        <w:noProof/>
      </w:rPr>
      <w:t>1</w:t>
    </w:r>
    <w:r>
      <w:fldChar w:fldCharType="end"/>
    </w:r>
  </w:p>
  <w:p w:rsidR="00276C50" w:rsidRDefault="00276C5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C50" w:rsidRDefault="00276C50">
      <w:pPr>
        <w:spacing w:after="0" w:line="240" w:lineRule="auto"/>
      </w:pPr>
      <w:r>
        <w:separator/>
      </w:r>
    </w:p>
  </w:footnote>
  <w:footnote w:type="continuationSeparator" w:id="0">
    <w:p w:rsidR="00276C50" w:rsidRDefault="00276C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62B9F"/>
    <w:multiLevelType w:val="hybridMultilevel"/>
    <w:tmpl w:val="D2B8643E"/>
    <w:lvl w:ilvl="0" w:tplc="081A334E">
      <w:start w:val="1"/>
      <w:numFmt w:val="decimal"/>
      <w:lvlText w:val="%1)"/>
      <w:lvlJc w:val="left"/>
      <w:pPr>
        <w:ind w:left="360" w:hanging="360"/>
      </w:pPr>
      <w:rPr>
        <w:rFonts w:ascii="Arial" w:eastAsia="Times New Roman" w:hAnsi="Arial" w:cs="Arial"/>
        <w:b/>
      </w:rPr>
    </w:lvl>
    <w:lvl w:ilvl="1" w:tplc="0C0A0019">
      <w:start w:val="1"/>
      <w:numFmt w:val="lowerLetter"/>
      <w:lvlText w:val="%2."/>
      <w:lvlJc w:val="left"/>
      <w:pPr>
        <w:ind w:left="1080" w:hanging="360"/>
      </w:pPr>
      <w:rPr>
        <w:rFonts w:ascii="Times New Roman" w:hAnsi="Times New Roman" w:cs="Times New Roman"/>
      </w:rPr>
    </w:lvl>
    <w:lvl w:ilvl="2" w:tplc="0C0A001B">
      <w:start w:val="1"/>
      <w:numFmt w:val="lowerRoman"/>
      <w:lvlText w:val="%3."/>
      <w:lvlJc w:val="right"/>
      <w:pPr>
        <w:ind w:left="1800" w:hanging="180"/>
      </w:pPr>
      <w:rPr>
        <w:rFonts w:ascii="Times New Roman" w:hAnsi="Times New Roman" w:cs="Times New Roman"/>
      </w:rPr>
    </w:lvl>
    <w:lvl w:ilvl="3" w:tplc="0C0A000F">
      <w:start w:val="1"/>
      <w:numFmt w:val="decimal"/>
      <w:lvlText w:val="%4."/>
      <w:lvlJc w:val="left"/>
      <w:pPr>
        <w:ind w:left="2520" w:hanging="360"/>
      </w:pPr>
      <w:rPr>
        <w:rFonts w:ascii="Times New Roman" w:hAnsi="Times New Roman" w:cs="Times New Roman"/>
      </w:rPr>
    </w:lvl>
    <w:lvl w:ilvl="4" w:tplc="0C0A0019">
      <w:start w:val="1"/>
      <w:numFmt w:val="lowerLetter"/>
      <w:lvlText w:val="%5."/>
      <w:lvlJc w:val="left"/>
      <w:pPr>
        <w:ind w:left="3240" w:hanging="360"/>
      </w:pPr>
      <w:rPr>
        <w:rFonts w:ascii="Times New Roman" w:hAnsi="Times New Roman" w:cs="Times New Roman"/>
      </w:rPr>
    </w:lvl>
    <w:lvl w:ilvl="5" w:tplc="0C0A001B">
      <w:start w:val="1"/>
      <w:numFmt w:val="lowerRoman"/>
      <w:lvlText w:val="%6."/>
      <w:lvlJc w:val="right"/>
      <w:pPr>
        <w:ind w:left="3960" w:hanging="180"/>
      </w:pPr>
      <w:rPr>
        <w:rFonts w:ascii="Times New Roman" w:hAnsi="Times New Roman" w:cs="Times New Roman"/>
      </w:rPr>
    </w:lvl>
    <w:lvl w:ilvl="6" w:tplc="0C0A000F">
      <w:start w:val="1"/>
      <w:numFmt w:val="decimal"/>
      <w:lvlText w:val="%7."/>
      <w:lvlJc w:val="left"/>
      <w:pPr>
        <w:ind w:left="4680" w:hanging="360"/>
      </w:pPr>
      <w:rPr>
        <w:rFonts w:ascii="Times New Roman" w:hAnsi="Times New Roman" w:cs="Times New Roman"/>
      </w:rPr>
    </w:lvl>
    <w:lvl w:ilvl="7" w:tplc="0C0A0019">
      <w:start w:val="1"/>
      <w:numFmt w:val="lowerLetter"/>
      <w:lvlText w:val="%8."/>
      <w:lvlJc w:val="left"/>
      <w:pPr>
        <w:ind w:left="5400" w:hanging="360"/>
      </w:pPr>
      <w:rPr>
        <w:rFonts w:ascii="Times New Roman" w:hAnsi="Times New Roman" w:cs="Times New Roman"/>
      </w:rPr>
    </w:lvl>
    <w:lvl w:ilvl="8" w:tplc="0C0A001B">
      <w:start w:val="1"/>
      <w:numFmt w:val="lowerRoman"/>
      <w:lvlText w:val="%9."/>
      <w:lvlJc w:val="right"/>
      <w:pPr>
        <w:ind w:left="6120" w:hanging="18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90C"/>
    <w:rsid w:val="000E1518"/>
    <w:rsid w:val="00276C50"/>
    <w:rsid w:val="0038173F"/>
    <w:rsid w:val="005D316D"/>
    <w:rsid w:val="006C4959"/>
    <w:rsid w:val="007A3809"/>
    <w:rsid w:val="00B73591"/>
    <w:rsid w:val="00B95711"/>
    <w:rsid w:val="00DB690C"/>
    <w:rsid w:val="00E52499"/>
    <w:rsid w:val="00ED0B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90C"/>
    <w:rPr>
      <w:rFonts w:ascii="Calibri" w:eastAsia="Times New Roman" w:hAnsi="Calibri" w:cs="Calibri"/>
    </w:rPr>
  </w:style>
  <w:style w:type="paragraph" w:styleId="Ttulo1">
    <w:name w:val="heading 1"/>
    <w:basedOn w:val="Normal"/>
    <w:next w:val="Normal"/>
    <w:link w:val="Ttulo1Car"/>
    <w:uiPriority w:val="99"/>
    <w:qFormat/>
    <w:rsid w:val="00DB690C"/>
    <w:pPr>
      <w:keepNext/>
      <w:widowControl w:val="0"/>
      <w:suppressAutoHyphens/>
      <w:spacing w:after="0" w:line="240" w:lineRule="auto"/>
      <w:jc w:val="both"/>
      <w:outlineLvl w:val="0"/>
    </w:pPr>
    <w:rPr>
      <w:rFonts w:ascii="Bookman Old Style" w:hAnsi="Bookman Old Style" w:cs="Bookman Old Style"/>
      <w:b/>
      <w:bCs/>
      <w:spacing w:val="-3"/>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DB690C"/>
    <w:rPr>
      <w:rFonts w:ascii="Bookman Old Style" w:eastAsia="Times New Roman" w:hAnsi="Bookman Old Style" w:cs="Bookman Old Style"/>
      <w:b/>
      <w:bCs/>
      <w:spacing w:val="-3"/>
      <w:sz w:val="24"/>
      <w:szCs w:val="24"/>
      <w:lang w:val="es-ES_tradnl" w:eastAsia="es-ES"/>
    </w:rPr>
  </w:style>
  <w:style w:type="paragraph" w:styleId="Piedepgina">
    <w:name w:val="footer"/>
    <w:basedOn w:val="Normal"/>
    <w:link w:val="PiedepginaCar"/>
    <w:uiPriority w:val="99"/>
    <w:unhideWhenUsed/>
    <w:rsid w:val="00DB690C"/>
    <w:pPr>
      <w:tabs>
        <w:tab w:val="center" w:pos="4252"/>
        <w:tab w:val="right" w:pos="8504"/>
      </w:tabs>
    </w:pPr>
  </w:style>
  <w:style w:type="character" w:customStyle="1" w:styleId="PiedepginaCar">
    <w:name w:val="Pie de página Car"/>
    <w:basedOn w:val="Fuentedeprrafopredeter"/>
    <w:link w:val="Piedepgina"/>
    <w:uiPriority w:val="99"/>
    <w:rsid w:val="00DB690C"/>
    <w:rPr>
      <w:rFonts w:ascii="Calibri" w:eastAsia="Times New Roman" w:hAnsi="Calibri" w:cs="Calibri"/>
    </w:rPr>
  </w:style>
  <w:style w:type="paragraph" w:styleId="Prrafodelista">
    <w:name w:val="List Paragraph"/>
    <w:basedOn w:val="Normal"/>
    <w:uiPriority w:val="34"/>
    <w:qFormat/>
    <w:rsid w:val="00ED0B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90C"/>
    <w:rPr>
      <w:rFonts w:ascii="Calibri" w:eastAsia="Times New Roman" w:hAnsi="Calibri" w:cs="Calibri"/>
    </w:rPr>
  </w:style>
  <w:style w:type="paragraph" w:styleId="Ttulo1">
    <w:name w:val="heading 1"/>
    <w:basedOn w:val="Normal"/>
    <w:next w:val="Normal"/>
    <w:link w:val="Ttulo1Car"/>
    <w:uiPriority w:val="99"/>
    <w:qFormat/>
    <w:rsid w:val="00DB690C"/>
    <w:pPr>
      <w:keepNext/>
      <w:widowControl w:val="0"/>
      <w:suppressAutoHyphens/>
      <w:spacing w:after="0" w:line="240" w:lineRule="auto"/>
      <w:jc w:val="both"/>
      <w:outlineLvl w:val="0"/>
    </w:pPr>
    <w:rPr>
      <w:rFonts w:ascii="Bookman Old Style" w:hAnsi="Bookman Old Style" w:cs="Bookman Old Style"/>
      <w:b/>
      <w:bCs/>
      <w:spacing w:val="-3"/>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DB690C"/>
    <w:rPr>
      <w:rFonts w:ascii="Bookman Old Style" w:eastAsia="Times New Roman" w:hAnsi="Bookman Old Style" w:cs="Bookman Old Style"/>
      <w:b/>
      <w:bCs/>
      <w:spacing w:val="-3"/>
      <w:sz w:val="24"/>
      <w:szCs w:val="24"/>
      <w:lang w:val="es-ES_tradnl" w:eastAsia="es-ES"/>
    </w:rPr>
  </w:style>
  <w:style w:type="paragraph" w:styleId="Piedepgina">
    <w:name w:val="footer"/>
    <w:basedOn w:val="Normal"/>
    <w:link w:val="PiedepginaCar"/>
    <w:uiPriority w:val="99"/>
    <w:unhideWhenUsed/>
    <w:rsid w:val="00DB690C"/>
    <w:pPr>
      <w:tabs>
        <w:tab w:val="center" w:pos="4252"/>
        <w:tab w:val="right" w:pos="8504"/>
      </w:tabs>
    </w:pPr>
  </w:style>
  <w:style w:type="character" w:customStyle="1" w:styleId="PiedepginaCar">
    <w:name w:val="Pie de página Car"/>
    <w:basedOn w:val="Fuentedeprrafopredeter"/>
    <w:link w:val="Piedepgina"/>
    <w:uiPriority w:val="99"/>
    <w:rsid w:val="00DB690C"/>
    <w:rPr>
      <w:rFonts w:ascii="Calibri" w:eastAsia="Times New Roman" w:hAnsi="Calibri" w:cs="Calibri"/>
    </w:rPr>
  </w:style>
  <w:style w:type="paragraph" w:styleId="Prrafodelista">
    <w:name w:val="List Paragraph"/>
    <w:basedOn w:val="Normal"/>
    <w:uiPriority w:val="34"/>
    <w:qFormat/>
    <w:rsid w:val="00ED0B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1022</Words>
  <Characters>5624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4</cp:revision>
  <cp:lastPrinted>2016-03-08T13:04:00Z</cp:lastPrinted>
  <dcterms:created xsi:type="dcterms:W3CDTF">2016-03-28T16:57:00Z</dcterms:created>
  <dcterms:modified xsi:type="dcterms:W3CDTF">2016-05-18T17:34:00Z</dcterms:modified>
</cp:coreProperties>
</file>