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8DA" w:rsidRPr="00786EEB" w:rsidRDefault="009618DA" w:rsidP="009618DA">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876</w:t>
      </w:r>
      <w:r w:rsidRPr="00786EEB">
        <w:rPr>
          <w:rFonts w:ascii="Arial" w:hAnsi="Arial" w:cs="Arial"/>
          <w:b/>
          <w:sz w:val="28"/>
          <w:szCs w:val="28"/>
          <w:lang w:val="es-ES_tradnl"/>
        </w:rPr>
        <w:t>/16</w:t>
      </w:r>
    </w:p>
    <w:p w:rsidR="009618DA" w:rsidRDefault="009618DA" w:rsidP="00786EEB">
      <w:pPr>
        <w:tabs>
          <w:tab w:val="center" w:pos="4253"/>
        </w:tabs>
        <w:suppressAutoHyphens/>
        <w:jc w:val="right"/>
        <w:rPr>
          <w:rFonts w:ascii="Arial" w:hAnsi="Arial" w:cs="Arial"/>
          <w:b/>
          <w:lang w:val="es-ES_tradnl"/>
        </w:rPr>
      </w:pPr>
    </w:p>
    <w:p w:rsidR="009618DA" w:rsidRPr="009618DA" w:rsidRDefault="009618DA" w:rsidP="009618DA">
      <w:pPr>
        <w:tabs>
          <w:tab w:val="center" w:pos="4253"/>
        </w:tabs>
        <w:suppressAutoHyphens/>
        <w:spacing w:after="0" w:line="240" w:lineRule="auto"/>
        <w:jc w:val="center"/>
        <w:rPr>
          <w:rFonts w:ascii="Arial" w:hAnsi="Arial" w:cs="Arial"/>
          <w:b/>
          <w:sz w:val="24"/>
          <w:szCs w:val="24"/>
          <w:lang w:val="es-ES_tradnl"/>
        </w:rPr>
      </w:pPr>
      <w:r w:rsidRPr="009618DA">
        <w:rPr>
          <w:rFonts w:ascii="Arial" w:hAnsi="Arial" w:cs="Arial"/>
          <w:b/>
          <w:sz w:val="24"/>
          <w:szCs w:val="24"/>
          <w:lang w:val="es-ES_tradnl"/>
        </w:rPr>
        <w:t>RESOLUCION ADOPTADA POR EL</w:t>
      </w:r>
    </w:p>
    <w:p w:rsidR="009618DA" w:rsidRPr="009618DA" w:rsidRDefault="009618DA" w:rsidP="009618DA">
      <w:pPr>
        <w:tabs>
          <w:tab w:val="left" w:pos="-720"/>
        </w:tabs>
        <w:suppressAutoHyphens/>
        <w:spacing w:after="0" w:line="240" w:lineRule="auto"/>
        <w:jc w:val="center"/>
        <w:rPr>
          <w:rFonts w:ascii="Arial" w:hAnsi="Arial" w:cs="Arial"/>
          <w:b/>
          <w:sz w:val="24"/>
          <w:szCs w:val="24"/>
          <w:lang w:val="es-ES_tradnl"/>
        </w:rPr>
      </w:pPr>
    </w:p>
    <w:p w:rsidR="009618DA" w:rsidRPr="009618DA" w:rsidRDefault="009618DA" w:rsidP="009618DA">
      <w:pPr>
        <w:tabs>
          <w:tab w:val="center" w:pos="4253"/>
        </w:tabs>
        <w:suppressAutoHyphens/>
        <w:spacing w:after="0" w:line="240" w:lineRule="auto"/>
        <w:jc w:val="center"/>
        <w:rPr>
          <w:rFonts w:ascii="Arial" w:hAnsi="Arial" w:cs="Arial"/>
          <w:b/>
          <w:sz w:val="24"/>
          <w:szCs w:val="24"/>
          <w:lang w:val="es-ES_tradnl"/>
        </w:rPr>
      </w:pPr>
      <w:r w:rsidRPr="009618DA">
        <w:rPr>
          <w:rFonts w:ascii="Arial" w:hAnsi="Arial" w:cs="Arial"/>
          <w:b/>
          <w:sz w:val="24"/>
          <w:szCs w:val="24"/>
          <w:lang w:val="es-ES_tradnl"/>
        </w:rPr>
        <w:t>TRIBUNAL DE CUENTAS</w:t>
      </w:r>
    </w:p>
    <w:p w:rsidR="009618DA" w:rsidRPr="009618DA" w:rsidRDefault="009618DA" w:rsidP="009618DA">
      <w:pPr>
        <w:tabs>
          <w:tab w:val="left" w:pos="-720"/>
        </w:tabs>
        <w:suppressAutoHyphens/>
        <w:spacing w:after="0" w:line="240" w:lineRule="auto"/>
        <w:jc w:val="center"/>
        <w:rPr>
          <w:rFonts w:ascii="Arial" w:hAnsi="Arial" w:cs="Arial"/>
          <w:b/>
          <w:sz w:val="24"/>
          <w:szCs w:val="24"/>
          <w:lang w:val="es-ES_tradnl"/>
        </w:rPr>
      </w:pPr>
    </w:p>
    <w:p w:rsidR="009618DA" w:rsidRPr="009618DA" w:rsidRDefault="009618DA" w:rsidP="009618DA">
      <w:pPr>
        <w:tabs>
          <w:tab w:val="center" w:pos="4253"/>
        </w:tabs>
        <w:suppressAutoHyphens/>
        <w:spacing w:after="0" w:line="240" w:lineRule="auto"/>
        <w:jc w:val="center"/>
        <w:rPr>
          <w:rFonts w:ascii="Arial" w:hAnsi="Arial" w:cs="Arial"/>
          <w:b/>
          <w:sz w:val="24"/>
          <w:szCs w:val="24"/>
          <w:lang w:val="es-ES_tradnl"/>
        </w:rPr>
      </w:pPr>
      <w:r w:rsidRPr="009618DA">
        <w:rPr>
          <w:rFonts w:ascii="Arial" w:hAnsi="Arial" w:cs="Arial"/>
          <w:b/>
          <w:sz w:val="24"/>
          <w:szCs w:val="24"/>
          <w:lang w:val="es-ES_tradnl"/>
        </w:rPr>
        <w:t>EN SESION DE FECHA 16 DE MARZO  DE 2016</w:t>
      </w:r>
    </w:p>
    <w:p w:rsidR="009618DA" w:rsidRPr="009618DA" w:rsidRDefault="009618DA" w:rsidP="009618DA">
      <w:pPr>
        <w:tabs>
          <w:tab w:val="center" w:pos="4253"/>
        </w:tabs>
        <w:suppressAutoHyphens/>
        <w:spacing w:after="0" w:line="240" w:lineRule="auto"/>
        <w:jc w:val="center"/>
        <w:rPr>
          <w:rFonts w:ascii="Arial" w:hAnsi="Arial" w:cs="Arial"/>
          <w:b/>
          <w:sz w:val="24"/>
          <w:szCs w:val="24"/>
          <w:lang w:val="es-ES_tradnl"/>
        </w:rPr>
      </w:pPr>
    </w:p>
    <w:p w:rsidR="009618DA" w:rsidRPr="009618DA" w:rsidRDefault="009618DA" w:rsidP="009618DA">
      <w:pPr>
        <w:spacing w:after="0" w:line="240" w:lineRule="auto"/>
        <w:jc w:val="center"/>
        <w:rPr>
          <w:rFonts w:ascii="Arial" w:hAnsi="Arial" w:cs="Arial"/>
          <w:b/>
          <w:bCs/>
          <w:sz w:val="24"/>
          <w:szCs w:val="24"/>
        </w:rPr>
      </w:pPr>
      <w:r w:rsidRPr="009618DA">
        <w:rPr>
          <w:rFonts w:ascii="Arial" w:hAnsi="Arial" w:cs="Arial"/>
          <w:b/>
          <w:sz w:val="24"/>
          <w:szCs w:val="24"/>
          <w:lang w:val="en-US"/>
        </w:rPr>
        <w:t xml:space="preserve">(E. E. Nº </w:t>
      </w:r>
      <w:r w:rsidRPr="009618DA">
        <w:rPr>
          <w:rFonts w:ascii="Arial" w:hAnsi="Arial" w:cs="Arial"/>
          <w:b/>
          <w:bCs/>
          <w:sz w:val="24"/>
          <w:szCs w:val="24"/>
        </w:rPr>
        <w:t>2014-17-1-0008229</w:t>
      </w:r>
      <w:r w:rsidRPr="009618DA">
        <w:rPr>
          <w:rFonts w:ascii="Arial" w:hAnsi="Arial" w:cs="Arial"/>
          <w:b/>
          <w:sz w:val="24"/>
          <w:szCs w:val="24"/>
          <w:lang w:val="en-US"/>
        </w:rPr>
        <w:t xml:space="preserve">, </w:t>
      </w:r>
      <w:proofErr w:type="gramStart"/>
      <w:r w:rsidRPr="009618DA">
        <w:rPr>
          <w:rFonts w:ascii="Arial" w:hAnsi="Arial" w:cs="Arial"/>
          <w:b/>
          <w:sz w:val="24"/>
          <w:szCs w:val="24"/>
          <w:lang w:val="en-US"/>
        </w:rPr>
        <w:t>Ent</w:t>
      </w:r>
      <w:proofErr w:type="gramEnd"/>
      <w:r w:rsidRPr="009618DA">
        <w:rPr>
          <w:rFonts w:ascii="Arial" w:hAnsi="Arial" w:cs="Arial"/>
          <w:b/>
          <w:sz w:val="24"/>
          <w:szCs w:val="24"/>
          <w:lang w:val="en-US"/>
        </w:rPr>
        <w:t>. N°</w:t>
      </w:r>
      <w:r w:rsidRPr="009618DA">
        <w:rPr>
          <w:rFonts w:ascii="Arial" w:hAnsi="Arial" w:cs="Arial"/>
          <w:b/>
          <w:bCs/>
          <w:sz w:val="24"/>
          <w:szCs w:val="24"/>
        </w:rPr>
        <w:t>111/</w:t>
      </w:r>
      <w:r>
        <w:rPr>
          <w:rFonts w:ascii="Arial" w:hAnsi="Arial" w:cs="Arial"/>
          <w:b/>
          <w:bCs/>
          <w:sz w:val="24"/>
          <w:szCs w:val="24"/>
        </w:rPr>
        <w:t>16</w:t>
      </w:r>
      <w:r w:rsidRPr="009618DA">
        <w:rPr>
          <w:rFonts w:ascii="Arial" w:hAnsi="Arial" w:cs="Arial"/>
          <w:b/>
          <w:sz w:val="24"/>
          <w:szCs w:val="24"/>
          <w:lang w:val="en-US"/>
        </w:rPr>
        <w:t>)</w:t>
      </w:r>
    </w:p>
    <w:p w:rsidR="009618DA" w:rsidRPr="009618DA" w:rsidRDefault="009618DA" w:rsidP="009618DA">
      <w:pPr>
        <w:tabs>
          <w:tab w:val="center" w:pos="4253"/>
        </w:tabs>
        <w:suppressAutoHyphens/>
        <w:spacing w:after="0" w:line="240" w:lineRule="auto"/>
        <w:jc w:val="center"/>
        <w:rPr>
          <w:rFonts w:ascii="Arial" w:hAnsi="Arial" w:cs="Arial"/>
          <w:b/>
          <w:sz w:val="24"/>
          <w:szCs w:val="24"/>
          <w:lang w:val="en-US"/>
        </w:rPr>
      </w:pPr>
    </w:p>
    <w:p w:rsidR="00FF2A14" w:rsidRDefault="00FF2A14" w:rsidP="009618DA">
      <w:pPr>
        <w:spacing w:after="0" w:line="360" w:lineRule="auto"/>
        <w:ind w:firstLine="851"/>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lang w:val="es-ES"/>
        </w:rPr>
        <w:t xml:space="preserve">las actuaciones remitidas por la Administración de los Servicios de Salud del Estado (ASSE) en las que se plantea una  consulta  </w:t>
      </w:r>
      <w:r>
        <w:rPr>
          <w:rFonts w:ascii="Arial" w:hAnsi="Arial" w:cs="Arial"/>
          <w:sz w:val="24"/>
          <w:szCs w:val="24"/>
        </w:rPr>
        <w:t>respecto del procedimiento de acumulación de cargos de los Auxiliares de Enfermería</w:t>
      </w:r>
      <w:r>
        <w:rPr>
          <w:rFonts w:ascii="Arial" w:hAnsi="Arial" w:cs="Arial"/>
          <w:sz w:val="24"/>
          <w:szCs w:val="24"/>
          <w:lang w:val="es-ES"/>
        </w:rPr>
        <w:t>;</w:t>
      </w:r>
    </w:p>
    <w:p w:rsidR="009618DA" w:rsidRDefault="00FF2A14" w:rsidP="009618DA">
      <w:pPr>
        <w:spacing w:after="0" w:line="360" w:lineRule="auto"/>
        <w:ind w:firstLine="851"/>
        <w:jc w:val="both"/>
        <w:rPr>
          <w:rFonts w:ascii="Arial" w:hAnsi="Arial" w:cs="Arial"/>
          <w:sz w:val="24"/>
          <w:szCs w:val="24"/>
        </w:rPr>
      </w:pPr>
      <w:r>
        <w:rPr>
          <w:rFonts w:ascii="Arial" w:hAnsi="Arial" w:cs="Arial"/>
          <w:b/>
          <w:bCs/>
          <w:sz w:val="24"/>
          <w:szCs w:val="24"/>
        </w:rPr>
        <w:t>RESULTANDO:</w:t>
      </w:r>
      <w:r w:rsidR="009618DA">
        <w:rPr>
          <w:rFonts w:ascii="Arial" w:hAnsi="Arial" w:cs="Arial"/>
          <w:sz w:val="24"/>
          <w:szCs w:val="24"/>
        </w:rPr>
        <w:t xml:space="preserve"> </w:t>
      </w:r>
      <w:r w:rsidRPr="009618DA">
        <w:rPr>
          <w:rFonts w:ascii="Arial" w:hAnsi="Arial" w:cs="Arial"/>
          <w:b/>
          <w:sz w:val="24"/>
          <w:szCs w:val="24"/>
        </w:rPr>
        <w:t>1)</w:t>
      </w:r>
      <w:r>
        <w:rPr>
          <w:rFonts w:ascii="Arial" w:hAnsi="Arial" w:cs="Arial"/>
          <w:b/>
          <w:bCs/>
          <w:sz w:val="24"/>
          <w:szCs w:val="24"/>
        </w:rPr>
        <w:t xml:space="preserve"> </w:t>
      </w:r>
      <w:r>
        <w:rPr>
          <w:rFonts w:ascii="Arial" w:hAnsi="Arial" w:cs="Arial"/>
          <w:sz w:val="24"/>
          <w:szCs w:val="24"/>
        </w:rPr>
        <w:t>que la Contadora Delegada expresa que respecto de la liquidación relativa a la acumulación se debe cumplir con lo dispuesto en el Considerando 7) de la Resolución de fecha 28 de enero de 2015;</w:t>
      </w:r>
    </w:p>
    <w:p w:rsidR="00FF2A14" w:rsidRPr="009618DA" w:rsidRDefault="00FF2A14" w:rsidP="009618DA">
      <w:pPr>
        <w:spacing w:after="0" w:line="360" w:lineRule="auto"/>
        <w:ind w:firstLine="2835"/>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 xml:space="preserve">que, con fecha 07 de octubre de 2015 ,se expide la Asesoría Legal de la Gerencia de Recursos Humanos,  concluyendo que puede “el Tribunal de Cuentas proceder a la intervención preventiva y certificar la legalidad del gasto que supone la acumulación de empleos públicos”; sosteniendo que “de nada vale considerar en los hechos y en cada caso la función que desempeñan los Practicantes de Enfermería, porque por el sólo hecho de serlo y por razones de Derecho, están comprendidos en el escalafón B conforme lo dispone el legislador en el </w:t>
      </w:r>
      <w:r w:rsidR="009618DA">
        <w:rPr>
          <w:rFonts w:ascii="Arial" w:hAnsi="Arial" w:cs="Arial"/>
          <w:sz w:val="24"/>
          <w:szCs w:val="24"/>
        </w:rPr>
        <w:t>A</w:t>
      </w:r>
      <w:r>
        <w:rPr>
          <w:rFonts w:ascii="Arial" w:hAnsi="Arial" w:cs="Arial"/>
          <w:sz w:val="24"/>
          <w:szCs w:val="24"/>
        </w:rPr>
        <w:t>rtículo 30 de la Ley 15.809”;</w:t>
      </w:r>
    </w:p>
    <w:p w:rsidR="00FF2A14" w:rsidRDefault="00FF2A14" w:rsidP="009618DA">
      <w:pPr>
        <w:spacing w:after="0" w:line="360" w:lineRule="auto"/>
        <w:ind w:firstLine="851"/>
        <w:jc w:val="both"/>
        <w:rPr>
          <w:rFonts w:ascii="Arial" w:hAnsi="Arial" w:cs="Arial"/>
          <w:b/>
          <w:bCs/>
          <w:sz w:val="24"/>
          <w:szCs w:val="24"/>
        </w:rPr>
      </w:pPr>
      <w:r>
        <w:rPr>
          <w:rFonts w:ascii="Arial" w:hAnsi="Arial" w:cs="Arial"/>
          <w:b/>
          <w:bCs/>
          <w:sz w:val="24"/>
          <w:szCs w:val="24"/>
        </w:rPr>
        <w:t xml:space="preserve">CONSIDERANDO: 1) </w:t>
      </w:r>
      <w:r>
        <w:rPr>
          <w:rFonts w:ascii="Arial" w:hAnsi="Arial" w:cs="Arial"/>
          <w:sz w:val="24"/>
          <w:szCs w:val="24"/>
        </w:rPr>
        <w:t xml:space="preserve">que </w:t>
      </w:r>
      <w:r>
        <w:rPr>
          <w:rFonts w:ascii="Arial" w:hAnsi="Arial" w:cs="Arial"/>
          <w:sz w:val="24"/>
          <w:szCs w:val="24"/>
          <w:lang w:val="es-MX"/>
        </w:rPr>
        <w:t xml:space="preserve">conforme lo dispone el </w:t>
      </w:r>
      <w:r w:rsidR="009618DA">
        <w:rPr>
          <w:rFonts w:ascii="Arial" w:hAnsi="Arial" w:cs="Arial"/>
          <w:sz w:val="24"/>
          <w:szCs w:val="24"/>
          <w:lang w:val="es-MX"/>
        </w:rPr>
        <w:t>A</w:t>
      </w:r>
      <w:r>
        <w:rPr>
          <w:rFonts w:ascii="Arial" w:hAnsi="Arial" w:cs="Arial"/>
          <w:sz w:val="24"/>
          <w:szCs w:val="24"/>
          <w:lang w:val="es-MX"/>
        </w:rPr>
        <w:t xml:space="preserve">rtículo 112 del TOCAF, el efecto de la consulta que realizo ASSE es vinculante en el caso concreto, señalándose que el pronunciamiento que se emite no compromete la opinión de este Tribunal, salvo en lo que refiere al punto específico que se consulta, ni altera ni menoscaba los efectos del contralor externo atribuido al Tribunal de Cuentas por las normas constitucionales y legales </w:t>
      </w:r>
      <w:r>
        <w:rPr>
          <w:rFonts w:ascii="Arial" w:hAnsi="Arial" w:cs="Arial"/>
          <w:sz w:val="24"/>
          <w:szCs w:val="24"/>
        </w:rPr>
        <w:t>(Considerando 3) y Acuerdo 1) de la Resolución de fecha 30 de junio de 2004);</w:t>
      </w:r>
    </w:p>
    <w:p w:rsidR="009618DA" w:rsidRDefault="00FF2A14" w:rsidP="00DD5081">
      <w:pPr>
        <w:spacing w:after="0" w:line="360" w:lineRule="auto"/>
        <w:ind w:firstLine="2835"/>
        <w:jc w:val="both"/>
        <w:rPr>
          <w:rFonts w:ascii="Arial" w:hAnsi="Arial" w:cs="Arial"/>
          <w:b/>
          <w:bCs/>
          <w:sz w:val="24"/>
          <w:szCs w:val="24"/>
        </w:rPr>
      </w:pPr>
      <w:r>
        <w:rPr>
          <w:rFonts w:ascii="Arial" w:hAnsi="Arial" w:cs="Arial"/>
          <w:b/>
          <w:bCs/>
          <w:sz w:val="24"/>
          <w:szCs w:val="24"/>
        </w:rPr>
        <w:lastRenderedPageBreak/>
        <w:t>2)</w:t>
      </w:r>
      <w:r w:rsidR="009618DA">
        <w:rPr>
          <w:rFonts w:ascii="Arial" w:hAnsi="Arial" w:cs="Arial"/>
          <w:b/>
          <w:bCs/>
          <w:sz w:val="24"/>
          <w:szCs w:val="24"/>
        </w:rPr>
        <w:t xml:space="preserve"> </w:t>
      </w:r>
      <w:r>
        <w:rPr>
          <w:rFonts w:ascii="Arial" w:hAnsi="Arial" w:cs="Arial"/>
          <w:sz w:val="24"/>
          <w:szCs w:val="24"/>
        </w:rPr>
        <w:t>que el objeto de la presente consulta fue analizado con anterioridad por este Tribunal, expidiéndose en sendas Resoluciones adoptadas en Sesiones de fecha 28 de enero y 6 de mayo de 2015</w:t>
      </w:r>
      <w:r w:rsidR="009618DA">
        <w:rPr>
          <w:rFonts w:ascii="Arial" w:hAnsi="Arial" w:cs="Arial"/>
          <w:sz w:val="24"/>
          <w:szCs w:val="24"/>
        </w:rPr>
        <w:t>;</w:t>
      </w:r>
    </w:p>
    <w:p w:rsidR="00FF2A14" w:rsidRPr="009618DA" w:rsidRDefault="00FF2A14" w:rsidP="00DD5081">
      <w:pPr>
        <w:spacing w:after="0" w:line="360" w:lineRule="auto"/>
        <w:ind w:firstLine="2835"/>
        <w:jc w:val="both"/>
        <w:rPr>
          <w:rFonts w:ascii="Arial" w:hAnsi="Arial" w:cs="Arial"/>
          <w:b/>
          <w:bCs/>
          <w:sz w:val="24"/>
          <w:szCs w:val="24"/>
        </w:rPr>
      </w:pPr>
      <w:r>
        <w:rPr>
          <w:rFonts w:ascii="Arial" w:hAnsi="Arial" w:cs="Arial"/>
          <w:b/>
          <w:bCs/>
          <w:sz w:val="24"/>
          <w:szCs w:val="24"/>
        </w:rPr>
        <w:t>3)</w:t>
      </w:r>
      <w:r>
        <w:rPr>
          <w:rFonts w:ascii="Arial" w:hAnsi="Arial" w:cs="Arial"/>
          <w:sz w:val="24"/>
          <w:szCs w:val="24"/>
        </w:rPr>
        <w:t xml:space="preserve"> que sin perjuicio de lo señalado en el considerando precedente, respecto de los practicantes internos de ASSE se señala que  el </w:t>
      </w:r>
      <w:r w:rsidR="009618DA">
        <w:rPr>
          <w:rFonts w:ascii="Arial" w:hAnsi="Arial" w:cs="Arial"/>
          <w:sz w:val="24"/>
          <w:szCs w:val="24"/>
        </w:rPr>
        <w:t>A</w:t>
      </w:r>
      <w:r>
        <w:rPr>
          <w:rFonts w:ascii="Arial" w:hAnsi="Arial" w:cs="Arial"/>
          <w:sz w:val="24"/>
          <w:szCs w:val="24"/>
        </w:rPr>
        <w:t xml:space="preserve">rtículo 594 de la Ley N° 19.355 vigente desde el 1° de enero de 2016, establece que: “ En el Inciso 29 “Administración de los Servicios de Salud del Estado”, los practicantes internos designados por concurso en contratos de función pública o contrataciones rentadas temporarias, podrán acumular a su sueldo las remuneraciones provenientes de otros empleos que desempeñen en la Administración Pública, hasta 60 horas semanales de labor, siempre que no exista superposición total o parcial entre los mismos y cumplan con los demás requisitos establecidos en el </w:t>
      </w:r>
      <w:r w:rsidR="009618DA">
        <w:rPr>
          <w:rFonts w:ascii="Arial" w:hAnsi="Arial" w:cs="Arial"/>
          <w:sz w:val="24"/>
          <w:szCs w:val="24"/>
        </w:rPr>
        <w:t>A</w:t>
      </w:r>
      <w:r>
        <w:rPr>
          <w:rFonts w:ascii="Arial" w:hAnsi="Arial" w:cs="Arial"/>
          <w:sz w:val="24"/>
          <w:szCs w:val="24"/>
        </w:rPr>
        <w:t>rt</w:t>
      </w:r>
      <w:r w:rsidR="009618DA">
        <w:rPr>
          <w:rFonts w:ascii="Arial" w:hAnsi="Arial" w:cs="Arial"/>
          <w:sz w:val="24"/>
          <w:szCs w:val="24"/>
        </w:rPr>
        <w:t>í</w:t>
      </w:r>
      <w:r>
        <w:rPr>
          <w:rFonts w:ascii="Arial" w:hAnsi="Arial" w:cs="Arial"/>
          <w:sz w:val="24"/>
          <w:szCs w:val="24"/>
        </w:rPr>
        <w:t>culo 650 de la Ley No. 16.170, de 28 de diciembre de 1990 y normas reglamentarias”</w:t>
      </w:r>
      <w:r w:rsidR="009618DA">
        <w:rPr>
          <w:rFonts w:ascii="Arial" w:hAnsi="Arial" w:cs="Arial"/>
          <w:sz w:val="24"/>
          <w:szCs w:val="24"/>
        </w:rPr>
        <w:t>;</w:t>
      </w:r>
    </w:p>
    <w:p w:rsidR="00FF2A14" w:rsidRPr="009618DA" w:rsidRDefault="00FF2A14" w:rsidP="009618DA">
      <w:pPr>
        <w:spacing w:after="0" w:line="360" w:lineRule="auto"/>
        <w:ind w:firstLine="851"/>
        <w:jc w:val="both"/>
        <w:rPr>
          <w:rFonts w:ascii="Arial" w:hAnsi="Arial" w:cs="Arial"/>
          <w:sz w:val="24"/>
          <w:szCs w:val="24"/>
          <w:lang w:val="es-MX" w:eastAsia="es-ES"/>
        </w:rPr>
      </w:pPr>
      <w:r>
        <w:rPr>
          <w:rFonts w:ascii="Arial" w:hAnsi="Arial" w:cs="Arial"/>
          <w:b/>
          <w:bCs/>
          <w:sz w:val="24"/>
          <w:szCs w:val="24"/>
          <w:lang w:val="es-MX" w:eastAsia="es-ES"/>
        </w:rPr>
        <w:t xml:space="preserve">ATENTO: </w:t>
      </w:r>
      <w:r>
        <w:rPr>
          <w:rFonts w:ascii="Arial" w:hAnsi="Arial" w:cs="Arial"/>
          <w:sz w:val="24"/>
          <w:szCs w:val="24"/>
          <w:lang w:val="es-MX" w:eastAsia="es-ES"/>
        </w:rPr>
        <w:t>a lo precedentemente expuesto;</w:t>
      </w:r>
      <w:bookmarkStart w:id="0" w:name="_GoBack"/>
      <w:bookmarkEnd w:id="0"/>
    </w:p>
    <w:p w:rsidR="00FF2A14" w:rsidRDefault="00FF2A14" w:rsidP="009618DA">
      <w:pPr>
        <w:spacing w:after="0" w:line="360" w:lineRule="auto"/>
        <w:jc w:val="center"/>
        <w:rPr>
          <w:rFonts w:ascii="Arial" w:hAnsi="Arial" w:cs="Arial"/>
          <w:b/>
          <w:bCs/>
          <w:sz w:val="24"/>
          <w:szCs w:val="24"/>
          <w:lang w:val="es-MX" w:eastAsia="es-ES"/>
        </w:rPr>
      </w:pPr>
      <w:r>
        <w:rPr>
          <w:rFonts w:ascii="Arial" w:hAnsi="Arial" w:cs="Arial"/>
          <w:b/>
          <w:bCs/>
          <w:sz w:val="24"/>
          <w:szCs w:val="24"/>
          <w:lang w:val="es-MX" w:eastAsia="es-ES"/>
        </w:rPr>
        <w:t>EL TRIBUNAL ACUERDA</w:t>
      </w:r>
    </w:p>
    <w:p w:rsidR="00FF2A14" w:rsidRDefault="00FF2A14" w:rsidP="009618DA">
      <w:pPr>
        <w:numPr>
          <w:ilvl w:val="0"/>
          <w:numId w:val="1"/>
        </w:numPr>
        <w:tabs>
          <w:tab w:val="clear" w:pos="644"/>
          <w:tab w:val="num" w:pos="284"/>
        </w:tabs>
        <w:spacing w:after="0" w:line="360" w:lineRule="auto"/>
        <w:ind w:left="284" w:hanging="284"/>
        <w:jc w:val="both"/>
        <w:rPr>
          <w:rFonts w:ascii="Arial" w:hAnsi="Arial" w:cs="Arial"/>
          <w:sz w:val="24"/>
          <w:szCs w:val="24"/>
          <w:lang w:val="es-ES" w:eastAsia="es-ES"/>
        </w:rPr>
      </w:pPr>
      <w:r>
        <w:rPr>
          <w:rFonts w:ascii="Arial" w:hAnsi="Arial" w:cs="Arial"/>
          <w:sz w:val="24"/>
          <w:szCs w:val="24"/>
          <w:lang w:val="es-ES" w:eastAsia="es-ES"/>
        </w:rPr>
        <w:t>Téngase presente lo expresado en los considerandos de la presente Resolución</w:t>
      </w:r>
      <w:r w:rsidR="009618DA">
        <w:rPr>
          <w:rFonts w:ascii="Arial" w:hAnsi="Arial" w:cs="Arial"/>
          <w:sz w:val="24"/>
          <w:szCs w:val="24"/>
          <w:lang w:val="es-ES" w:eastAsia="es-ES"/>
        </w:rPr>
        <w:t>;</w:t>
      </w:r>
    </w:p>
    <w:p w:rsidR="00FF2A14" w:rsidRDefault="00FF2A14" w:rsidP="009618DA">
      <w:pPr>
        <w:numPr>
          <w:ilvl w:val="0"/>
          <w:numId w:val="1"/>
        </w:numPr>
        <w:tabs>
          <w:tab w:val="clear" w:pos="644"/>
          <w:tab w:val="num" w:pos="284"/>
        </w:tabs>
        <w:spacing w:after="0" w:line="360" w:lineRule="auto"/>
        <w:ind w:left="0" w:firstLine="0"/>
        <w:jc w:val="both"/>
        <w:rPr>
          <w:rFonts w:ascii="Arial" w:hAnsi="Arial" w:cs="Arial"/>
          <w:sz w:val="24"/>
          <w:szCs w:val="24"/>
          <w:lang w:val="es-ES" w:eastAsia="es-ES"/>
        </w:rPr>
      </w:pPr>
      <w:r>
        <w:rPr>
          <w:rFonts w:ascii="Arial" w:hAnsi="Arial" w:cs="Arial"/>
          <w:sz w:val="24"/>
          <w:szCs w:val="24"/>
          <w:lang w:val="es-ES" w:eastAsia="es-ES"/>
        </w:rPr>
        <w:t>Devolver los antecedentes.</w:t>
      </w:r>
    </w:p>
    <w:p w:rsidR="00FF2A14" w:rsidRDefault="00FF2A14" w:rsidP="009618DA">
      <w:pPr>
        <w:spacing w:after="0" w:line="360" w:lineRule="auto"/>
        <w:ind w:firstLine="708"/>
        <w:jc w:val="both"/>
        <w:rPr>
          <w:rFonts w:ascii="Arial" w:hAnsi="Arial" w:cs="Arial"/>
          <w:b/>
          <w:bCs/>
          <w:sz w:val="24"/>
          <w:szCs w:val="24"/>
        </w:rPr>
      </w:pPr>
    </w:p>
    <w:p w:rsidR="00FF2A14" w:rsidRDefault="00FF2A14" w:rsidP="009618DA">
      <w:pPr>
        <w:spacing w:after="0" w:line="360" w:lineRule="auto"/>
        <w:ind w:firstLine="708"/>
        <w:jc w:val="both"/>
        <w:rPr>
          <w:rFonts w:ascii="Arial" w:hAnsi="Arial" w:cs="Arial"/>
          <w:b/>
          <w:bCs/>
          <w:sz w:val="24"/>
          <w:szCs w:val="24"/>
        </w:rPr>
      </w:pPr>
    </w:p>
    <w:p w:rsidR="00FF2A14" w:rsidRPr="009618DA" w:rsidRDefault="009618DA" w:rsidP="009618DA">
      <w:pPr>
        <w:spacing w:after="0" w:line="360" w:lineRule="auto"/>
        <w:jc w:val="both"/>
        <w:rPr>
          <w:rFonts w:ascii="Arial" w:hAnsi="Arial" w:cs="Arial"/>
          <w:bCs/>
          <w:iCs/>
          <w:sz w:val="24"/>
          <w:szCs w:val="24"/>
        </w:rPr>
      </w:pPr>
      <w:proofErr w:type="spellStart"/>
      <w:proofErr w:type="gramStart"/>
      <w:r>
        <w:rPr>
          <w:rFonts w:ascii="Arial" w:hAnsi="Arial" w:cs="Arial"/>
          <w:bCs/>
          <w:iCs/>
          <w:sz w:val="24"/>
          <w:szCs w:val="24"/>
        </w:rPr>
        <w:t>bf</w:t>
      </w:r>
      <w:proofErr w:type="spellEnd"/>
      <w:proofErr w:type="gramEnd"/>
    </w:p>
    <w:p w:rsidR="00FF2A14" w:rsidRDefault="00FF2A14">
      <w:pPr>
        <w:spacing w:before="120" w:after="120" w:line="360" w:lineRule="auto"/>
        <w:ind w:firstLine="708"/>
        <w:rPr>
          <w:rFonts w:ascii="Arial" w:hAnsi="Arial" w:cs="Arial"/>
          <w:b/>
          <w:bCs/>
          <w:i/>
          <w:iCs/>
          <w:sz w:val="16"/>
          <w:szCs w:val="16"/>
        </w:rPr>
      </w:pPr>
    </w:p>
    <w:sectPr w:rsidR="00FF2A14" w:rsidSect="00614909">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95F3B"/>
    <w:multiLevelType w:val="hybridMultilevel"/>
    <w:tmpl w:val="42A2ADCA"/>
    <w:lvl w:ilvl="0" w:tplc="DB3C1F54">
      <w:start w:val="4"/>
      <w:numFmt w:val="decimal"/>
      <w:lvlText w:val="%1)"/>
      <w:lvlJc w:val="left"/>
      <w:pPr>
        <w:ind w:left="644" w:hanging="360"/>
      </w:pPr>
      <w:rPr>
        <w:rFonts w:ascii="Times New Roman" w:hAnsi="Times New Roman" w:hint="default"/>
      </w:rPr>
    </w:lvl>
    <w:lvl w:ilvl="1" w:tplc="0C0A0019">
      <w:start w:val="1"/>
      <w:numFmt w:val="lowerLetter"/>
      <w:lvlText w:val="%2."/>
      <w:lvlJc w:val="left"/>
      <w:pPr>
        <w:ind w:left="1364" w:hanging="360"/>
      </w:pPr>
      <w:rPr>
        <w:rFonts w:ascii="Times New Roman" w:hAnsi="Times New Roman"/>
      </w:rPr>
    </w:lvl>
    <w:lvl w:ilvl="2" w:tplc="0C0A001B">
      <w:start w:val="1"/>
      <w:numFmt w:val="lowerRoman"/>
      <w:lvlText w:val="%3."/>
      <w:lvlJc w:val="right"/>
      <w:pPr>
        <w:ind w:left="2084" w:hanging="180"/>
      </w:pPr>
      <w:rPr>
        <w:rFonts w:ascii="Times New Roman" w:hAnsi="Times New Roman"/>
      </w:rPr>
    </w:lvl>
    <w:lvl w:ilvl="3" w:tplc="0C0A000F">
      <w:start w:val="1"/>
      <w:numFmt w:val="decimal"/>
      <w:lvlText w:val="%4."/>
      <w:lvlJc w:val="left"/>
      <w:pPr>
        <w:ind w:left="2804" w:hanging="360"/>
      </w:pPr>
      <w:rPr>
        <w:rFonts w:ascii="Times New Roman" w:hAnsi="Times New Roman"/>
      </w:rPr>
    </w:lvl>
    <w:lvl w:ilvl="4" w:tplc="0C0A0019">
      <w:start w:val="1"/>
      <w:numFmt w:val="lowerLetter"/>
      <w:lvlText w:val="%5."/>
      <w:lvlJc w:val="left"/>
      <w:pPr>
        <w:ind w:left="3524" w:hanging="360"/>
      </w:pPr>
      <w:rPr>
        <w:rFonts w:ascii="Times New Roman" w:hAnsi="Times New Roman"/>
      </w:rPr>
    </w:lvl>
    <w:lvl w:ilvl="5" w:tplc="0C0A001B">
      <w:start w:val="1"/>
      <w:numFmt w:val="lowerRoman"/>
      <w:lvlText w:val="%6."/>
      <w:lvlJc w:val="right"/>
      <w:pPr>
        <w:ind w:left="4244" w:hanging="180"/>
      </w:pPr>
      <w:rPr>
        <w:rFonts w:ascii="Times New Roman" w:hAnsi="Times New Roman"/>
      </w:rPr>
    </w:lvl>
    <w:lvl w:ilvl="6" w:tplc="0C0A000F">
      <w:start w:val="1"/>
      <w:numFmt w:val="decimal"/>
      <w:lvlText w:val="%7."/>
      <w:lvlJc w:val="left"/>
      <w:pPr>
        <w:ind w:left="4964" w:hanging="360"/>
      </w:pPr>
      <w:rPr>
        <w:rFonts w:ascii="Times New Roman" w:hAnsi="Times New Roman"/>
      </w:rPr>
    </w:lvl>
    <w:lvl w:ilvl="7" w:tplc="0C0A0019">
      <w:start w:val="1"/>
      <w:numFmt w:val="lowerLetter"/>
      <w:lvlText w:val="%8."/>
      <w:lvlJc w:val="left"/>
      <w:pPr>
        <w:ind w:left="5684" w:hanging="360"/>
      </w:pPr>
      <w:rPr>
        <w:rFonts w:ascii="Times New Roman" w:hAnsi="Times New Roman"/>
      </w:rPr>
    </w:lvl>
    <w:lvl w:ilvl="8" w:tplc="0C0A001B">
      <w:start w:val="1"/>
      <w:numFmt w:val="lowerRoman"/>
      <w:lvlText w:val="%9."/>
      <w:lvlJc w:val="right"/>
      <w:pPr>
        <w:ind w:left="6404" w:hanging="180"/>
      </w:pPr>
      <w:rPr>
        <w:rFonts w:ascii="Times New Roman" w:hAnsi="Times New Roman"/>
      </w:rPr>
    </w:lvl>
  </w:abstractNum>
  <w:abstractNum w:abstractNumId="1">
    <w:nsid w:val="66260DEA"/>
    <w:multiLevelType w:val="hybridMultilevel"/>
    <w:tmpl w:val="1C90233E"/>
    <w:lvl w:ilvl="0" w:tplc="42CC16A0">
      <w:start w:val="1"/>
      <w:numFmt w:val="decimal"/>
      <w:lvlText w:val="%1)"/>
      <w:lvlJc w:val="left"/>
      <w:pPr>
        <w:tabs>
          <w:tab w:val="num" w:pos="644"/>
        </w:tabs>
        <w:ind w:left="644" w:hanging="360"/>
      </w:pPr>
      <w:rPr>
        <w:rFonts w:ascii="Arial" w:hAnsi="Arial" w:cs="Arial" w:hint="default"/>
        <w:b/>
        <w:bCs/>
      </w:rPr>
    </w:lvl>
    <w:lvl w:ilvl="1" w:tplc="0C0A0019">
      <w:start w:val="1"/>
      <w:numFmt w:val="lowerLetter"/>
      <w:lvlText w:val="%2."/>
      <w:lvlJc w:val="left"/>
      <w:pPr>
        <w:tabs>
          <w:tab w:val="num" w:pos="1364"/>
        </w:tabs>
        <w:ind w:left="1364" w:hanging="360"/>
      </w:pPr>
      <w:rPr>
        <w:rFonts w:ascii="Times New Roman" w:hAnsi="Times New Roman"/>
      </w:rPr>
    </w:lvl>
    <w:lvl w:ilvl="2" w:tplc="0C0A001B">
      <w:start w:val="1"/>
      <w:numFmt w:val="lowerRoman"/>
      <w:lvlText w:val="%3."/>
      <w:lvlJc w:val="right"/>
      <w:pPr>
        <w:tabs>
          <w:tab w:val="num" w:pos="2084"/>
        </w:tabs>
        <w:ind w:left="2084" w:hanging="180"/>
      </w:pPr>
      <w:rPr>
        <w:rFonts w:ascii="Times New Roman" w:hAnsi="Times New Roman"/>
      </w:rPr>
    </w:lvl>
    <w:lvl w:ilvl="3" w:tplc="0C0A000F">
      <w:start w:val="1"/>
      <w:numFmt w:val="decimal"/>
      <w:lvlText w:val="%4."/>
      <w:lvlJc w:val="left"/>
      <w:pPr>
        <w:tabs>
          <w:tab w:val="num" w:pos="2804"/>
        </w:tabs>
        <w:ind w:left="2804" w:hanging="360"/>
      </w:pPr>
      <w:rPr>
        <w:rFonts w:ascii="Times New Roman" w:hAnsi="Times New Roman"/>
      </w:rPr>
    </w:lvl>
    <w:lvl w:ilvl="4" w:tplc="0C0A0019">
      <w:start w:val="1"/>
      <w:numFmt w:val="lowerLetter"/>
      <w:lvlText w:val="%5."/>
      <w:lvlJc w:val="left"/>
      <w:pPr>
        <w:tabs>
          <w:tab w:val="num" w:pos="3524"/>
        </w:tabs>
        <w:ind w:left="3524" w:hanging="360"/>
      </w:pPr>
      <w:rPr>
        <w:rFonts w:ascii="Times New Roman" w:hAnsi="Times New Roman"/>
      </w:rPr>
    </w:lvl>
    <w:lvl w:ilvl="5" w:tplc="0C0A001B">
      <w:start w:val="1"/>
      <w:numFmt w:val="lowerRoman"/>
      <w:lvlText w:val="%6."/>
      <w:lvlJc w:val="right"/>
      <w:pPr>
        <w:tabs>
          <w:tab w:val="num" w:pos="4244"/>
        </w:tabs>
        <w:ind w:left="4244" w:hanging="180"/>
      </w:pPr>
      <w:rPr>
        <w:rFonts w:ascii="Times New Roman" w:hAnsi="Times New Roman"/>
      </w:rPr>
    </w:lvl>
    <w:lvl w:ilvl="6" w:tplc="0C0A000F">
      <w:start w:val="1"/>
      <w:numFmt w:val="decimal"/>
      <w:lvlText w:val="%7."/>
      <w:lvlJc w:val="left"/>
      <w:pPr>
        <w:tabs>
          <w:tab w:val="num" w:pos="4964"/>
        </w:tabs>
        <w:ind w:left="4964" w:hanging="360"/>
      </w:pPr>
      <w:rPr>
        <w:rFonts w:ascii="Times New Roman" w:hAnsi="Times New Roman"/>
      </w:rPr>
    </w:lvl>
    <w:lvl w:ilvl="7" w:tplc="0C0A0019">
      <w:start w:val="1"/>
      <w:numFmt w:val="lowerLetter"/>
      <w:lvlText w:val="%8."/>
      <w:lvlJc w:val="left"/>
      <w:pPr>
        <w:tabs>
          <w:tab w:val="num" w:pos="5684"/>
        </w:tabs>
        <w:ind w:left="5684" w:hanging="360"/>
      </w:pPr>
      <w:rPr>
        <w:rFonts w:ascii="Times New Roman" w:hAnsi="Times New Roman"/>
      </w:rPr>
    </w:lvl>
    <w:lvl w:ilvl="8" w:tplc="0C0A001B">
      <w:start w:val="1"/>
      <w:numFmt w:val="lowerRoman"/>
      <w:lvlText w:val="%9."/>
      <w:lvlJc w:val="right"/>
      <w:pPr>
        <w:tabs>
          <w:tab w:val="num" w:pos="6404"/>
        </w:tabs>
        <w:ind w:left="6404" w:hanging="180"/>
      </w:pPr>
      <w:rPr>
        <w:rFonts w:ascii="Times New Roman" w:hAnsi="Times New Roman"/>
      </w:rPr>
    </w:lvl>
  </w:abstractNum>
  <w:abstractNum w:abstractNumId="2">
    <w:nsid w:val="6BE9161F"/>
    <w:multiLevelType w:val="hybridMultilevel"/>
    <w:tmpl w:val="970ADA8A"/>
    <w:lvl w:ilvl="0" w:tplc="0C0A0011">
      <w:start w:val="4"/>
      <w:numFmt w:val="decimal"/>
      <w:lvlText w:val="%1)"/>
      <w:lvlJc w:val="left"/>
      <w:pPr>
        <w:ind w:left="720" w:hanging="360"/>
      </w:pPr>
      <w:rPr>
        <w:rFonts w:ascii="Times New Roman" w:hAnsi="Times New Roman" w:hint="default"/>
      </w:rPr>
    </w:lvl>
    <w:lvl w:ilvl="1" w:tplc="0C0A0019">
      <w:start w:val="1"/>
      <w:numFmt w:val="lowerLetter"/>
      <w:lvlText w:val="%2."/>
      <w:lvlJc w:val="left"/>
      <w:pPr>
        <w:ind w:left="1440" w:hanging="360"/>
      </w:pPr>
      <w:rPr>
        <w:rFonts w:ascii="Times New Roman" w:hAnsi="Times New Roman"/>
      </w:rPr>
    </w:lvl>
    <w:lvl w:ilvl="2" w:tplc="0C0A001B">
      <w:start w:val="1"/>
      <w:numFmt w:val="lowerRoman"/>
      <w:lvlText w:val="%3."/>
      <w:lvlJc w:val="right"/>
      <w:pPr>
        <w:ind w:left="2160" w:hanging="180"/>
      </w:pPr>
      <w:rPr>
        <w:rFonts w:ascii="Times New Roman" w:hAnsi="Times New Roman"/>
      </w:rPr>
    </w:lvl>
    <w:lvl w:ilvl="3" w:tplc="0C0A000F">
      <w:start w:val="1"/>
      <w:numFmt w:val="decimal"/>
      <w:lvlText w:val="%4."/>
      <w:lvlJc w:val="left"/>
      <w:pPr>
        <w:ind w:left="2880" w:hanging="360"/>
      </w:pPr>
      <w:rPr>
        <w:rFonts w:ascii="Times New Roman" w:hAnsi="Times New Roman"/>
      </w:rPr>
    </w:lvl>
    <w:lvl w:ilvl="4" w:tplc="0C0A0019">
      <w:start w:val="1"/>
      <w:numFmt w:val="lowerLetter"/>
      <w:lvlText w:val="%5."/>
      <w:lvlJc w:val="left"/>
      <w:pPr>
        <w:ind w:left="3600" w:hanging="360"/>
      </w:pPr>
      <w:rPr>
        <w:rFonts w:ascii="Times New Roman" w:hAnsi="Times New Roman"/>
      </w:rPr>
    </w:lvl>
    <w:lvl w:ilvl="5" w:tplc="0C0A001B">
      <w:start w:val="1"/>
      <w:numFmt w:val="lowerRoman"/>
      <w:lvlText w:val="%6."/>
      <w:lvlJc w:val="right"/>
      <w:pPr>
        <w:ind w:left="4320" w:hanging="180"/>
      </w:pPr>
      <w:rPr>
        <w:rFonts w:ascii="Times New Roman" w:hAnsi="Times New Roman"/>
      </w:rPr>
    </w:lvl>
    <w:lvl w:ilvl="6" w:tplc="0C0A000F">
      <w:start w:val="1"/>
      <w:numFmt w:val="decimal"/>
      <w:lvlText w:val="%7."/>
      <w:lvlJc w:val="left"/>
      <w:pPr>
        <w:ind w:left="5040" w:hanging="360"/>
      </w:pPr>
      <w:rPr>
        <w:rFonts w:ascii="Times New Roman" w:hAnsi="Times New Roman"/>
      </w:rPr>
    </w:lvl>
    <w:lvl w:ilvl="7" w:tplc="0C0A0019">
      <w:start w:val="1"/>
      <w:numFmt w:val="lowerLetter"/>
      <w:lvlText w:val="%8."/>
      <w:lvlJc w:val="left"/>
      <w:pPr>
        <w:ind w:left="5760" w:hanging="360"/>
      </w:pPr>
      <w:rPr>
        <w:rFonts w:ascii="Times New Roman" w:hAnsi="Times New Roman"/>
      </w:rPr>
    </w:lvl>
    <w:lvl w:ilvl="8" w:tplc="0C0A001B">
      <w:start w:val="1"/>
      <w:numFmt w:val="lowerRoman"/>
      <w:lvlText w:val="%9."/>
      <w:lvlJc w:val="right"/>
      <w:pPr>
        <w:ind w:left="6480" w:hanging="180"/>
      </w:pPr>
      <w:rPr>
        <w:rFonts w:ascii="Times New Roman" w:hAnsi="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A14"/>
    <w:rsid w:val="00614909"/>
    <w:rsid w:val="0090114A"/>
    <w:rsid w:val="009618DA"/>
    <w:rsid w:val="00DD5081"/>
    <w:rsid w:val="00FF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460</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Carpeta  No</vt:lpstr>
    </vt:vector>
  </TitlesOfParts>
  <Company>Tribunal de Cuentas</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No</dc:title>
  <dc:creator>Dr. Farinha</dc:creator>
  <cp:lastModifiedBy>BEATRIZ FERNANDEZ</cp:lastModifiedBy>
  <cp:revision>4</cp:revision>
  <dcterms:created xsi:type="dcterms:W3CDTF">2016-03-18T16:52:00Z</dcterms:created>
  <dcterms:modified xsi:type="dcterms:W3CDTF">2016-03-18T17:02:00Z</dcterms:modified>
</cp:coreProperties>
</file>