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29" w:rsidRPr="00786EEB" w:rsidRDefault="007A242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1271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7A2429" w:rsidRDefault="007A242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A2429" w:rsidRPr="00762B34" w:rsidRDefault="007A242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A2429" w:rsidRPr="00762B34" w:rsidRDefault="007A242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A2429" w:rsidRPr="00762B34" w:rsidRDefault="007A242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A2429" w:rsidRPr="00762B34" w:rsidRDefault="007A242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A2429" w:rsidRPr="00762B34" w:rsidRDefault="007A242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ABRIL DE 2016</w:t>
      </w:r>
    </w:p>
    <w:p w:rsidR="007A2429" w:rsidRPr="00762B34" w:rsidRDefault="007A242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A2429" w:rsidRPr="007A2429" w:rsidRDefault="007A2429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7A2429">
        <w:rPr>
          <w:rFonts w:cs="Arial"/>
          <w:b/>
          <w:lang w:val="es-AR"/>
        </w:rPr>
        <w:t xml:space="preserve">(E. E. Nº 2015-17-1-0009278, </w:t>
      </w:r>
      <w:proofErr w:type="spellStart"/>
      <w:r w:rsidRPr="007A2429">
        <w:rPr>
          <w:rFonts w:cs="Arial"/>
          <w:b/>
          <w:lang w:val="es-AR"/>
        </w:rPr>
        <w:t>Ent</w:t>
      </w:r>
      <w:proofErr w:type="spellEnd"/>
      <w:r w:rsidRPr="007A2429">
        <w:rPr>
          <w:rFonts w:cs="Arial"/>
          <w:b/>
          <w:lang w:val="es-AR"/>
        </w:rPr>
        <w:t>. N° 1408/16)</w:t>
      </w:r>
    </w:p>
    <w:p w:rsidR="007A2429" w:rsidRPr="007A2429" w:rsidRDefault="007A242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7A2429" w:rsidRPr="007A2429" w:rsidRDefault="007A2429" w:rsidP="00762B34">
      <w:pPr>
        <w:tabs>
          <w:tab w:val="center" w:pos="4253"/>
        </w:tabs>
        <w:suppressAutoHyphens/>
        <w:jc w:val="right"/>
        <w:rPr>
          <w:spacing w:val="-3"/>
          <w:lang w:val="es-AR"/>
        </w:rPr>
      </w:pPr>
    </w:p>
    <w:p w:rsidR="007A2429" w:rsidRDefault="00396CDB" w:rsidP="007A2429">
      <w:pPr>
        <w:spacing w:line="360" w:lineRule="auto"/>
        <w:ind w:firstLine="851"/>
        <w:jc w:val="both"/>
        <w:rPr>
          <w:rFonts w:cs="Arial"/>
          <w:bCs/>
          <w:lang w:val="es-MX"/>
        </w:rPr>
      </w:pPr>
      <w:r w:rsidRPr="00771C8E">
        <w:rPr>
          <w:b/>
          <w:bCs/>
          <w:lang w:val="es-MX"/>
        </w:rPr>
        <w:t>VISTO:</w:t>
      </w:r>
      <w:r w:rsidRPr="00771C8E">
        <w:rPr>
          <w:lang w:val="es-MX"/>
        </w:rPr>
        <w:t xml:space="preserve"> las </w:t>
      </w:r>
      <w:r w:rsidR="00427E3B">
        <w:rPr>
          <w:lang w:val="es-MX"/>
        </w:rPr>
        <w:t xml:space="preserve">nuevas </w:t>
      </w:r>
      <w:r w:rsidRPr="00771C8E">
        <w:rPr>
          <w:lang w:val="es-MX"/>
        </w:rPr>
        <w:t>actuaciones remitidas por la Administración de las Obras Sanitarias del Estado, relacionadas con la</w:t>
      </w:r>
      <w:r w:rsidR="00427E3B">
        <w:rPr>
          <w:lang w:val="es-MX"/>
        </w:rPr>
        <w:t xml:space="preserve"> reiteración del gasto derivado de la</w:t>
      </w:r>
      <w:r w:rsidRPr="00771C8E">
        <w:rPr>
          <w:lang w:val="es-MX"/>
        </w:rPr>
        <w:t xml:space="preserve"> Licitación Pública </w:t>
      </w:r>
      <w:r>
        <w:rPr>
          <w:rFonts w:cs="Arial"/>
          <w:lang w:val="es-MX"/>
        </w:rPr>
        <w:t>Nº</w:t>
      </w:r>
      <w:r w:rsidR="00D43C7D">
        <w:rPr>
          <w:rFonts w:cs="Arial"/>
          <w:lang w:val="es-MX"/>
        </w:rPr>
        <w:t xml:space="preserve"> </w:t>
      </w:r>
      <w:r w:rsidR="00D43C7D">
        <w:rPr>
          <w:rFonts w:cs="Arial"/>
          <w:bCs/>
          <w:lang w:val="es-MX"/>
        </w:rPr>
        <w:t>15163</w:t>
      </w:r>
      <w:r w:rsidR="00D43C7D" w:rsidRPr="001209BE">
        <w:rPr>
          <w:rFonts w:cs="Arial"/>
          <w:bCs/>
          <w:lang w:val="es-MX"/>
        </w:rPr>
        <w:t xml:space="preserve"> para la </w:t>
      </w:r>
      <w:r w:rsidR="00D43C7D">
        <w:rPr>
          <w:rFonts w:cs="Arial"/>
          <w:bCs/>
          <w:lang w:val="es-MX"/>
        </w:rPr>
        <w:t>contratación de una empresa suministradora de personal para desarrollar servicios de lectura de medidores en la ciudad de Montevideo;</w:t>
      </w:r>
    </w:p>
    <w:p w:rsidR="007A2429" w:rsidRDefault="00396CDB" w:rsidP="007A2429">
      <w:pPr>
        <w:spacing w:line="360" w:lineRule="auto"/>
        <w:ind w:firstLine="851"/>
        <w:jc w:val="both"/>
      </w:pPr>
      <w:r>
        <w:rPr>
          <w:rFonts w:cs="Arial"/>
          <w:b/>
          <w:lang w:val="es-MX"/>
        </w:rPr>
        <w:t>RESULTANDO</w:t>
      </w:r>
      <w:proofErr w:type="gramStart"/>
      <w:r>
        <w:rPr>
          <w:rFonts w:cs="Arial"/>
          <w:b/>
          <w:lang w:val="es-MX"/>
        </w:rPr>
        <w:t>:  1</w:t>
      </w:r>
      <w:proofErr w:type="gramEnd"/>
      <w:r>
        <w:rPr>
          <w:rFonts w:cs="Arial"/>
          <w:b/>
          <w:lang w:val="es-MX"/>
        </w:rPr>
        <w:t xml:space="preserve">) </w:t>
      </w:r>
      <w:r w:rsidRPr="00771C8E">
        <w:rPr>
          <w:rFonts w:cs="Arial"/>
          <w:lang w:val="es-MX"/>
        </w:rPr>
        <w:t xml:space="preserve">que </w:t>
      </w:r>
      <w:r w:rsidR="00427E3B">
        <w:rPr>
          <w:rFonts w:cs="Arial"/>
          <w:lang w:val="es-MX"/>
        </w:rPr>
        <w:t xml:space="preserve">por </w:t>
      </w:r>
      <w:r w:rsidR="00427E3B">
        <w:t xml:space="preserve">Resolución </w:t>
      </w:r>
      <w:r w:rsidR="00427E3B" w:rsidRPr="002A3DD6">
        <w:t>Nº 1416/15</w:t>
      </w:r>
      <w:r w:rsidR="00427E3B">
        <w:rPr>
          <w:b/>
        </w:rPr>
        <w:t xml:space="preserve"> </w:t>
      </w:r>
      <w:r w:rsidR="00427E3B">
        <w:t xml:space="preserve">de fecha </w:t>
      </w:r>
      <w:r w:rsidR="00427E3B">
        <w:rPr>
          <w:b/>
          <w:bCs/>
        </w:rPr>
        <w:t xml:space="preserve"> </w:t>
      </w:r>
      <w:r w:rsidR="00427E3B" w:rsidRPr="002A3DD6">
        <w:rPr>
          <w:bCs/>
        </w:rPr>
        <w:t>25/11/15</w:t>
      </w:r>
      <w:r w:rsidR="00427E3B">
        <w:rPr>
          <w:bCs/>
        </w:rPr>
        <w:t>, e</w:t>
      </w:r>
      <w:r w:rsidR="00427E3B">
        <w:t xml:space="preserve">l Directorio dispuso la adjudicación </w:t>
      </w:r>
      <w:r w:rsidR="00427E3B">
        <w:rPr>
          <w:lang w:val="es-MX"/>
        </w:rPr>
        <w:t xml:space="preserve">a </w:t>
      </w:r>
      <w:proofErr w:type="spellStart"/>
      <w:r w:rsidR="00D43C7D">
        <w:t>Teregal</w:t>
      </w:r>
      <w:proofErr w:type="spellEnd"/>
      <w:r w:rsidR="00D43C7D">
        <w:t xml:space="preserve"> S</w:t>
      </w:r>
      <w:r w:rsidR="007A2429">
        <w:t>.</w:t>
      </w:r>
      <w:r w:rsidR="00D43C7D">
        <w:t>A</w:t>
      </w:r>
      <w:r w:rsidR="007A2429">
        <w:t>., por un monto total de $49:</w:t>
      </w:r>
      <w:r w:rsidR="00D43C7D">
        <w:t>118.090 (IVA</w:t>
      </w:r>
      <w:r w:rsidR="00427E3B">
        <w:t xml:space="preserve"> y ajuste paramétrico incluido), </w:t>
      </w:r>
      <w:r w:rsidR="00D43C7D">
        <w:t>supeditando la contratación a la intervención prevent</w:t>
      </w:r>
      <w:r w:rsidR="002A3DD6">
        <w:t>iva que compete a este Tribunal;</w:t>
      </w:r>
    </w:p>
    <w:p w:rsidR="007A2429" w:rsidRDefault="00427E3B" w:rsidP="007A2429">
      <w:pPr>
        <w:spacing w:line="360" w:lineRule="auto"/>
        <w:ind w:firstLine="2694"/>
        <w:jc w:val="both"/>
      </w:pPr>
      <w:r>
        <w:rPr>
          <w:b/>
        </w:rPr>
        <w:t>2)</w:t>
      </w:r>
      <w:r w:rsidR="007A2429">
        <w:t xml:space="preserve"> que este Tribunal, en S</w:t>
      </w:r>
      <w:r>
        <w:t>esión de fecha 2/3/16, acordó observ</w:t>
      </w:r>
      <w:r w:rsidR="007A2429">
        <w:t>ar el gasto en razón de que el A</w:t>
      </w:r>
      <w:r>
        <w:t>rtículo 6.3 del Pliego de Condiciones Particulares que rigió el llamado, estableció</w:t>
      </w:r>
      <w:r w:rsidRPr="00A21A30">
        <w:t xml:space="preserve"> </w:t>
      </w:r>
      <w:r>
        <w:t>como</w:t>
      </w:r>
      <w:r w:rsidRPr="00A21A30">
        <w:t xml:space="preserve"> documento integrante de la oferta el comprobante que acredite haber adquirido el Pliego de Condiciones Particulares de la Licitación</w:t>
      </w:r>
      <w:r>
        <w:t xml:space="preserve">, por lo que se </w:t>
      </w:r>
      <w:r w:rsidR="007A2429">
        <w:t>contravino lo dispuesto por el A</w:t>
      </w:r>
      <w:r>
        <w:t>rtículo 48 del TOCAF, en razón de que la adquisición del Pliego constituye un requisito que no está directamente vinculado a la consideración del objeto de la contratación y la evaluación de la oferta, por lo que únicamente corresponde exigirlo al oferente que resulte adjudicatario;</w:t>
      </w:r>
    </w:p>
    <w:p w:rsidR="00D43C7D" w:rsidRDefault="007A2429" w:rsidP="007A2429">
      <w:pPr>
        <w:spacing w:line="360" w:lineRule="auto"/>
        <w:ind w:firstLine="2694"/>
        <w:jc w:val="both"/>
      </w:pPr>
      <w:r>
        <w:rPr>
          <w:b/>
        </w:rPr>
        <w:t>3</w:t>
      </w:r>
      <w:r w:rsidR="002A3DD6">
        <w:rPr>
          <w:b/>
        </w:rPr>
        <w:t>)</w:t>
      </w:r>
      <w:r w:rsidR="002A3DD6">
        <w:t xml:space="preserve"> que </w:t>
      </w:r>
      <w:r w:rsidR="00427E3B">
        <w:t>por Resolución N° 235/16 de fecha 2/3/16, el Directorio dispuso reiterar el gasto</w:t>
      </w:r>
      <w:r w:rsidR="00213A70">
        <w:t>, expresando que</w:t>
      </w:r>
      <w:r w:rsidR="00714F39">
        <w:t xml:space="preserve">: </w:t>
      </w:r>
      <w:r w:rsidR="00714F39" w:rsidRPr="007A2429">
        <w:rPr>
          <w:b/>
        </w:rPr>
        <w:t>a)</w:t>
      </w:r>
      <w:r w:rsidR="00714F39">
        <w:t xml:space="preserve"> </w:t>
      </w:r>
      <w:r w:rsidR="00213A70">
        <w:t xml:space="preserve">la Administración hasta el presente, había entendido que se trataba de un requisito para ofertar, así </w:t>
      </w:r>
      <w:r w:rsidR="00213A70">
        <w:lastRenderedPageBreak/>
        <w:t xml:space="preserve">definido también por el </w:t>
      </w:r>
      <w:r>
        <w:t>A</w:t>
      </w:r>
      <w:r w:rsidR="00213A70">
        <w:t>rtículo 9.2 del Decreto N° 131/14 de fecha 19/5/14, aplicable a esta contratación y que por tanto no está comprendido en las li</w:t>
      </w:r>
      <w:r>
        <w:t>mitaciones establecidas en el A</w:t>
      </w:r>
      <w:r w:rsidR="00714F39">
        <w:t xml:space="preserve">rtículo 48 del TOCAF, y </w:t>
      </w:r>
      <w:r w:rsidR="00714F39" w:rsidRPr="007A2429">
        <w:rPr>
          <w:b/>
        </w:rPr>
        <w:t>b)</w:t>
      </w:r>
      <w:r w:rsidR="00714F39">
        <w:t xml:space="preserve"> la contratación se considera imprescindible por ser un servicio vital para la facturación y recaudación del servicio que presta la Administración;</w:t>
      </w:r>
    </w:p>
    <w:p w:rsidR="00714F39" w:rsidRPr="005A5B0B" w:rsidRDefault="00714F39" w:rsidP="007A2429">
      <w:pPr>
        <w:spacing w:line="360" w:lineRule="auto"/>
        <w:ind w:firstLine="851"/>
        <w:jc w:val="both"/>
        <w:rPr>
          <w:b/>
        </w:rPr>
      </w:pPr>
      <w:r w:rsidRPr="005A5B0B">
        <w:rPr>
          <w:b/>
        </w:rPr>
        <w:t xml:space="preserve">CONSIDERANDO: </w:t>
      </w:r>
      <w:r w:rsidRPr="005A5B0B">
        <w:t xml:space="preserve">que </w:t>
      </w:r>
      <w:r>
        <w:t xml:space="preserve">sin perjuicio de </w:t>
      </w:r>
      <w:r w:rsidRPr="005A5B0B">
        <w:rPr>
          <w:lang w:val="es-MX"/>
        </w:rPr>
        <w:t>la argumentación esgrimida</w:t>
      </w:r>
      <w:r>
        <w:rPr>
          <w:lang w:val="es-MX"/>
        </w:rPr>
        <w:t xml:space="preserve">, se mantiene incambiada la </w:t>
      </w:r>
      <w:r w:rsidRPr="005A5B0B">
        <w:rPr>
          <w:lang w:val="es-MX"/>
        </w:rPr>
        <w:t>causal que ameritó la observación oportunamente ef</w:t>
      </w:r>
      <w:r>
        <w:rPr>
          <w:lang w:val="es-MX"/>
        </w:rPr>
        <w:t>ectuada;</w:t>
      </w:r>
      <w:r w:rsidRPr="005A5B0B">
        <w:rPr>
          <w:lang w:val="es-MX"/>
        </w:rPr>
        <w:t xml:space="preserve"> </w:t>
      </w:r>
    </w:p>
    <w:p w:rsidR="00714F39" w:rsidRPr="005A5B0B" w:rsidRDefault="00714F39" w:rsidP="007A2429">
      <w:pPr>
        <w:tabs>
          <w:tab w:val="left" w:pos="7485"/>
        </w:tabs>
        <w:spacing w:line="360" w:lineRule="auto"/>
        <w:ind w:firstLine="851"/>
        <w:jc w:val="both"/>
        <w:rPr>
          <w:bCs/>
        </w:rPr>
      </w:pPr>
      <w:r w:rsidRPr="005A5B0B">
        <w:rPr>
          <w:b/>
          <w:lang w:val="es-MX"/>
        </w:rPr>
        <w:t>ATENTO:</w:t>
      </w:r>
      <w:r w:rsidRPr="005A5B0B">
        <w:rPr>
          <w:lang w:val="es-MX"/>
        </w:rPr>
        <w:t xml:space="preserve"> a lo ex</w:t>
      </w:r>
      <w:r w:rsidR="007A2429">
        <w:rPr>
          <w:lang w:val="es-MX"/>
        </w:rPr>
        <w:t>puesto y a lo dispuesto por el Artículo 211 L</w:t>
      </w:r>
      <w:r w:rsidRPr="005A5B0B">
        <w:rPr>
          <w:lang w:val="es-MX"/>
        </w:rPr>
        <w:t>iteral B) de la Constitución de la República:</w:t>
      </w:r>
    </w:p>
    <w:p w:rsidR="00714F39" w:rsidRPr="005A5B0B" w:rsidRDefault="00714F39" w:rsidP="007A2429">
      <w:pPr>
        <w:spacing w:line="360" w:lineRule="auto"/>
        <w:jc w:val="center"/>
        <w:rPr>
          <w:b/>
          <w:lang w:val="es-MX"/>
        </w:rPr>
      </w:pPr>
      <w:r w:rsidRPr="005A5B0B">
        <w:rPr>
          <w:b/>
          <w:lang w:val="es-MX"/>
        </w:rPr>
        <w:t>EL TRIBUNAL ACUERDA</w:t>
      </w:r>
    </w:p>
    <w:p w:rsidR="00714F39" w:rsidRPr="007A2429" w:rsidRDefault="00714F39" w:rsidP="007A2429">
      <w:pPr>
        <w:pStyle w:val="Prrafodelista"/>
        <w:keepNext/>
        <w:widowControl w:val="0"/>
        <w:numPr>
          <w:ilvl w:val="0"/>
          <w:numId w:val="10"/>
        </w:numPr>
        <w:suppressAutoHyphens/>
        <w:snapToGrid w:val="0"/>
        <w:spacing w:line="360" w:lineRule="auto"/>
        <w:jc w:val="both"/>
        <w:outlineLvl w:val="6"/>
        <w:rPr>
          <w:rFonts w:cs="Arial"/>
          <w:snapToGrid w:val="0"/>
          <w:spacing w:val="-3"/>
          <w:lang w:val="es-ES_tradnl"/>
        </w:rPr>
      </w:pPr>
      <w:r w:rsidRPr="007A2429">
        <w:rPr>
          <w:rFonts w:cs="Arial"/>
          <w:snapToGrid w:val="0"/>
          <w:spacing w:val="-3"/>
          <w:lang w:val="es-MX"/>
        </w:rPr>
        <w:t>Mantener la observación formulada con fecha 2/3/16</w:t>
      </w:r>
      <w:r w:rsidR="007A2429">
        <w:rPr>
          <w:rFonts w:cs="Arial"/>
          <w:snapToGrid w:val="0"/>
          <w:spacing w:val="-3"/>
          <w:lang w:val="es-ES_tradnl"/>
        </w:rPr>
        <w:t>;</w:t>
      </w:r>
    </w:p>
    <w:p w:rsidR="007A2429" w:rsidRDefault="006B1E02" w:rsidP="00714F39">
      <w:pPr>
        <w:keepNext/>
        <w:widowControl w:val="0"/>
        <w:numPr>
          <w:ilvl w:val="0"/>
          <w:numId w:val="10"/>
        </w:numPr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  <w:r>
        <w:rPr>
          <w:rFonts w:cs="Arial"/>
          <w:snapToGrid w:val="0"/>
          <w:spacing w:val="-3"/>
          <w:lang w:val="es-ES_tradnl"/>
        </w:rPr>
        <w:t>Comunicar al Poder Ejecutivo</w:t>
      </w:r>
      <w:r>
        <w:rPr>
          <w:rFonts w:cs="Arial"/>
          <w:snapToGrid w:val="0"/>
          <w:spacing w:val="-3"/>
          <w:lang w:val="es-ES_tradnl"/>
        </w:rPr>
        <w:t>;</w:t>
      </w:r>
      <w:r w:rsidRPr="007A2429">
        <w:rPr>
          <w:rFonts w:cs="Arial"/>
          <w:snapToGrid w:val="0"/>
          <w:spacing w:val="-3"/>
          <w:lang w:val="es-ES_tradnl"/>
        </w:rPr>
        <w:t xml:space="preserve"> </w:t>
      </w:r>
    </w:p>
    <w:p w:rsidR="00714F39" w:rsidRPr="007A2429" w:rsidRDefault="006B1E02" w:rsidP="00714F39">
      <w:pPr>
        <w:keepNext/>
        <w:widowControl w:val="0"/>
        <w:numPr>
          <w:ilvl w:val="0"/>
          <w:numId w:val="10"/>
        </w:numPr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  <w:r w:rsidRPr="007A2429">
        <w:rPr>
          <w:rFonts w:cs="Arial"/>
          <w:snapToGrid w:val="0"/>
          <w:spacing w:val="-3"/>
          <w:lang w:val="es-ES_tradnl"/>
        </w:rPr>
        <w:t>Comunicar a la Administración actuante</w:t>
      </w:r>
      <w:r>
        <w:rPr>
          <w:rFonts w:cs="Arial"/>
          <w:snapToGrid w:val="0"/>
          <w:spacing w:val="-3"/>
          <w:lang w:val="es-ES_tradnl"/>
        </w:rPr>
        <w:t>;</w:t>
      </w:r>
      <w:bookmarkStart w:id="0" w:name="_GoBack"/>
      <w:bookmarkEnd w:id="0"/>
    </w:p>
    <w:p w:rsidR="007A2429" w:rsidRDefault="007A2429" w:rsidP="007A2429">
      <w:pPr>
        <w:keepNext/>
        <w:widowControl w:val="0"/>
        <w:numPr>
          <w:ilvl w:val="0"/>
          <w:numId w:val="10"/>
        </w:numPr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  <w:r w:rsidRPr="005A5B0B">
        <w:rPr>
          <w:rFonts w:cs="Arial"/>
          <w:snapToGrid w:val="0"/>
          <w:spacing w:val="-3"/>
          <w:lang w:val="es-ES_tradnl"/>
        </w:rPr>
        <w:t>Dar cuenta a la Asamblea General.</w:t>
      </w:r>
    </w:p>
    <w:p w:rsidR="007A2429" w:rsidRDefault="007A2429" w:rsidP="007A2429">
      <w:pPr>
        <w:keepNext/>
        <w:widowControl w:val="0"/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</w:p>
    <w:p w:rsidR="007A2429" w:rsidRDefault="007A2429" w:rsidP="007A2429">
      <w:pPr>
        <w:keepNext/>
        <w:widowControl w:val="0"/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</w:p>
    <w:p w:rsidR="007A2429" w:rsidRDefault="007A2429" w:rsidP="007A2429">
      <w:pPr>
        <w:keepNext/>
        <w:widowControl w:val="0"/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</w:p>
    <w:p w:rsidR="007A2429" w:rsidRPr="005A5B0B" w:rsidRDefault="007A2429" w:rsidP="007A2429">
      <w:pPr>
        <w:keepNext/>
        <w:widowControl w:val="0"/>
        <w:suppressAutoHyphens/>
        <w:snapToGrid w:val="0"/>
        <w:spacing w:line="360" w:lineRule="auto"/>
        <w:ind w:right="284" w:hanging="567"/>
        <w:jc w:val="both"/>
        <w:outlineLvl w:val="6"/>
        <w:rPr>
          <w:rFonts w:cs="Arial"/>
          <w:snapToGrid w:val="0"/>
          <w:spacing w:val="-3"/>
          <w:lang w:val="es-ES_tradnl"/>
        </w:rPr>
      </w:pPr>
      <w:proofErr w:type="gramStart"/>
      <w:r>
        <w:rPr>
          <w:rFonts w:cs="Arial"/>
          <w:snapToGrid w:val="0"/>
          <w:spacing w:val="-3"/>
          <w:lang w:val="es-ES_tradnl"/>
        </w:rPr>
        <w:t>dc</w:t>
      </w:r>
      <w:proofErr w:type="gramEnd"/>
    </w:p>
    <w:sectPr w:rsidR="007A2429" w:rsidRPr="005A5B0B" w:rsidSect="007A2429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056"/>
    <w:multiLevelType w:val="hybridMultilevel"/>
    <w:tmpl w:val="6E02C9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250E"/>
    <w:multiLevelType w:val="hybridMultilevel"/>
    <w:tmpl w:val="C854DB0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2B7D"/>
    <w:multiLevelType w:val="hybridMultilevel"/>
    <w:tmpl w:val="D02A78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07D6C"/>
    <w:multiLevelType w:val="hybridMultilevel"/>
    <w:tmpl w:val="BE06A384"/>
    <w:lvl w:ilvl="0" w:tplc="E8442622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407C230A"/>
    <w:multiLevelType w:val="hybridMultilevel"/>
    <w:tmpl w:val="893C242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05217"/>
    <w:multiLevelType w:val="hybridMultilevel"/>
    <w:tmpl w:val="11983D0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F629D"/>
    <w:multiLevelType w:val="hybridMultilevel"/>
    <w:tmpl w:val="E6FE4C18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C0E5D"/>
    <w:multiLevelType w:val="hybridMultilevel"/>
    <w:tmpl w:val="B9544E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B06C8"/>
    <w:multiLevelType w:val="hybridMultilevel"/>
    <w:tmpl w:val="BFC460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653D"/>
    <w:multiLevelType w:val="hybridMultilevel"/>
    <w:tmpl w:val="E4AC432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DB"/>
    <w:rsid w:val="000059A9"/>
    <w:rsid w:val="00025EC3"/>
    <w:rsid w:val="000374DE"/>
    <w:rsid w:val="000A5D25"/>
    <w:rsid w:val="00122D69"/>
    <w:rsid w:val="00177E92"/>
    <w:rsid w:val="00185DC0"/>
    <w:rsid w:val="001951CF"/>
    <w:rsid w:val="00197358"/>
    <w:rsid w:val="001A1F27"/>
    <w:rsid w:val="001F4A03"/>
    <w:rsid w:val="0021203F"/>
    <w:rsid w:val="00213A70"/>
    <w:rsid w:val="002A3DD6"/>
    <w:rsid w:val="00310EF8"/>
    <w:rsid w:val="0034070E"/>
    <w:rsid w:val="00396CDB"/>
    <w:rsid w:val="003B6045"/>
    <w:rsid w:val="003D0AA3"/>
    <w:rsid w:val="003F3677"/>
    <w:rsid w:val="00427E3B"/>
    <w:rsid w:val="00436044"/>
    <w:rsid w:val="00442E53"/>
    <w:rsid w:val="004B174C"/>
    <w:rsid w:val="004F1C66"/>
    <w:rsid w:val="00510178"/>
    <w:rsid w:val="005B6A6B"/>
    <w:rsid w:val="005C17B4"/>
    <w:rsid w:val="006461FD"/>
    <w:rsid w:val="006B1E02"/>
    <w:rsid w:val="006B7E19"/>
    <w:rsid w:val="006C1781"/>
    <w:rsid w:val="006E14C5"/>
    <w:rsid w:val="006F016D"/>
    <w:rsid w:val="00714F39"/>
    <w:rsid w:val="0074383F"/>
    <w:rsid w:val="00767CE8"/>
    <w:rsid w:val="007A2429"/>
    <w:rsid w:val="007C4204"/>
    <w:rsid w:val="007F11BE"/>
    <w:rsid w:val="007F2376"/>
    <w:rsid w:val="00847E00"/>
    <w:rsid w:val="00875039"/>
    <w:rsid w:val="00882F80"/>
    <w:rsid w:val="008976E5"/>
    <w:rsid w:val="008B4169"/>
    <w:rsid w:val="00921793"/>
    <w:rsid w:val="00934279"/>
    <w:rsid w:val="00993901"/>
    <w:rsid w:val="009962D5"/>
    <w:rsid w:val="009F58D2"/>
    <w:rsid w:val="00A02E45"/>
    <w:rsid w:val="00A21A30"/>
    <w:rsid w:val="00AA4FA7"/>
    <w:rsid w:val="00AB6222"/>
    <w:rsid w:val="00AF2B8B"/>
    <w:rsid w:val="00B77A00"/>
    <w:rsid w:val="00BD3084"/>
    <w:rsid w:val="00BE0B98"/>
    <w:rsid w:val="00BF3146"/>
    <w:rsid w:val="00C01B0E"/>
    <w:rsid w:val="00C3377D"/>
    <w:rsid w:val="00C95ECC"/>
    <w:rsid w:val="00CF5504"/>
    <w:rsid w:val="00D02656"/>
    <w:rsid w:val="00D12DF3"/>
    <w:rsid w:val="00D16AD6"/>
    <w:rsid w:val="00D3532A"/>
    <w:rsid w:val="00D367D7"/>
    <w:rsid w:val="00D43C7D"/>
    <w:rsid w:val="00D44DF2"/>
    <w:rsid w:val="00D64D86"/>
    <w:rsid w:val="00DC4B1B"/>
    <w:rsid w:val="00E541CB"/>
    <w:rsid w:val="00E757EC"/>
    <w:rsid w:val="00E805D4"/>
    <w:rsid w:val="00E972A0"/>
    <w:rsid w:val="00EC1564"/>
    <w:rsid w:val="00EC5472"/>
    <w:rsid w:val="00F31183"/>
    <w:rsid w:val="00F7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D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6CDB"/>
    <w:pPr>
      <w:keepNext/>
      <w:spacing w:line="360" w:lineRule="auto"/>
      <w:jc w:val="both"/>
      <w:outlineLvl w:val="0"/>
    </w:pPr>
    <w:rPr>
      <w:rFonts w:cs="Arial"/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rsid w:val="00396CDB"/>
    <w:pPr>
      <w:keepNext/>
      <w:spacing w:line="360" w:lineRule="auto"/>
      <w:jc w:val="center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6CDB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96CDB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396CDB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396CDB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96CDB"/>
    <w:pPr>
      <w:spacing w:line="360" w:lineRule="auto"/>
      <w:jc w:val="both"/>
    </w:pPr>
    <w:rPr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96CDB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B17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79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D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6CDB"/>
    <w:pPr>
      <w:keepNext/>
      <w:spacing w:line="360" w:lineRule="auto"/>
      <w:jc w:val="both"/>
      <w:outlineLvl w:val="0"/>
    </w:pPr>
    <w:rPr>
      <w:rFonts w:cs="Arial"/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rsid w:val="00396CDB"/>
    <w:pPr>
      <w:keepNext/>
      <w:spacing w:line="360" w:lineRule="auto"/>
      <w:jc w:val="center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6CDB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96CDB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396CDB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396CDB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96CDB"/>
    <w:pPr>
      <w:spacing w:line="360" w:lineRule="auto"/>
      <w:jc w:val="both"/>
    </w:pPr>
    <w:rPr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96CDB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B17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79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0999-2418-4E6B-A6B4-1ECB560D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3</cp:revision>
  <cp:lastPrinted>2016-04-26T18:22:00Z</cp:lastPrinted>
  <dcterms:created xsi:type="dcterms:W3CDTF">2016-04-25T21:50:00Z</dcterms:created>
  <dcterms:modified xsi:type="dcterms:W3CDTF">2016-04-26T18:22:00Z</dcterms:modified>
</cp:coreProperties>
</file>