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DFF" w:rsidRPr="00786EEB" w:rsidRDefault="00394DFF" w:rsidP="00BE4F41">
      <w:pPr>
        <w:tabs>
          <w:tab w:val="center" w:pos="4253"/>
        </w:tabs>
        <w:suppressAutoHyphens/>
        <w:jc w:val="right"/>
        <w:rPr>
          <w:rFonts w:cs="Arial"/>
          <w:b/>
          <w:sz w:val="28"/>
          <w:szCs w:val="28"/>
          <w:lang w:val="es-ES_tradnl"/>
        </w:rPr>
      </w:pPr>
      <w:bookmarkStart w:id="0" w:name="_GoBack"/>
      <w:bookmarkEnd w:id="0"/>
      <w:r w:rsidRPr="00786EEB">
        <w:rPr>
          <w:rFonts w:cs="Arial"/>
          <w:b/>
          <w:sz w:val="28"/>
          <w:szCs w:val="28"/>
          <w:lang w:val="es-ES_tradnl"/>
        </w:rPr>
        <w:t xml:space="preserve">RES. </w:t>
      </w:r>
      <w:r w:rsidR="00AB4AB5">
        <w:rPr>
          <w:rFonts w:cs="Arial"/>
          <w:b/>
          <w:sz w:val="28"/>
          <w:szCs w:val="28"/>
          <w:lang w:val="es-ES_tradnl"/>
        </w:rPr>
        <w:t>785</w:t>
      </w:r>
      <w:r w:rsidRPr="00786EEB">
        <w:rPr>
          <w:rFonts w:cs="Arial"/>
          <w:b/>
          <w:sz w:val="28"/>
          <w:szCs w:val="28"/>
          <w:lang w:val="es-ES_tradnl"/>
        </w:rPr>
        <w:t>/16</w:t>
      </w:r>
    </w:p>
    <w:p w:rsidR="00394DFF" w:rsidRDefault="00394DFF" w:rsidP="00C54438">
      <w:pPr>
        <w:tabs>
          <w:tab w:val="center" w:pos="4253"/>
        </w:tabs>
        <w:suppressAutoHyphens/>
        <w:jc w:val="right"/>
        <w:rPr>
          <w:rFonts w:cs="Arial"/>
          <w:b/>
          <w:lang w:val="es-ES_tradnl"/>
        </w:rPr>
      </w:pPr>
    </w:p>
    <w:p w:rsidR="00394DFF" w:rsidRPr="00762B34" w:rsidRDefault="00394DFF" w:rsidP="00394DFF">
      <w:pPr>
        <w:tabs>
          <w:tab w:val="center" w:pos="4253"/>
        </w:tabs>
        <w:suppressAutoHyphens/>
        <w:jc w:val="center"/>
        <w:rPr>
          <w:rFonts w:cs="Arial"/>
          <w:b/>
          <w:lang w:val="es-ES_tradnl"/>
        </w:rPr>
      </w:pPr>
      <w:r w:rsidRPr="00762B34">
        <w:rPr>
          <w:rFonts w:cs="Arial"/>
          <w:b/>
          <w:lang w:val="es-ES_tradnl"/>
        </w:rPr>
        <w:t>RESOLUCION ADOPTADA POR EL</w:t>
      </w:r>
    </w:p>
    <w:p w:rsidR="00394DFF" w:rsidRPr="00762B34" w:rsidRDefault="00394DFF" w:rsidP="00394DFF">
      <w:pPr>
        <w:tabs>
          <w:tab w:val="left" w:pos="-720"/>
        </w:tabs>
        <w:suppressAutoHyphens/>
        <w:jc w:val="center"/>
        <w:rPr>
          <w:rFonts w:cs="Arial"/>
          <w:b/>
          <w:lang w:val="es-ES_tradnl"/>
        </w:rPr>
      </w:pPr>
    </w:p>
    <w:p w:rsidR="00394DFF" w:rsidRPr="00762B34" w:rsidRDefault="00394DFF" w:rsidP="00394DFF">
      <w:pPr>
        <w:tabs>
          <w:tab w:val="center" w:pos="4253"/>
        </w:tabs>
        <w:suppressAutoHyphens/>
        <w:jc w:val="center"/>
        <w:rPr>
          <w:rFonts w:cs="Arial"/>
          <w:b/>
          <w:lang w:val="es-ES_tradnl"/>
        </w:rPr>
      </w:pPr>
      <w:r w:rsidRPr="00762B34">
        <w:rPr>
          <w:rFonts w:cs="Arial"/>
          <w:b/>
          <w:lang w:val="es-ES_tradnl"/>
        </w:rPr>
        <w:t>TRIBUNAL DE CUENTAS</w:t>
      </w:r>
    </w:p>
    <w:p w:rsidR="00394DFF" w:rsidRPr="00762B34" w:rsidRDefault="00394DFF" w:rsidP="00394DFF">
      <w:pPr>
        <w:tabs>
          <w:tab w:val="left" w:pos="-720"/>
        </w:tabs>
        <w:suppressAutoHyphens/>
        <w:jc w:val="center"/>
        <w:rPr>
          <w:rFonts w:cs="Arial"/>
          <w:b/>
          <w:lang w:val="es-ES_tradnl"/>
        </w:rPr>
      </w:pPr>
    </w:p>
    <w:p w:rsidR="00394DFF" w:rsidRPr="00762B34" w:rsidRDefault="00394DFF" w:rsidP="00394DFF">
      <w:pPr>
        <w:tabs>
          <w:tab w:val="center" w:pos="4253"/>
        </w:tabs>
        <w:suppressAutoHyphens/>
        <w:jc w:val="center"/>
        <w:rPr>
          <w:rFonts w:cs="Arial"/>
          <w:b/>
          <w:lang w:val="es-ES_tradnl"/>
        </w:rPr>
      </w:pPr>
      <w:r w:rsidRPr="00762B34">
        <w:rPr>
          <w:rFonts w:cs="Arial"/>
          <w:b/>
          <w:lang w:val="es-ES_tradnl"/>
        </w:rPr>
        <w:t xml:space="preserve">EN SESION DE FECHA </w:t>
      </w:r>
      <w:r>
        <w:rPr>
          <w:rFonts w:ascii="Helvetica" w:hAnsi="Helvetica"/>
          <w:b/>
          <w:lang w:val="es-ES_tradnl"/>
        </w:rPr>
        <w:t>9 DE MARZO DE 2016</w:t>
      </w:r>
    </w:p>
    <w:p w:rsidR="00394DFF" w:rsidRPr="00762B34" w:rsidRDefault="00394DFF" w:rsidP="00394DFF">
      <w:pPr>
        <w:tabs>
          <w:tab w:val="center" w:pos="4253"/>
        </w:tabs>
        <w:suppressAutoHyphens/>
        <w:jc w:val="center"/>
        <w:rPr>
          <w:rFonts w:cs="Arial"/>
          <w:b/>
          <w:lang w:val="es-ES_tradnl"/>
        </w:rPr>
      </w:pPr>
    </w:p>
    <w:p w:rsidR="00394DFF" w:rsidRPr="00394DFF" w:rsidRDefault="00394DFF" w:rsidP="00394DFF">
      <w:pPr>
        <w:jc w:val="center"/>
        <w:rPr>
          <w:b/>
          <w:bCs/>
        </w:rPr>
      </w:pPr>
      <w:r w:rsidRPr="00BE4F41">
        <w:rPr>
          <w:rFonts w:cs="Arial"/>
          <w:b/>
          <w:lang w:val="es-UY"/>
        </w:rPr>
        <w:t xml:space="preserve">(E. E. Nº </w:t>
      </w:r>
      <w:r>
        <w:rPr>
          <w:b/>
          <w:bCs/>
        </w:rPr>
        <w:t>2016-17-1-0000875</w:t>
      </w:r>
      <w:r w:rsidRPr="00BE4F41">
        <w:rPr>
          <w:rFonts w:cs="Arial"/>
          <w:b/>
          <w:lang w:val="es-UY"/>
        </w:rPr>
        <w:t xml:space="preserve">, </w:t>
      </w:r>
      <w:proofErr w:type="spellStart"/>
      <w:r w:rsidRPr="00BE4F41">
        <w:rPr>
          <w:rFonts w:cs="Arial"/>
          <w:b/>
          <w:lang w:val="es-UY"/>
        </w:rPr>
        <w:t>Ent</w:t>
      </w:r>
      <w:proofErr w:type="spellEnd"/>
      <w:r w:rsidRPr="00BE4F41">
        <w:rPr>
          <w:rFonts w:cs="Arial"/>
          <w:b/>
          <w:lang w:val="es-UY"/>
        </w:rPr>
        <w:t>. N°</w:t>
      </w:r>
      <w:r>
        <w:rPr>
          <w:b/>
          <w:bCs/>
        </w:rPr>
        <w:t>664/16,</w:t>
      </w:r>
      <w:r w:rsidRPr="00394DFF">
        <w:rPr>
          <w:b/>
          <w:bCs/>
        </w:rPr>
        <w:t xml:space="preserve"> </w:t>
      </w:r>
      <w:r>
        <w:rPr>
          <w:b/>
          <w:bCs/>
        </w:rPr>
        <w:t>849/16,</w:t>
      </w:r>
      <w:r w:rsidRPr="00394DFF">
        <w:rPr>
          <w:b/>
          <w:bCs/>
        </w:rPr>
        <w:t xml:space="preserve"> </w:t>
      </w:r>
      <w:r>
        <w:rPr>
          <w:b/>
          <w:bCs/>
        </w:rPr>
        <w:t>925/16</w:t>
      </w:r>
      <w:r w:rsidRPr="00BE4F41">
        <w:rPr>
          <w:rFonts w:cs="Arial"/>
          <w:b/>
          <w:lang w:val="es-UY"/>
        </w:rPr>
        <w:t>)</w:t>
      </w:r>
    </w:p>
    <w:p w:rsidR="00394DFF" w:rsidRPr="00BE4F41" w:rsidRDefault="00394DFF" w:rsidP="00394DFF">
      <w:pPr>
        <w:tabs>
          <w:tab w:val="center" w:pos="4253"/>
        </w:tabs>
        <w:suppressAutoHyphens/>
        <w:jc w:val="center"/>
        <w:rPr>
          <w:rFonts w:ascii="Helvetica" w:hAnsi="Helvetica"/>
          <w:b/>
          <w:lang w:val="es-UY"/>
        </w:rPr>
      </w:pPr>
    </w:p>
    <w:p w:rsidR="00394DFF" w:rsidRPr="00BE4F41" w:rsidRDefault="00394DFF" w:rsidP="00C54438">
      <w:pPr>
        <w:tabs>
          <w:tab w:val="center" w:pos="4253"/>
        </w:tabs>
        <w:suppressAutoHyphens/>
        <w:jc w:val="right"/>
        <w:rPr>
          <w:spacing w:val="-3"/>
          <w:lang w:val="es-UY"/>
        </w:rPr>
      </w:pPr>
    </w:p>
    <w:p w:rsidR="0076246A" w:rsidRDefault="0076246A" w:rsidP="00BE4F41">
      <w:pPr>
        <w:pStyle w:val="Textoindependiente"/>
        <w:ind w:firstLine="851"/>
      </w:pPr>
      <w:r>
        <w:rPr>
          <w:b/>
        </w:rPr>
        <w:t>VISTO:</w:t>
      </w:r>
      <w:r>
        <w:t xml:space="preserve"> el Proyecto de Presupuesto Quinquenal de la Intendencia de Rivera para los </w:t>
      </w:r>
      <w:r w:rsidR="00BE4F41">
        <w:t>E</w:t>
      </w:r>
      <w:r>
        <w:t>jercicios 2016 -2020;</w:t>
      </w:r>
    </w:p>
    <w:p w:rsidR="0076246A" w:rsidRDefault="0076246A" w:rsidP="00BE4F41">
      <w:pPr>
        <w:pStyle w:val="Textoindependiente"/>
        <w:ind w:firstLine="851"/>
      </w:pPr>
      <w:r>
        <w:rPr>
          <w:b/>
        </w:rPr>
        <w:t>CONSIDERANDO:</w:t>
      </w:r>
      <w:r>
        <w:t xml:space="preserve"> </w:t>
      </w:r>
      <w:r>
        <w:rPr>
          <w:b/>
        </w:rPr>
        <w:t xml:space="preserve">1) </w:t>
      </w:r>
      <w:r>
        <w:rPr>
          <w:bCs/>
        </w:rPr>
        <w:t>que se ha dado cumplimiento a lo dispuesto por los Artículos</w:t>
      </w:r>
      <w:r>
        <w:t xml:space="preserve"> 223 al 225 de la Constitución de la República;</w:t>
      </w:r>
    </w:p>
    <w:p w:rsidR="0076246A" w:rsidRPr="00BE4F41" w:rsidRDefault="0076246A" w:rsidP="00BE4F41">
      <w:pPr>
        <w:pStyle w:val="Textoindependiente"/>
        <w:ind w:firstLine="2977"/>
      </w:pPr>
      <w:r>
        <w:rPr>
          <w:b/>
          <w:bCs/>
        </w:rPr>
        <w:t>2)</w:t>
      </w:r>
      <w:r>
        <w:t xml:space="preserve"> que las conclusiones y evidencias obtenidas son las que se expresan en el Dictamen que se adjunta;</w:t>
      </w:r>
    </w:p>
    <w:p w:rsidR="0076246A" w:rsidRPr="00394DFF" w:rsidRDefault="0076246A" w:rsidP="00BE4F41">
      <w:pPr>
        <w:pStyle w:val="Textoindependiente"/>
        <w:ind w:firstLine="851"/>
      </w:pPr>
      <w:r>
        <w:rPr>
          <w:b/>
        </w:rPr>
        <w:t>ATENTO:</w:t>
      </w:r>
      <w:r>
        <w:t xml:space="preserve"> a lo dispuesto por los Artículos 211 </w:t>
      </w:r>
      <w:r w:rsidR="00BE4F41">
        <w:t>L</w:t>
      </w:r>
      <w:r>
        <w:t>iteral A) y 225 de la Constitución de la República;</w:t>
      </w:r>
    </w:p>
    <w:p w:rsidR="0076246A" w:rsidRDefault="0076246A" w:rsidP="00394DFF">
      <w:pPr>
        <w:pStyle w:val="Textoindependiente"/>
        <w:jc w:val="center"/>
        <w:rPr>
          <w:b/>
          <w:highlight w:val="yellow"/>
        </w:rPr>
      </w:pPr>
      <w:r>
        <w:rPr>
          <w:b/>
        </w:rPr>
        <w:t>EL TRIBUNAL</w:t>
      </w:r>
      <w:r w:rsidR="00394DFF">
        <w:rPr>
          <w:b/>
        </w:rPr>
        <w:t xml:space="preserve"> POR MAYORÍA</w:t>
      </w:r>
      <w:r>
        <w:rPr>
          <w:b/>
        </w:rPr>
        <w:t xml:space="preserve"> ACUERDA</w:t>
      </w:r>
    </w:p>
    <w:p w:rsidR="0076246A" w:rsidRDefault="0076246A" w:rsidP="00AB4AB5">
      <w:pPr>
        <w:pStyle w:val="Textoindependiente"/>
        <w:numPr>
          <w:ilvl w:val="0"/>
          <w:numId w:val="1"/>
        </w:numPr>
        <w:tabs>
          <w:tab w:val="clear" w:pos="720"/>
          <w:tab w:val="num" w:pos="284"/>
        </w:tabs>
        <w:ind w:left="284" w:hanging="284"/>
      </w:pPr>
      <w:r>
        <w:t>Emitir su pronunciamiento respecto al Proyecto de Presupuesto Quinquenal de la Intendencia de Rivera correspondiente al período 2016-2020 en los términos del Dictamen que se adjunta</w:t>
      </w:r>
      <w:r w:rsidR="00394DFF">
        <w:t>;</w:t>
      </w:r>
    </w:p>
    <w:p w:rsidR="0076246A" w:rsidRDefault="0076246A" w:rsidP="00AB4AB5">
      <w:pPr>
        <w:pStyle w:val="Textoindependiente"/>
        <w:numPr>
          <w:ilvl w:val="0"/>
          <w:numId w:val="1"/>
        </w:numPr>
        <w:tabs>
          <w:tab w:val="clear" w:pos="720"/>
          <w:tab w:val="num" w:pos="284"/>
        </w:tabs>
        <w:ind w:left="284" w:hanging="284"/>
      </w:pPr>
      <w:r>
        <w:t>Observar el referido documento por lo expresado en los párrafos 4.2), 4.3), 4.4), 4.5), 4.7) y 4.9)  del Dictamen</w:t>
      </w:r>
      <w:r w:rsidR="00394DFF">
        <w:t>;</w:t>
      </w:r>
    </w:p>
    <w:p w:rsidR="0076246A" w:rsidRDefault="0076246A" w:rsidP="00AB4AB5">
      <w:pPr>
        <w:pStyle w:val="Textoindependiente"/>
        <w:numPr>
          <w:ilvl w:val="0"/>
          <w:numId w:val="1"/>
        </w:numPr>
        <w:tabs>
          <w:tab w:val="clear" w:pos="720"/>
          <w:tab w:val="num" w:pos="284"/>
        </w:tabs>
        <w:ind w:left="284" w:hanging="284"/>
      </w:pPr>
      <w:r>
        <w:t>Téngase presente lo establecido en los párrafos 4.6), 4.8) y 4.10) del Dictamen</w:t>
      </w:r>
      <w:r w:rsidR="00394DFF">
        <w:t>;</w:t>
      </w:r>
    </w:p>
    <w:p w:rsidR="0076246A" w:rsidRDefault="0076246A" w:rsidP="00AB4AB5">
      <w:pPr>
        <w:pStyle w:val="Textoindependiente"/>
        <w:numPr>
          <w:ilvl w:val="0"/>
          <w:numId w:val="1"/>
        </w:numPr>
        <w:tabs>
          <w:tab w:val="clear" w:pos="720"/>
          <w:tab w:val="num" w:pos="284"/>
        </w:tabs>
        <w:ind w:left="0" w:firstLine="0"/>
      </w:pPr>
      <w:r>
        <w:t xml:space="preserve"> Comunicar la presente Resolución a la Intendencia de Rivera</w:t>
      </w:r>
      <w:r w:rsidR="00394DFF">
        <w:t>;</w:t>
      </w:r>
    </w:p>
    <w:p w:rsidR="0076246A" w:rsidRDefault="0076246A" w:rsidP="00AB4AB5">
      <w:pPr>
        <w:pStyle w:val="Textoindependiente"/>
        <w:numPr>
          <w:ilvl w:val="0"/>
          <w:numId w:val="1"/>
        </w:numPr>
        <w:tabs>
          <w:tab w:val="clear" w:pos="720"/>
          <w:tab w:val="num" w:pos="284"/>
        </w:tabs>
        <w:ind w:left="0" w:firstLine="0"/>
      </w:pPr>
      <w:r>
        <w:t>Devolver los antecedentes a la Junta Departamental de Rivera.</w:t>
      </w:r>
    </w:p>
    <w:p w:rsidR="0076246A" w:rsidRDefault="0076246A" w:rsidP="00AB4AB5">
      <w:pPr>
        <w:pStyle w:val="Textoindependiente"/>
        <w:rPr>
          <w:highlight w:val="yellow"/>
        </w:rPr>
      </w:pPr>
    </w:p>
    <w:p w:rsidR="0076246A" w:rsidRDefault="0076246A" w:rsidP="0076246A">
      <w:pPr>
        <w:pStyle w:val="Textoindependiente"/>
        <w:rPr>
          <w:sz w:val="12"/>
          <w:highlight w:val="yellow"/>
        </w:rPr>
      </w:pPr>
    </w:p>
    <w:p w:rsidR="0076246A" w:rsidRDefault="0076246A" w:rsidP="0076246A">
      <w:pPr>
        <w:pStyle w:val="Textoindependiente"/>
        <w:rPr>
          <w:highlight w:val="yellow"/>
        </w:rPr>
      </w:pPr>
    </w:p>
    <w:p w:rsidR="00BE4F41" w:rsidRDefault="00BE4F41" w:rsidP="0076246A">
      <w:pPr>
        <w:pStyle w:val="Textoindependiente"/>
        <w:rPr>
          <w:highlight w:val="yellow"/>
        </w:rPr>
      </w:pPr>
    </w:p>
    <w:p w:rsidR="00BE4F41" w:rsidRDefault="00BE4F41" w:rsidP="0076246A">
      <w:pPr>
        <w:pStyle w:val="Textoindependiente"/>
        <w:rPr>
          <w:highlight w:val="yellow"/>
        </w:rPr>
      </w:pPr>
    </w:p>
    <w:p w:rsidR="0066738B" w:rsidRPr="0066738B" w:rsidRDefault="00BE4F41" w:rsidP="0066738B">
      <w:pPr>
        <w:spacing w:line="360" w:lineRule="auto"/>
        <w:jc w:val="both"/>
        <w:rPr>
          <w:rFonts w:cs="Arial"/>
          <w:b/>
          <w:lang w:val="es-UY"/>
        </w:rPr>
      </w:pPr>
      <w:r w:rsidRPr="00E9382D">
        <w:rPr>
          <w:rFonts w:cs="Arial"/>
          <w:b/>
          <w:lang w:val="es-UY"/>
        </w:rPr>
        <w:lastRenderedPageBreak/>
        <w:t>CON</w:t>
      </w:r>
      <w:r>
        <w:rPr>
          <w:rFonts w:cs="Arial"/>
          <w:b/>
          <w:lang w:val="es-UY"/>
        </w:rPr>
        <w:t>S</w:t>
      </w:r>
      <w:r w:rsidRPr="00E9382D">
        <w:rPr>
          <w:rFonts w:cs="Arial"/>
          <w:b/>
          <w:lang w:val="es-UY"/>
        </w:rPr>
        <w:t xml:space="preserve">TANCIA DE FUNDAMENTO DE VOTO </w:t>
      </w:r>
      <w:r>
        <w:rPr>
          <w:rFonts w:cs="Arial"/>
          <w:b/>
          <w:lang w:val="es-UY"/>
        </w:rPr>
        <w:t>DISCORDE</w:t>
      </w:r>
      <w:r w:rsidRPr="00E9382D">
        <w:rPr>
          <w:rFonts w:cs="Arial"/>
          <w:b/>
          <w:lang w:val="es-UY"/>
        </w:rPr>
        <w:t xml:space="preserve"> DEL </w:t>
      </w:r>
      <w:r>
        <w:rPr>
          <w:rFonts w:cs="Arial"/>
          <w:b/>
          <w:lang w:val="es-UY"/>
        </w:rPr>
        <w:t>MINISTRO</w:t>
      </w:r>
      <w:r w:rsidRPr="00E9382D">
        <w:rPr>
          <w:rFonts w:cs="Arial"/>
          <w:b/>
          <w:lang w:val="es-UY"/>
        </w:rPr>
        <w:t xml:space="preserve"> DR. ALVARO EZCURRA:</w:t>
      </w:r>
      <w:r w:rsidR="0066738B">
        <w:rPr>
          <w:rFonts w:cs="Arial"/>
          <w:b/>
          <w:lang w:val="es-UY"/>
        </w:rPr>
        <w:t xml:space="preserve"> </w:t>
      </w:r>
      <w:r w:rsidR="0066738B">
        <w:rPr>
          <w:rFonts w:eastAsiaTheme="minorHAnsi" w:cs="Arial"/>
          <w:lang w:eastAsia="en-US"/>
        </w:rPr>
        <w:t>“</w:t>
      </w:r>
      <w:r w:rsidR="0066738B" w:rsidRPr="0066738B">
        <w:rPr>
          <w:rFonts w:eastAsiaTheme="minorHAnsi" w:cs="Arial"/>
          <w:lang w:eastAsia="en-US"/>
        </w:rPr>
        <w:t>En la Sesión del Cuerpo del  día 9 de marzo se consideró el Proyecto de Presupuesto Quinquenal de la Intendencia de Rivera para el período 2016-2020.</w:t>
      </w:r>
    </w:p>
    <w:p w:rsidR="0066738B" w:rsidRPr="0066738B" w:rsidRDefault="0066738B" w:rsidP="0066738B">
      <w:pPr>
        <w:spacing w:line="360" w:lineRule="auto"/>
        <w:jc w:val="both"/>
        <w:rPr>
          <w:rFonts w:eastAsiaTheme="minorHAnsi" w:cs="Arial"/>
          <w:lang w:eastAsia="en-US"/>
        </w:rPr>
      </w:pPr>
      <w:r w:rsidRPr="0066738B">
        <w:rPr>
          <w:rFonts w:eastAsiaTheme="minorHAnsi" w:cs="Arial"/>
          <w:lang w:eastAsia="en-US"/>
        </w:rPr>
        <w:t>Se propone por parte de los servicios del Tribunal</w:t>
      </w:r>
      <w:r>
        <w:rPr>
          <w:rFonts w:eastAsiaTheme="minorHAnsi" w:cs="Arial"/>
          <w:lang w:eastAsia="en-US"/>
        </w:rPr>
        <w:t xml:space="preserve"> de Cuentas</w:t>
      </w:r>
      <w:r w:rsidRPr="0066738B">
        <w:rPr>
          <w:rFonts w:eastAsiaTheme="minorHAnsi" w:cs="Arial"/>
          <w:lang w:eastAsia="en-US"/>
        </w:rPr>
        <w:t xml:space="preserve"> la observación del </w:t>
      </w:r>
      <w:r>
        <w:rPr>
          <w:rFonts w:eastAsiaTheme="minorHAnsi" w:cs="Arial"/>
          <w:lang w:eastAsia="en-US"/>
        </w:rPr>
        <w:t>A</w:t>
      </w:r>
      <w:r w:rsidRPr="0066738B">
        <w:rPr>
          <w:rFonts w:eastAsiaTheme="minorHAnsi" w:cs="Arial"/>
          <w:lang w:eastAsia="en-US"/>
        </w:rPr>
        <w:t>rtículo 21 del Proyecto referido a</w:t>
      </w:r>
      <w:r>
        <w:rPr>
          <w:rFonts w:eastAsiaTheme="minorHAnsi" w:cs="Arial"/>
          <w:lang w:eastAsia="en-US"/>
        </w:rPr>
        <w:t xml:space="preserve"> la Tasa de Higiene en tanto </w:t>
      </w:r>
      <w:proofErr w:type="gramStart"/>
      <w:r>
        <w:rPr>
          <w:rFonts w:eastAsiaTheme="minorHAnsi" w:cs="Arial"/>
          <w:lang w:eastAsia="en-US"/>
        </w:rPr>
        <w:t xml:space="preserve">“ </w:t>
      </w:r>
      <w:r w:rsidRPr="0066738B">
        <w:rPr>
          <w:rFonts w:eastAsiaTheme="minorHAnsi" w:cs="Arial"/>
          <w:lang w:eastAsia="en-US"/>
        </w:rPr>
        <w:t>de</w:t>
      </w:r>
      <w:proofErr w:type="gramEnd"/>
      <w:r w:rsidRPr="0066738B">
        <w:rPr>
          <w:rFonts w:eastAsiaTheme="minorHAnsi" w:cs="Arial"/>
          <w:lang w:eastAsia="en-US"/>
        </w:rPr>
        <w:t xml:space="preserve"> la redacción de los </w:t>
      </w:r>
      <w:r>
        <w:rPr>
          <w:rFonts w:eastAsiaTheme="minorHAnsi" w:cs="Arial"/>
          <w:lang w:eastAsia="en-US"/>
        </w:rPr>
        <w:t>A</w:t>
      </w:r>
      <w:r w:rsidRPr="0066738B">
        <w:rPr>
          <w:rFonts w:eastAsiaTheme="minorHAnsi" w:cs="Arial"/>
          <w:lang w:eastAsia="en-US"/>
        </w:rPr>
        <w:t>rtículos 21 y 25 del Proyecto (Tasa de Higiene y Diversos Trámites ) no resultan criterios que determinen la diferenciación del servicio por zonas”.</w:t>
      </w:r>
    </w:p>
    <w:p w:rsidR="0066738B" w:rsidRPr="0066738B" w:rsidRDefault="0066738B" w:rsidP="0066738B">
      <w:pPr>
        <w:spacing w:line="360" w:lineRule="auto"/>
        <w:jc w:val="both"/>
        <w:rPr>
          <w:rFonts w:eastAsiaTheme="minorHAnsi" w:cs="Arial"/>
          <w:lang w:eastAsia="en-US"/>
        </w:rPr>
      </w:pPr>
      <w:r w:rsidRPr="0066738B">
        <w:rPr>
          <w:rFonts w:eastAsiaTheme="minorHAnsi" w:cs="Arial"/>
          <w:lang w:eastAsia="en-US"/>
        </w:rPr>
        <w:t>El dictamen fue aprobado por mayoría contando con mi voto negativo por lo siguiente:</w:t>
      </w:r>
    </w:p>
    <w:p w:rsidR="0066738B" w:rsidRPr="0066738B" w:rsidRDefault="0066738B" w:rsidP="0066738B">
      <w:pPr>
        <w:spacing w:line="360" w:lineRule="auto"/>
        <w:jc w:val="both"/>
        <w:rPr>
          <w:rFonts w:eastAsiaTheme="minorHAnsi" w:cs="Arial"/>
          <w:lang w:eastAsia="en-US"/>
        </w:rPr>
      </w:pPr>
      <w:r w:rsidRPr="0066738B">
        <w:rPr>
          <w:rFonts w:eastAsiaTheme="minorHAnsi" w:cs="Arial"/>
          <w:lang w:eastAsia="en-US"/>
        </w:rPr>
        <w:t xml:space="preserve">Sostuve en Sala que la razón expuesta por parte de los Servicios resultaba  insuficiente a los efectos de observar la Tasa en cuestión, en tanto si bien no queda reflejado en el </w:t>
      </w:r>
      <w:r w:rsidR="00D528FE">
        <w:rPr>
          <w:rFonts w:eastAsiaTheme="minorHAnsi" w:cs="Arial"/>
          <w:lang w:eastAsia="en-US"/>
        </w:rPr>
        <w:t>A</w:t>
      </w:r>
      <w:r w:rsidRPr="0066738B">
        <w:rPr>
          <w:rFonts w:eastAsiaTheme="minorHAnsi" w:cs="Arial"/>
          <w:lang w:eastAsia="en-US"/>
        </w:rPr>
        <w:t>rticulado la especificación de los distintos costos del servicio según la zona en que se preste, el Tribunal</w:t>
      </w:r>
      <w:r w:rsidR="00D528FE">
        <w:rPr>
          <w:rFonts w:eastAsiaTheme="minorHAnsi" w:cs="Arial"/>
          <w:lang w:eastAsia="en-US"/>
        </w:rPr>
        <w:t xml:space="preserve"> de Cuentas</w:t>
      </w:r>
      <w:r w:rsidRPr="0066738B">
        <w:rPr>
          <w:rFonts w:eastAsiaTheme="minorHAnsi" w:cs="Arial"/>
          <w:lang w:eastAsia="en-US"/>
        </w:rPr>
        <w:t xml:space="preserve"> debería haber señalado tal extremo para su consideración por parte de la Junta, pero sin observarlo, dado que seguramente dichos criterios tendrían un sustento fáctico irreprochable.</w:t>
      </w:r>
    </w:p>
    <w:p w:rsidR="0066738B" w:rsidRPr="0066738B" w:rsidRDefault="0066738B" w:rsidP="0066738B">
      <w:pPr>
        <w:spacing w:line="360" w:lineRule="auto"/>
        <w:jc w:val="both"/>
        <w:rPr>
          <w:rFonts w:eastAsiaTheme="minorHAnsi" w:cs="Arial"/>
          <w:lang w:eastAsia="en-US"/>
        </w:rPr>
      </w:pPr>
      <w:r w:rsidRPr="0066738B">
        <w:rPr>
          <w:rFonts w:eastAsiaTheme="minorHAnsi" w:cs="Arial"/>
          <w:lang w:eastAsia="en-US"/>
        </w:rPr>
        <w:t>Fundo mi opinión, respecto a este último punto, además de en mi propia convicción de lo acertado de la normativa propuesta, en las consultas realizadas en  la propia Sesión del Cuerpo donde no se me contestó respecto a cuál era la objeción a que se diferenciara el costo del servicio según franjas, (lo que aparentemente desnaturalizaría el concepto de tasa, cuestión que no comparto) ni se me contestara por parte de los Servicios ni por el resto del Cuerpo cuál sería la alternativa válida a la fijación y diferenciación de costos de la Tasa de Higiene según zonas de prestación del servicio</w:t>
      </w:r>
      <w:r>
        <w:rPr>
          <w:rFonts w:eastAsiaTheme="minorHAnsi" w:cs="Arial"/>
          <w:lang w:eastAsia="en-US"/>
        </w:rPr>
        <w:t>”</w:t>
      </w:r>
      <w:r w:rsidRPr="0066738B">
        <w:rPr>
          <w:rFonts w:eastAsiaTheme="minorHAnsi" w:cs="Arial"/>
          <w:lang w:eastAsia="en-US"/>
        </w:rPr>
        <w:t>.</w:t>
      </w:r>
    </w:p>
    <w:p w:rsidR="00BE4F41" w:rsidRDefault="00BE4F41" w:rsidP="0066738B">
      <w:pPr>
        <w:pStyle w:val="Textoindependiente"/>
        <w:rPr>
          <w:rFonts w:cs="Arial"/>
          <w:highlight w:val="yellow"/>
        </w:rPr>
      </w:pPr>
    </w:p>
    <w:p w:rsidR="0066738B" w:rsidRDefault="0066738B" w:rsidP="0066738B">
      <w:pPr>
        <w:pStyle w:val="Textoindependiente"/>
        <w:rPr>
          <w:rFonts w:cs="Arial"/>
          <w:highlight w:val="yellow"/>
        </w:rPr>
      </w:pPr>
    </w:p>
    <w:p w:rsidR="00154A98" w:rsidRDefault="00154A98" w:rsidP="0066738B">
      <w:pPr>
        <w:pStyle w:val="Textoindependiente"/>
        <w:rPr>
          <w:rFonts w:cs="Arial"/>
          <w:highlight w:val="yellow"/>
        </w:rPr>
      </w:pPr>
    </w:p>
    <w:p w:rsidR="00154A98" w:rsidRDefault="00154A98" w:rsidP="0066738B">
      <w:pPr>
        <w:pStyle w:val="Textoindependiente"/>
        <w:rPr>
          <w:rFonts w:cs="Arial"/>
          <w:highlight w:val="yellow"/>
        </w:rPr>
      </w:pPr>
    </w:p>
    <w:p w:rsidR="00154A98" w:rsidRDefault="00154A98" w:rsidP="00C54438">
      <w:pPr>
        <w:pStyle w:val="Ttulo1"/>
        <w:spacing w:line="360" w:lineRule="auto"/>
      </w:pPr>
      <w:r>
        <w:t>DICTAMEN</w:t>
      </w:r>
    </w:p>
    <w:p w:rsidR="00154A98" w:rsidRDefault="00154A98">
      <w:pPr>
        <w:pStyle w:val="Ttulo2"/>
        <w:tabs>
          <w:tab w:val="left" w:pos="7080"/>
        </w:tabs>
      </w:pPr>
    </w:p>
    <w:p w:rsidR="00154A98" w:rsidRDefault="00154A98">
      <w:pPr>
        <w:rPr>
          <w:b/>
        </w:rPr>
      </w:pPr>
    </w:p>
    <w:p w:rsidR="00154A98" w:rsidRDefault="00154A98" w:rsidP="00C54438">
      <w:pPr>
        <w:spacing w:line="360" w:lineRule="auto"/>
        <w:ind w:firstLine="851"/>
        <w:jc w:val="both"/>
        <w:rPr>
          <w:highlight w:val="yellow"/>
        </w:rPr>
      </w:pPr>
      <w:r>
        <w:t>El Tribunal de Cuentas ha examinado el Proyecto de Presupuesto Quinquenal para el período 2016-2020 de la Intendencia de Rivera. Toda la  información incluida en el referido Proyecto y los supuestos sobre los que se basa, son responsabilidad del Organismo que los emite. La responsabilidad del Tribunal de Cuentas es expresar una opinión sobre dicho Proyecto de Presupuesto, de acuerdo a lo dispuesto por los Artículos 211 Literal A) y 225 de la Constitución de la República y establecer, en caso que corresponda, los hallazgos realizados en relación con el cumplimiento de las normas constitucionales, legales y reglamen</w:t>
      </w:r>
      <w:r w:rsidR="00C54438">
        <w:t>tarias que resulten aplicables.</w:t>
      </w:r>
    </w:p>
    <w:p w:rsidR="00154A98" w:rsidRDefault="00154A98">
      <w:pPr>
        <w:spacing w:line="360" w:lineRule="auto"/>
        <w:jc w:val="both"/>
        <w:rPr>
          <w:b/>
        </w:rPr>
      </w:pPr>
    </w:p>
    <w:p w:rsidR="00154A98" w:rsidRDefault="00C54438">
      <w:pPr>
        <w:spacing w:line="360" w:lineRule="auto"/>
        <w:jc w:val="both"/>
        <w:rPr>
          <w:rFonts w:cs="Arial"/>
          <w:b/>
        </w:rPr>
      </w:pPr>
      <w:r>
        <w:rPr>
          <w:rFonts w:cs="Arial"/>
          <w:b/>
        </w:rPr>
        <w:t>1) Antecedentes</w:t>
      </w:r>
    </w:p>
    <w:p w:rsidR="00154A98" w:rsidRDefault="00154A98">
      <w:pPr>
        <w:pStyle w:val="Textoindependiente2"/>
        <w:rPr>
          <w:rFonts w:ascii="Arial" w:hAnsi="Arial" w:cs="Arial"/>
        </w:rPr>
      </w:pPr>
      <w:r w:rsidRPr="00482518">
        <w:rPr>
          <w:rFonts w:ascii="Arial" w:hAnsi="Arial" w:cs="Arial"/>
          <w:b/>
        </w:rPr>
        <w:t>1.1)</w:t>
      </w:r>
      <w:r>
        <w:rPr>
          <w:rFonts w:ascii="Arial" w:hAnsi="Arial" w:cs="Arial"/>
        </w:rPr>
        <w:t xml:space="preserve"> El Proyecto de Presupuesto Quinquenal ingresó a la Junta Departamental de Rivera el 22/12/15 de conformidad con el Artículo 223 de la Constitución de la República.</w:t>
      </w:r>
    </w:p>
    <w:p w:rsidR="00154A98" w:rsidRDefault="00154A98">
      <w:pPr>
        <w:pStyle w:val="Textoindependiente2"/>
        <w:rPr>
          <w:rFonts w:ascii="Arial" w:hAnsi="Arial" w:cs="Arial"/>
        </w:rPr>
      </w:pPr>
      <w:r w:rsidRPr="00482518">
        <w:rPr>
          <w:rFonts w:ascii="Arial" w:hAnsi="Arial" w:cs="Arial"/>
          <w:b/>
        </w:rPr>
        <w:t>1.2)</w:t>
      </w:r>
      <w:r>
        <w:rPr>
          <w:rFonts w:ascii="Arial" w:hAnsi="Arial" w:cs="Arial"/>
        </w:rPr>
        <w:t xml:space="preserve"> El Legislativo Departamental, en sesión de fecha 04/02/16, aprobó en general por mayoría de 18 votos en 24 Ediles presentes y, en particular, por las mayorías requeridas, el Proyecto de Presupuesto Quinquenal de la Intendencia a regir en general desde el 1° de enero de 2016.</w:t>
      </w:r>
    </w:p>
    <w:p w:rsidR="00154A98" w:rsidRDefault="00154A98">
      <w:pPr>
        <w:pStyle w:val="Textoindependiente2"/>
        <w:rPr>
          <w:rFonts w:ascii="Arial" w:hAnsi="Arial" w:cs="Arial"/>
        </w:rPr>
      </w:pPr>
      <w:r w:rsidRPr="00482518">
        <w:rPr>
          <w:rFonts w:ascii="Arial" w:hAnsi="Arial" w:cs="Arial"/>
          <w:b/>
        </w:rPr>
        <w:t>1.3)</w:t>
      </w:r>
      <w:r>
        <w:rPr>
          <w:rFonts w:ascii="Arial" w:hAnsi="Arial" w:cs="Arial"/>
        </w:rPr>
        <w:t xml:space="preserve"> Por Oficio N° 006/16 de fecha 04/02/16 la Junta Departamental de Rivera remitió las actuaciones a efectos de recabar el dictamen de este Tribunal, ingresando las mismas oficialmente en Sesión de 11/02/16 (Ordenanzas         Nro. 51 de fecha 22/11/72 y 70 de 20/07/94).</w:t>
      </w:r>
    </w:p>
    <w:p w:rsidR="00154A98" w:rsidRDefault="00154A98">
      <w:pPr>
        <w:pStyle w:val="Textoindependiente2"/>
        <w:rPr>
          <w:rFonts w:ascii="Arial" w:hAnsi="Arial" w:cs="Arial"/>
        </w:rPr>
      </w:pPr>
      <w:r w:rsidRPr="00482518">
        <w:rPr>
          <w:rFonts w:ascii="Arial" w:hAnsi="Arial" w:cs="Arial"/>
          <w:b/>
        </w:rPr>
        <w:t>1.4)</w:t>
      </w:r>
      <w:r>
        <w:rPr>
          <w:rFonts w:ascii="Arial" w:hAnsi="Arial" w:cs="Arial"/>
        </w:rPr>
        <w:t xml:space="preserve"> Mediante Oficio Nº 1112/16 de fecha 15/02/16 se solicitó información complementaria, interrumpiéndose el plazo del que dispone este Tribunal para emitir su dictamen.</w:t>
      </w:r>
    </w:p>
    <w:p w:rsidR="00154A98" w:rsidRDefault="00154A98" w:rsidP="00C54438">
      <w:pPr>
        <w:pStyle w:val="Textoindependiente2"/>
        <w:rPr>
          <w:rFonts w:ascii="Arial" w:hAnsi="Arial" w:cs="Arial"/>
        </w:rPr>
      </w:pPr>
      <w:r w:rsidRPr="00482518">
        <w:rPr>
          <w:rFonts w:ascii="Arial" w:hAnsi="Arial" w:cs="Arial"/>
          <w:b/>
        </w:rPr>
        <w:t>1.5)</w:t>
      </w:r>
      <w:r>
        <w:rPr>
          <w:rFonts w:ascii="Arial" w:hAnsi="Arial" w:cs="Arial"/>
        </w:rPr>
        <w:t xml:space="preserve"> Por Oficio Nº 012 de fecha </w:t>
      </w:r>
      <w:r w:rsidRPr="00316DC4">
        <w:rPr>
          <w:rFonts w:ascii="Arial" w:hAnsi="Arial" w:cs="Arial"/>
        </w:rPr>
        <w:t>17/02/15</w:t>
      </w:r>
      <w:r>
        <w:rPr>
          <w:rFonts w:ascii="Arial" w:hAnsi="Arial" w:cs="Arial"/>
        </w:rPr>
        <w:t xml:space="preserve"> la Junta Departamental remitió la información solicitada, reanudándose el plazo el 24/02/2016.</w:t>
      </w:r>
    </w:p>
    <w:p w:rsidR="00154A98" w:rsidRPr="007D7079" w:rsidRDefault="00154A98" w:rsidP="00C54438">
      <w:pPr>
        <w:pStyle w:val="Textoindependiente2"/>
        <w:rPr>
          <w:rFonts w:ascii="Arial" w:hAnsi="Arial" w:cs="Arial"/>
        </w:rPr>
      </w:pPr>
      <w:r w:rsidRPr="007D7079">
        <w:rPr>
          <w:rFonts w:ascii="Arial" w:hAnsi="Arial" w:cs="Arial"/>
          <w:b/>
        </w:rPr>
        <w:t>2) Análisis de las estimaciones de recursos</w:t>
      </w:r>
    </w:p>
    <w:p w:rsidR="00154A98" w:rsidRDefault="00154A98">
      <w:pPr>
        <w:pStyle w:val="Textoindependiente"/>
      </w:pPr>
    </w:p>
    <w:p w:rsidR="00154A98" w:rsidRDefault="00154A98">
      <w:pPr>
        <w:pStyle w:val="Textoindependiente"/>
      </w:pPr>
      <w:r w:rsidRPr="00482518">
        <w:rPr>
          <w:b/>
        </w:rPr>
        <w:t>2.1)</w:t>
      </w:r>
      <w:r>
        <w:t xml:space="preserve"> Las estimaciones de recursos para los Ejercicios 2016 - 2020 se resumen, en pesos uruguayos expresados a valores de diciembre de 2015, de acuerdo al siguiente detalle:</w:t>
      </w:r>
    </w:p>
    <w:p w:rsidR="00154A98" w:rsidRDefault="00154A98">
      <w:pPr>
        <w:pStyle w:val="Textoindependiente"/>
      </w:pPr>
    </w:p>
    <w:tbl>
      <w:tblPr>
        <w:tblW w:w="8992" w:type="dxa"/>
        <w:jc w:val="center"/>
        <w:tblInd w:w="-2834" w:type="dxa"/>
        <w:tblLayout w:type="fixed"/>
        <w:tblCellMar>
          <w:left w:w="0" w:type="dxa"/>
          <w:right w:w="0" w:type="dxa"/>
        </w:tblCellMar>
        <w:tblLook w:val="0000" w:firstRow="0" w:lastRow="0" w:firstColumn="0" w:lastColumn="0" w:noHBand="0" w:noVBand="0"/>
      </w:tblPr>
      <w:tblGrid>
        <w:gridCol w:w="1398"/>
        <w:gridCol w:w="1398"/>
        <w:gridCol w:w="1417"/>
        <w:gridCol w:w="1418"/>
        <w:gridCol w:w="1417"/>
        <w:gridCol w:w="1944"/>
      </w:tblGrid>
      <w:tr w:rsidR="00154A98" w:rsidTr="00C54438">
        <w:trPr>
          <w:trHeight w:val="300"/>
          <w:jc w:val="center"/>
        </w:trPr>
        <w:tc>
          <w:tcPr>
            <w:tcW w:w="1398" w:type="dxa"/>
            <w:tcBorders>
              <w:top w:val="nil"/>
              <w:left w:val="nil"/>
              <w:bottom w:val="nil"/>
              <w:right w:val="nil"/>
            </w:tcBorders>
            <w:noWrap/>
            <w:tcMar>
              <w:top w:w="15" w:type="dxa"/>
              <w:left w:w="15" w:type="dxa"/>
              <w:bottom w:w="0" w:type="dxa"/>
              <w:right w:w="15" w:type="dxa"/>
            </w:tcMar>
            <w:vAlign w:val="bottom"/>
          </w:tcPr>
          <w:p w:rsidR="00154A98" w:rsidRDefault="00154A98" w:rsidP="00C54438">
            <w:pPr>
              <w:ind w:left="-1088"/>
              <w:rPr>
                <w:rFonts w:eastAsia="Arial Unicode MS" w:cs="Arial"/>
                <w:b/>
                <w:bCs/>
              </w:rPr>
            </w:pPr>
            <w:proofErr w:type="spellStart"/>
            <w:r>
              <w:rPr>
                <w:rFonts w:eastAsia="Arial Unicode MS" w:cs="Arial"/>
                <w:b/>
                <w:bCs/>
                <w:sz w:val="18"/>
              </w:rPr>
              <w:t>Or</w:t>
            </w:r>
            <w:proofErr w:type="spellEnd"/>
            <w:r>
              <w:rPr>
                <w:rFonts w:eastAsia="Arial Unicode MS" w:cs="Arial"/>
                <w:b/>
                <w:bCs/>
                <w:sz w:val="18"/>
              </w:rPr>
              <w:t xml:space="preserve">  Origen </w:t>
            </w:r>
          </w:p>
        </w:tc>
        <w:tc>
          <w:tcPr>
            <w:tcW w:w="1398" w:type="dxa"/>
            <w:tcBorders>
              <w:top w:val="nil"/>
              <w:left w:val="nil"/>
              <w:bottom w:val="nil"/>
              <w:right w:val="nil"/>
            </w:tcBorders>
            <w:vAlign w:val="center"/>
          </w:tcPr>
          <w:p w:rsidR="00154A98" w:rsidRDefault="00154A98" w:rsidP="00C54438">
            <w:pPr>
              <w:rPr>
                <w:rFonts w:cs="Arial"/>
                <w:b/>
                <w:bCs/>
                <w:sz w:val="18"/>
                <w:szCs w:val="18"/>
              </w:rPr>
            </w:pPr>
            <w:r>
              <w:rPr>
                <w:rFonts w:cs="Arial"/>
                <w:b/>
                <w:bCs/>
                <w:sz w:val="18"/>
                <w:szCs w:val="18"/>
              </w:rPr>
              <w:t>2016</w:t>
            </w:r>
          </w:p>
        </w:tc>
        <w:tc>
          <w:tcPr>
            <w:tcW w:w="1417" w:type="dxa"/>
            <w:tcBorders>
              <w:top w:val="nil"/>
              <w:left w:val="nil"/>
              <w:bottom w:val="nil"/>
              <w:right w:val="nil"/>
            </w:tcBorders>
            <w:noWrap/>
            <w:tcMar>
              <w:top w:w="15" w:type="dxa"/>
              <w:left w:w="15" w:type="dxa"/>
              <w:bottom w:w="0" w:type="dxa"/>
              <w:right w:w="15" w:type="dxa"/>
            </w:tcMar>
            <w:vAlign w:val="center"/>
          </w:tcPr>
          <w:p w:rsidR="00154A98" w:rsidRDefault="00154A98" w:rsidP="00C54438">
            <w:pPr>
              <w:jc w:val="center"/>
              <w:rPr>
                <w:rFonts w:eastAsia="Arial Unicode MS" w:cs="Arial"/>
                <w:b/>
                <w:bCs/>
                <w:sz w:val="18"/>
                <w:szCs w:val="18"/>
              </w:rPr>
            </w:pPr>
            <w:r>
              <w:rPr>
                <w:rFonts w:cs="Arial"/>
                <w:b/>
                <w:bCs/>
                <w:sz w:val="18"/>
                <w:szCs w:val="18"/>
              </w:rPr>
              <w:t>2017</w:t>
            </w:r>
          </w:p>
        </w:tc>
        <w:tc>
          <w:tcPr>
            <w:tcW w:w="1418" w:type="dxa"/>
            <w:tcBorders>
              <w:top w:val="nil"/>
              <w:left w:val="nil"/>
              <w:bottom w:val="nil"/>
              <w:right w:val="nil"/>
            </w:tcBorders>
            <w:noWrap/>
            <w:tcMar>
              <w:top w:w="15" w:type="dxa"/>
              <w:left w:w="15" w:type="dxa"/>
              <w:bottom w:w="0" w:type="dxa"/>
              <w:right w:w="15" w:type="dxa"/>
            </w:tcMar>
            <w:vAlign w:val="center"/>
          </w:tcPr>
          <w:p w:rsidR="00154A98" w:rsidRDefault="00154A98" w:rsidP="00C54438">
            <w:pPr>
              <w:jc w:val="center"/>
              <w:rPr>
                <w:rFonts w:eastAsia="Arial Unicode MS" w:cs="Arial"/>
                <w:b/>
                <w:bCs/>
                <w:sz w:val="18"/>
                <w:szCs w:val="18"/>
              </w:rPr>
            </w:pPr>
            <w:r>
              <w:rPr>
                <w:rFonts w:eastAsia="Arial Unicode MS" w:cs="Arial"/>
                <w:b/>
                <w:bCs/>
                <w:sz w:val="18"/>
                <w:szCs w:val="18"/>
              </w:rPr>
              <w:t>2018</w:t>
            </w:r>
          </w:p>
        </w:tc>
        <w:tc>
          <w:tcPr>
            <w:tcW w:w="1417" w:type="dxa"/>
            <w:tcBorders>
              <w:top w:val="nil"/>
              <w:left w:val="nil"/>
              <w:bottom w:val="nil"/>
              <w:right w:val="nil"/>
            </w:tcBorders>
            <w:vAlign w:val="center"/>
          </w:tcPr>
          <w:p w:rsidR="00154A98" w:rsidRDefault="00154A98" w:rsidP="00C54438">
            <w:pPr>
              <w:jc w:val="center"/>
              <w:rPr>
                <w:rFonts w:eastAsia="Arial Unicode MS" w:cs="Arial"/>
                <w:b/>
                <w:bCs/>
                <w:sz w:val="18"/>
                <w:szCs w:val="18"/>
              </w:rPr>
            </w:pPr>
            <w:r>
              <w:rPr>
                <w:rFonts w:eastAsia="Arial Unicode MS" w:cs="Arial"/>
                <w:b/>
                <w:bCs/>
                <w:sz w:val="18"/>
                <w:szCs w:val="18"/>
              </w:rPr>
              <w:t>2019</w:t>
            </w:r>
          </w:p>
        </w:tc>
        <w:tc>
          <w:tcPr>
            <w:tcW w:w="1944" w:type="dxa"/>
            <w:tcBorders>
              <w:top w:val="nil"/>
              <w:left w:val="nil"/>
              <w:bottom w:val="nil"/>
              <w:right w:val="nil"/>
            </w:tcBorders>
            <w:vAlign w:val="center"/>
          </w:tcPr>
          <w:p w:rsidR="00154A98" w:rsidRDefault="00154A98" w:rsidP="00C54438">
            <w:pPr>
              <w:jc w:val="center"/>
              <w:rPr>
                <w:rFonts w:eastAsia="Arial Unicode MS" w:cs="Arial"/>
                <w:b/>
                <w:bCs/>
                <w:sz w:val="18"/>
                <w:szCs w:val="18"/>
              </w:rPr>
            </w:pPr>
            <w:r>
              <w:rPr>
                <w:rFonts w:eastAsia="Arial Unicode MS" w:cs="Arial"/>
                <w:b/>
                <w:bCs/>
                <w:sz w:val="18"/>
                <w:szCs w:val="18"/>
              </w:rPr>
              <w:t>2020</w:t>
            </w:r>
          </w:p>
        </w:tc>
      </w:tr>
      <w:tr w:rsidR="00154A98" w:rsidTr="00C54438">
        <w:trPr>
          <w:trHeight w:val="191"/>
          <w:jc w:val="center"/>
        </w:trPr>
        <w:tc>
          <w:tcPr>
            <w:tcW w:w="1398" w:type="dxa"/>
            <w:tcBorders>
              <w:top w:val="nil"/>
              <w:left w:val="nil"/>
              <w:bottom w:val="nil"/>
              <w:right w:val="nil"/>
            </w:tcBorders>
            <w:noWrap/>
            <w:tcMar>
              <w:top w:w="15" w:type="dxa"/>
              <w:left w:w="15" w:type="dxa"/>
              <w:bottom w:w="0" w:type="dxa"/>
              <w:right w:w="15" w:type="dxa"/>
            </w:tcMar>
            <w:vAlign w:val="center"/>
          </w:tcPr>
          <w:p w:rsidR="00154A98" w:rsidRDefault="00154A98" w:rsidP="00C54438">
            <w:pPr>
              <w:rPr>
                <w:rFonts w:eastAsia="Arial Unicode MS" w:cs="Arial"/>
                <w:sz w:val="20"/>
                <w:szCs w:val="20"/>
              </w:rPr>
            </w:pPr>
            <w:r>
              <w:rPr>
                <w:rFonts w:cs="Arial"/>
                <w:sz w:val="20"/>
                <w:szCs w:val="20"/>
              </w:rPr>
              <w:t>Departamental</w:t>
            </w:r>
          </w:p>
        </w:tc>
        <w:tc>
          <w:tcPr>
            <w:tcW w:w="1398" w:type="dxa"/>
            <w:tcBorders>
              <w:top w:val="nil"/>
              <w:left w:val="nil"/>
              <w:bottom w:val="nil"/>
              <w:right w:val="nil"/>
            </w:tcBorders>
            <w:vAlign w:val="center"/>
          </w:tcPr>
          <w:p w:rsidR="00154A98" w:rsidRDefault="00154A98" w:rsidP="00C54438">
            <w:pPr>
              <w:rPr>
                <w:rFonts w:cs="Arial"/>
                <w:sz w:val="20"/>
                <w:szCs w:val="20"/>
              </w:rPr>
            </w:pPr>
            <w:r>
              <w:rPr>
                <w:rFonts w:cs="Arial"/>
                <w:sz w:val="20"/>
                <w:szCs w:val="20"/>
              </w:rPr>
              <w:t>751:274.423</w:t>
            </w:r>
          </w:p>
        </w:tc>
        <w:tc>
          <w:tcPr>
            <w:tcW w:w="1417" w:type="dxa"/>
            <w:tcBorders>
              <w:top w:val="nil"/>
              <w:left w:val="nil"/>
              <w:bottom w:val="nil"/>
              <w:right w:val="nil"/>
            </w:tcBorders>
            <w:noWrap/>
            <w:tcMar>
              <w:top w:w="15" w:type="dxa"/>
              <w:left w:w="15" w:type="dxa"/>
              <w:bottom w:w="0" w:type="dxa"/>
              <w:right w:w="15" w:type="dxa"/>
            </w:tcMar>
            <w:vAlign w:val="center"/>
          </w:tcPr>
          <w:p w:rsidR="00154A98" w:rsidRDefault="00154A98" w:rsidP="00C54438">
            <w:pPr>
              <w:jc w:val="center"/>
              <w:rPr>
                <w:rFonts w:eastAsia="Arial Unicode MS" w:cs="Arial"/>
                <w:sz w:val="20"/>
                <w:szCs w:val="20"/>
              </w:rPr>
            </w:pPr>
            <w:r>
              <w:rPr>
                <w:rFonts w:eastAsia="Arial Unicode MS" w:cs="Arial"/>
                <w:sz w:val="20"/>
                <w:szCs w:val="20"/>
              </w:rPr>
              <w:t>721:933.223</w:t>
            </w:r>
          </w:p>
        </w:tc>
        <w:tc>
          <w:tcPr>
            <w:tcW w:w="1418" w:type="dxa"/>
            <w:tcBorders>
              <w:top w:val="nil"/>
              <w:left w:val="nil"/>
              <w:bottom w:val="nil"/>
              <w:right w:val="nil"/>
            </w:tcBorders>
            <w:noWrap/>
            <w:tcMar>
              <w:top w:w="15" w:type="dxa"/>
              <w:left w:w="15" w:type="dxa"/>
              <w:bottom w:w="0" w:type="dxa"/>
              <w:right w:w="15" w:type="dxa"/>
            </w:tcMar>
            <w:vAlign w:val="center"/>
          </w:tcPr>
          <w:p w:rsidR="00154A98" w:rsidRDefault="00154A98">
            <w:pPr>
              <w:jc w:val="center"/>
              <w:rPr>
                <w:rFonts w:eastAsia="Arial Unicode MS" w:cs="Arial"/>
                <w:sz w:val="20"/>
                <w:szCs w:val="20"/>
              </w:rPr>
            </w:pPr>
            <w:r>
              <w:rPr>
                <w:rFonts w:eastAsia="Arial Unicode MS" w:cs="Arial"/>
                <w:sz w:val="20"/>
                <w:szCs w:val="20"/>
              </w:rPr>
              <w:t>716.542.823</w:t>
            </w:r>
          </w:p>
        </w:tc>
        <w:tc>
          <w:tcPr>
            <w:tcW w:w="1417" w:type="dxa"/>
            <w:tcBorders>
              <w:top w:val="nil"/>
              <w:left w:val="nil"/>
              <w:bottom w:val="nil"/>
              <w:right w:val="nil"/>
            </w:tcBorders>
            <w:vAlign w:val="center"/>
          </w:tcPr>
          <w:p w:rsidR="00154A98" w:rsidRDefault="00154A98">
            <w:pPr>
              <w:jc w:val="center"/>
              <w:rPr>
                <w:rFonts w:eastAsia="Arial Unicode MS" w:cs="Arial"/>
                <w:sz w:val="20"/>
                <w:szCs w:val="20"/>
              </w:rPr>
            </w:pPr>
            <w:r>
              <w:rPr>
                <w:rFonts w:eastAsia="Arial Unicode MS" w:cs="Arial"/>
                <w:sz w:val="20"/>
                <w:szCs w:val="20"/>
              </w:rPr>
              <w:t>710.851.053</w:t>
            </w:r>
          </w:p>
        </w:tc>
        <w:tc>
          <w:tcPr>
            <w:tcW w:w="1944" w:type="dxa"/>
            <w:tcBorders>
              <w:top w:val="nil"/>
              <w:left w:val="nil"/>
              <w:bottom w:val="nil"/>
              <w:right w:val="nil"/>
            </w:tcBorders>
            <w:vAlign w:val="center"/>
          </w:tcPr>
          <w:p w:rsidR="00154A98" w:rsidRDefault="00154A98">
            <w:pPr>
              <w:jc w:val="center"/>
              <w:rPr>
                <w:rFonts w:eastAsia="Arial Unicode MS" w:cs="Arial"/>
                <w:sz w:val="20"/>
                <w:szCs w:val="20"/>
              </w:rPr>
            </w:pPr>
            <w:r>
              <w:rPr>
                <w:rFonts w:eastAsia="Arial Unicode MS" w:cs="Arial"/>
                <w:sz w:val="20"/>
                <w:szCs w:val="20"/>
              </w:rPr>
              <w:t>707.869.275</w:t>
            </w:r>
          </w:p>
        </w:tc>
      </w:tr>
      <w:tr w:rsidR="00154A98" w:rsidTr="00C54438">
        <w:trPr>
          <w:trHeight w:val="306"/>
          <w:jc w:val="center"/>
        </w:trPr>
        <w:tc>
          <w:tcPr>
            <w:tcW w:w="1398" w:type="dxa"/>
            <w:tcBorders>
              <w:top w:val="nil"/>
              <w:left w:val="nil"/>
              <w:bottom w:val="nil"/>
              <w:right w:val="nil"/>
            </w:tcBorders>
            <w:noWrap/>
            <w:tcMar>
              <w:top w:w="15" w:type="dxa"/>
              <w:left w:w="15" w:type="dxa"/>
              <w:bottom w:w="0" w:type="dxa"/>
              <w:right w:w="15" w:type="dxa"/>
            </w:tcMar>
            <w:vAlign w:val="center"/>
          </w:tcPr>
          <w:p w:rsidR="00154A98" w:rsidRDefault="00154A98" w:rsidP="00C54438">
            <w:pPr>
              <w:rPr>
                <w:rFonts w:eastAsia="Arial Unicode MS" w:cs="Arial"/>
                <w:sz w:val="20"/>
                <w:szCs w:val="20"/>
              </w:rPr>
            </w:pPr>
            <w:r>
              <w:rPr>
                <w:rFonts w:cs="Arial"/>
                <w:sz w:val="20"/>
                <w:szCs w:val="20"/>
              </w:rPr>
              <w:t>Nacional</w:t>
            </w:r>
          </w:p>
        </w:tc>
        <w:tc>
          <w:tcPr>
            <w:tcW w:w="1398" w:type="dxa"/>
            <w:tcBorders>
              <w:top w:val="nil"/>
              <w:left w:val="nil"/>
              <w:bottom w:val="single" w:sz="4" w:space="0" w:color="auto"/>
              <w:right w:val="nil"/>
            </w:tcBorders>
            <w:vAlign w:val="center"/>
          </w:tcPr>
          <w:p w:rsidR="00154A98" w:rsidRDefault="00154A98" w:rsidP="00C54438">
            <w:pPr>
              <w:rPr>
                <w:rFonts w:cs="Arial"/>
                <w:sz w:val="20"/>
                <w:szCs w:val="20"/>
              </w:rPr>
            </w:pPr>
            <w:r>
              <w:rPr>
                <w:rFonts w:cs="Arial"/>
                <w:sz w:val="20"/>
                <w:szCs w:val="20"/>
              </w:rPr>
              <w:t>737:579.862</w:t>
            </w:r>
          </w:p>
        </w:tc>
        <w:tc>
          <w:tcPr>
            <w:tcW w:w="1417" w:type="dxa"/>
            <w:tcBorders>
              <w:top w:val="nil"/>
              <w:left w:val="nil"/>
              <w:bottom w:val="single" w:sz="4" w:space="0" w:color="auto"/>
              <w:right w:val="nil"/>
            </w:tcBorders>
            <w:noWrap/>
            <w:tcMar>
              <w:top w:w="15" w:type="dxa"/>
              <w:left w:w="15" w:type="dxa"/>
              <w:bottom w:w="0" w:type="dxa"/>
              <w:right w:w="15" w:type="dxa"/>
            </w:tcMar>
            <w:vAlign w:val="center"/>
          </w:tcPr>
          <w:p w:rsidR="00154A98" w:rsidRDefault="00154A98" w:rsidP="00C54438">
            <w:pPr>
              <w:jc w:val="center"/>
              <w:rPr>
                <w:rFonts w:eastAsia="Arial Unicode MS" w:cs="Arial"/>
                <w:sz w:val="20"/>
                <w:szCs w:val="20"/>
              </w:rPr>
            </w:pPr>
            <w:r>
              <w:rPr>
                <w:rFonts w:eastAsia="Arial Unicode MS" w:cs="Arial"/>
                <w:sz w:val="20"/>
                <w:szCs w:val="20"/>
              </w:rPr>
              <w:t>710:871.920</w:t>
            </w:r>
          </w:p>
        </w:tc>
        <w:tc>
          <w:tcPr>
            <w:tcW w:w="1418" w:type="dxa"/>
            <w:tcBorders>
              <w:top w:val="nil"/>
              <w:left w:val="nil"/>
              <w:bottom w:val="single" w:sz="4" w:space="0" w:color="auto"/>
              <w:right w:val="nil"/>
            </w:tcBorders>
            <w:noWrap/>
            <w:tcMar>
              <w:top w:w="15" w:type="dxa"/>
              <w:left w:w="15" w:type="dxa"/>
              <w:bottom w:w="0" w:type="dxa"/>
              <w:right w:w="15" w:type="dxa"/>
            </w:tcMar>
            <w:vAlign w:val="center"/>
          </w:tcPr>
          <w:p w:rsidR="00154A98" w:rsidRDefault="00154A98">
            <w:pPr>
              <w:jc w:val="center"/>
              <w:rPr>
                <w:rFonts w:eastAsia="Arial Unicode MS" w:cs="Arial"/>
                <w:sz w:val="20"/>
                <w:szCs w:val="20"/>
              </w:rPr>
            </w:pPr>
            <w:r>
              <w:rPr>
                <w:rFonts w:eastAsia="Arial Unicode MS" w:cs="Arial"/>
                <w:sz w:val="20"/>
                <w:szCs w:val="20"/>
              </w:rPr>
              <w:t>695.604.123</w:t>
            </w:r>
          </w:p>
        </w:tc>
        <w:tc>
          <w:tcPr>
            <w:tcW w:w="1417" w:type="dxa"/>
            <w:tcBorders>
              <w:top w:val="nil"/>
              <w:left w:val="nil"/>
              <w:bottom w:val="single" w:sz="4" w:space="0" w:color="auto"/>
              <w:right w:val="nil"/>
            </w:tcBorders>
            <w:vAlign w:val="center"/>
          </w:tcPr>
          <w:p w:rsidR="00154A98" w:rsidRDefault="00154A98">
            <w:pPr>
              <w:jc w:val="center"/>
              <w:rPr>
                <w:rFonts w:eastAsia="Arial Unicode MS" w:cs="Arial"/>
                <w:sz w:val="20"/>
                <w:szCs w:val="20"/>
              </w:rPr>
            </w:pPr>
            <w:r>
              <w:rPr>
                <w:rFonts w:eastAsia="Arial Unicode MS" w:cs="Arial"/>
                <w:sz w:val="20"/>
                <w:szCs w:val="20"/>
              </w:rPr>
              <w:t>670.846.206</w:t>
            </w:r>
          </w:p>
        </w:tc>
        <w:tc>
          <w:tcPr>
            <w:tcW w:w="1944" w:type="dxa"/>
            <w:tcBorders>
              <w:top w:val="nil"/>
              <w:left w:val="nil"/>
              <w:bottom w:val="single" w:sz="4" w:space="0" w:color="auto"/>
              <w:right w:val="nil"/>
            </w:tcBorders>
            <w:vAlign w:val="center"/>
          </w:tcPr>
          <w:p w:rsidR="00154A98" w:rsidRDefault="00154A98">
            <w:pPr>
              <w:jc w:val="center"/>
              <w:rPr>
                <w:rFonts w:eastAsia="Arial Unicode MS" w:cs="Arial"/>
                <w:sz w:val="20"/>
                <w:szCs w:val="20"/>
              </w:rPr>
            </w:pPr>
            <w:r>
              <w:rPr>
                <w:rFonts w:eastAsia="Arial Unicode MS" w:cs="Arial"/>
                <w:sz w:val="20"/>
                <w:szCs w:val="20"/>
              </w:rPr>
              <w:t>669.836.206</w:t>
            </w:r>
          </w:p>
        </w:tc>
      </w:tr>
      <w:tr w:rsidR="00154A98" w:rsidTr="00C54438">
        <w:trPr>
          <w:trHeight w:val="255"/>
          <w:jc w:val="center"/>
        </w:trPr>
        <w:tc>
          <w:tcPr>
            <w:tcW w:w="1398" w:type="dxa"/>
            <w:tcBorders>
              <w:top w:val="nil"/>
              <w:left w:val="nil"/>
              <w:bottom w:val="nil"/>
              <w:right w:val="nil"/>
            </w:tcBorders>
            <w:noWrap/>
            <w:tcMar>
              <w:top w:w="15" w:type="dxa"/>
              <w:left w:w="15" w:type="dxa"/>
              <w:bottom w:w="0" w:type="dxa"/>
              <w:right w:w="15" w:type="dxa"/>
            </w:tcMar>
            <w:vAlign w:val="center"/>
          </w:tcPr>
          <w:p w:rsidR="00154A98" w:rsidRDefault="00154A98" w:rsidP="00C54438">
            <w:pPr>
              <w:rPr>
                <w:rFonts w:eastAsia="Arial Unicode MS" w:cs="Arial"/>
                <w:b/>
                <w:bCs/>
                <w:sz w:val="20"/>
                <w:szCs w:val="20"/>
              </w:rPr>
            </w:pPr>
            <w:r>
              <w:rPr>
                <w:rFonts w:cs="Arial"/>
                <w:b/>
                <w:bCs/>
                <w:sz w:val="20"/>
                <w:szCs w:val="20"/>
              </w:rPr>
              <w:t>Totales</w:t>
            </w:r>
          </w:p>
        </w:tc>
        <w:tc>
          <w:tcPr>
            <w:tcW w:w="1398" w:type="dxa"/>
            <w:tcBorders>
              <w:top w:val="nil"/>
              <w:left w:val="nil"/>
              <w:bottom w:val="nil"/>
              <w:right w:val="nil"/>
            </w:tcBorders>
            <w:vAlign w:val="center"/>
          </w:tcPr>
          <w:p w:rsidR="00154A98" w:rsidRDefault="00154A98" w:rsidP="00C54438">
            <w:pPr>
              <w:rPr>
                <w:rFonts w:cs="Arial"/>
                <w:b/>
                <w:bCs/>
                <w:sz w:val="20"/>
                <w:szCs w:val="20"/>
              </w:rPr>
            </w:pPr>
            <w:r>
              <w:rPr>
                <w:rFonts w:cs="Arial"/>
                <w:b/>
                <w:bCs/>
                <w:sz w:val="20"/>
                <w:szCs w:val="20"/>
              </w:rPr>
              <w:t>1.488:854.285</w:t>
            </w:r>
          </w:p>
        </w:tc>
        <w:tc>
          <w:tcPr>
            <w:tcW w:w="1417" w:type="dxa"/>
            <w:tcBorders>
              <w:top w:val="nil"/>
              <w:left w:val="nil"/>
              <w:bottom w:val="nil"/>
              <w:right w:val="nil"/>
            </w:tcBorders>
            <w:noWrap/>
            <w:tcMar>
              <w:top w:w="15" w:type="dxa"/>
              <w:left w:w="15" w:type="dxa"/>
              <w:bottom w:w="0" w:type="dxa"/>
              <w:right w:w="15" w:type="dxa"/>
            </w:tcMar>
            <w:vAlign w:val="center"/>
          </w:tcPr>
          <w:p w:rsidR="00154A98" w:rsidRDefault="00154A98">
            <w:pPr>
              <w:jc w:val="center"/>
              <w:rPr>
                <w:rFonts w:eastAsia="Arial Unicode MS" w:cs="Arial"/>
                <w:b/>
                <w:bCs/>
                <w:sz w:val="20"/>
                <w:szCs w:val="20"/>
              </w:rPr>
            </w:pPr>
            <w:r>
              <w:rPr>
                <w:rFonts w:eastAsia="Arial Unicode MS" w:cs="Arial"/>
                <w:b/>
                <w:bCs/>
                <w:sz w:val="20"/>
                <w:szCs w:val="20"/>
              </w:rPr>
              <w:t>1.432.805.143</w:t>
            </w:r>
          </w:p>
        </w:tc>
        <w:tc>
          <w:tcPr>
            <w:tcW w:w="1418" w:type="dxa"/>
            <w:tcBorders>
              <w:top w:val="nil"/>
              <w:left w:val="nil"/>
              <w:bottom w:val="nil"/>
              <w:right w:val="nil"/>
            </w:tcBorders>
            <w:noWrap/>
            <w:tcMar>
              <w:top w:w="15" w:type="dxa"/>
              <w:left w:w="15" w:type="dxa"/>
              <w:bottom w:w="0" w:type="dxa"/>
              <w:right w:w="15" w:type="dxa"/>
            </w:tcMar>
            <w:vAlign w:val="center"/>
          </w:tcPr>
          <w:p w:rsidR="00154A98" w:rsidRDefault="00154A98">
            <w:pPr>
              <w:jc w:val="center"/>
              <w:rPr>
                <w:rFonts w:eastAsia="Arial Unicode MS" w:cs="Arial"/>
                <w:b/>
                <w:bCs/>
                <w:sz w:val="20"/>
                <w:szCs w:val="20"/>
              </w:rPr>
            </w:pPr>
            <w:r>
              <w:rPr>
                <w:rFonts w:eastAsia="Arial Unicode MS" w:cs="Arial"/>
                <w:b/>
                <w:bCs/>
                <w:sz w:val="20"/>
                <w:szCs w:val="20"/>
              </w:rPr>
              <w:t>1.412.146.946</w:t>
            </w:r>
          </w:p>
        </w:tc>
        <w:tc>
          <w:tcPr>
            <w:tcW w:w="1417" w:type="dxa"/>
            <w:tcBorders>
              <w:top w:val="nil"/>
              <w:left w:val="nil"/>
              <w:bottom w:val="nil"/>
              <w:right w:val="nil"/>
            </w:tcBorders>
            <w:vAlign w:val="center"/>
          </w:tcPr>
          <w:p w:rsidR="00154A98" w:rsidRDefault="00154A98">
            <w:pPr>
              <w:jc w:val="center"/>
              <w:rPr>
                <w:rFonts w:eastAsia="Arial Unicode MS" w:cs="Arial"/>
                <w:b/>
                <w:bCs/>
                <w:sz w:val="20"/>
                <w:szCs w:val="20"/>
              </w:rPr>
            </w:pPr>
            <w:r>
              <w:rPr>
                <w:rFonts w:eastAsia="Arial Unicode MS" w:cs="Arial"/>
                <w:b/>
                <w:bCs/>
                <w:sz w:val="20"/>
                <w:szCs w:val="20"/>
              </w:rPr>
              <w:t>1.381.697.259</w:t>
            </w:r>
          </w:p>
        </w:tc>
        <w:tc>
          <w:tcPr>
            <w:tcW w:w="1944" w:type="dxa"/>
            <w:tcBorders>
              <w:top w:val="nil"/>
              <w:left w:val="nil"/>
              <w:bottom w:val="nil"/>
              <w:right w:val="nil"/>
            </w:tcBorders>
            <w:vAlign w:val="center"/>
          </w:tcPr>
          <w:p w:rsidR="00154A98" w:rsidRDefault="00154A98">
            <w:pPr>
              <w:jc w:val="center"/>
              <w:rPr>
                <w:rFonts w:eastAsia="Arial Unicode MS" w:cs="Arial"/>
                <w:b/>
                <w:bCs/>
                <w:sz w:val="20"/>
                <w:szCs w:val="20"/>
              </w:rPr>
            </w:pPr>
            <w:r>
              <w:rPr>
                <w:rFonts w:eastAsia="Arial Unicode MS" w:cs="Arial"/>
                <w:b/>
                <w:bCs/>
                <w:sz w:val="20"/>
                <w:szCs w:val="20"/>
              </w:rPr>
              <w:t>1.377.705.481</w:t>
            </w:r>
          </w:p>
        </w:tc>
      </w:tr>
    </w:tbl>
    <w:p w:rsidR="00154A98" w:rsidRDefault="00154A98">
      <w:pPr>
        <w:spacing w:line="360" w:lineRule="auto"/>
        <w:jc w:val="both"/>
      </w:pPr>
    </w:p>
    <w:p w:rsidR="00154A98" w:rsidRDefault="00154A98">
      <w:pPr>
        <w:spacing w:line="360" w:lineRule="auto"/>
        <w:jc w:val="both"/>
      </w:pPr>
    </w:p>
    <w:p w:rsidR="00154A98" w:rsidRDefault="00154A98" w:rsidP="00C54438">
      <w:pPr>
        <w:spacing w:line="360" w:lineRule="auto"/>
        <w:jc w:val="both"/>
        <w:rPr>
          <w:b/>
        </w:rPr>
      </w:pPr>
      <w:r>
        <w:rPr>
          <w:b/>
        </w:rPr>
        <w:t>3) Análisis de las asignaciones presupuestales proyectadas</w:t>
      </w:r>
    </w:p>
    <w:p w:rsidR="00154A98" w:rsidRDefault="00154A98" w:rsidP="00C54438">
      <w:pPr>
        <w:spacing w:line="360" w:lineRule="auto"/>
        <w:jc w:val="both"/>
        <w:rPr>
          <w:b/>
        </w:rPr>
      </w:pPr>
      <w:r w:rsidRPr="00482518">
        <w:rPr>
          <w:b/>
        </w:rPr>
        <w:t>3.1)</w:t>
      </w:r>
      <w:r>
        <w:t xml:space="preserve"> Las asignaciones proyectadas se exponen  a nivel de objeto. Su resumen, expresado en pesos uruguayos, se ajusta al siguiente detalle:</w:t>
      </w:r>
    </w:p>
    <w:p w:rsidR="00154A98" w:rsidRDefault="00154A98" w:rsidP="00C54438">
      <w:pPr>
        <w:spacing w:line="360" w:lineRule="auto"/>
        <w:jc w:val="both"/>
        <w:rPr>
          <w:b/>
        </w:rPr>
      </w:pPr>
    </w:p>
    <w:tbl>
      <w:tblPr>
        <w:tblW w:w="8600" w:type="dxa"/>
        <w:jc w:val="center"/>
        <w:tblCellMar>
          <w:left w:w="0" w:type="dxa"/>
          <w:right w:w="0" w:type="dxa"/>
        </w:tblCellMar>
        <w:tblLook w:val="0000" w:firstRow="0" w:lastRow="0" w:firstColumn="0" w:lastColumn="0" w:noHBand="0" w:noVBand="0"/>
      </w:tblPr>
      <w:tblGrid>
        <w:gridCol w:w="3508"/>
        <w:gridCol w:w="1321"/>
        <w:gridCol w:w="1321"/>
        <w:gridCol w:w="1321"/>
        <w:gridCol w:w="1321"/>
        <w:gridCol w:w="1321"/>
      </w:tblGrid>
      <w:tr w:rsidR="00154A98">
        <w:trPr>
          <w:trHeight w:val="300"/>
          <w:jc w:val="center"/>
        </w:trPr>
        <w:tc>
          <w:tcPr>
            <w:tcW w:w="2640" w:type="dxa"/>
            <w:tcBorders>
              <w:top w:val="nil"/>
              <w:left w:val="nil"/>
              <w:bottom w:val="nil"/>
              <w:right w:val="nil"/>
            </w:tcBorders>
            <w:noWrap/>
            <w:tcMar>
              <w:top w:w="15" w:type="dxa"/>
              <w:left w:w="15" w:type="dxa"/>
              <w:bottom w:w="0" w:type="dxa"/>
              <w:right w:w="15" w:type="dxa"/>
            </w:tcMar>
            <w:vAlign w:val="bottom"/>
          </w:tcPr>
          <w:p w:rsidR="00154A98" w:rsidRDefault="00154A98">
            <w:pPr>
              <w:rPr>
                <w:rFonts w:eastAsia="Arial Unicode MS" w:cs="Arial"/>
              </w:rPr>
            </w:pPr>
          </w:p>
        </w:tc>
        <w:tc>
          <w:tcPr>
            <w:tcW w:w="1160" w:type="dxa"/>
            <w:tcBorders>
              <w:top w:val="nil"/>
              <w:left w:val="nil"/>
              <w:bottom w:val="nil"/>
              <w:right w:val="nil"/>
            </w:tcBorders>
            <w:noWrap/>
            <w:tcMar>
              <w:top w:w="15" w:type="dxa"/>
              <w:left w:w="15" w:type="dxa"/>
              <w:bottom w:w="0" w:type="dxa"/>
              <w:right w:w="15" w:type="dxa"/>
            </w:tcMar>
            <w:vAlign w:val="bottom"/>
          </w:tcPr>
          <w:p w:rsidR="00154A98" w:rsidRDefault="00154A98">
            <w:pPr>
              <w:jc w:val="center"/>
              <w:rPr>
                <w:rFonts w:eastAsia="Arial Unicode MS" w:cs="Arial"/>
                <w:b/>
                <w:bCs/>
                <w:sz w:val="20"/>
                <w:szCs w:val="20"/>
              </w:rPr>
            </w:pPr>
            <w:r>
              <w:rPr>
                <w:rFonts w:cs="Arial"/>
                <w:b/>
                <w:bCs/>
                <w:sz w:val="20"/>
                <w:szCs w:val="20"/>
              </w:rPr>
              <w:t>Proyectado</w:t>
            </w:r>
          </w:p>
        </w:tc>
        <w:tc>
          <w:tcPr>
            <w:tcW w:w="1180" w:type="dxa"/>
            <w:tcBorders>
              <w:top w:val="nil"/>
              <w:left w:val="nil"/>
              <w:bottom w:val="nil"/>
              <w:right w:val="nil"/>
            </w:tcBorders>
            <w:noWrap/>
            <w:tcMar>
              <w:top w:w="15" w:type="dxa"/>
              <w:left w:w="15" w:type="dxa"/>
              <w:bottom w:w="0" w:type="dxa"/>
              <w:right w:w="15" w:type="dxa"/>
            </w:tcMar>
            <w:vAlign w:val="bottom"/>
          </w:tcPr>
          <w:p w:rsidR="00154A98" w:rsidRDefault="00154A98">
            <w:pPr>
              <w:jc w:val="center"/>
              <w:rPr>
                <w:rFonts w:eastAsia="Arial Unicode MS" w:cs="Arial"/>
                <w:b/>
                <w:bCs/>
                <w:sz w:val="20"/>
                <w:szCs w:val="20"/>
              </w:rPr>
            </w:pPr>
            <w:r>
              <w:rPr>
                <w:rFonts w:cs="Arial"/>
                <w:b/>
                <w:bCs/>
                <w:sz w:val="20"/>
                <w:szCs w:val="20"/>
              </w:rPr>
              <w:t>Proyectado</w:t>
            </w:r>
          </w:p>
        </w:tc>
        <w:tc>
          <w:tcPr>
            <w:tcW w:w="1200" w:type="dxa"/>
            <w:tcBorders>
              <w:top w:val="nil"/>
              <w:left w:val="nil"/>
              <w:bottom w:val="nil"/>
              <w:right w:val="nil"/>
            </w:tcBorders>
            <w:noWrap/>
            <w:tcMar>
              <w:top w:w="15" w:type="dxa"/>
              <w:left w:w="15" w:type="dxa"/>
              <w:bottom w:w="0" w:type="dxa"/>
              <w:right w:w="15" w:type="dxa"/>
            </w:tcMar>
            <w:vAlign w:val="bottom"/>
          </w:tcPr>
          <w:p w:rsidR="00154A98" w:rsidRDefault="00154A98">
            <w:pPr>
              <w:jc w:val="center"/>
              <w:rPr>
                <w:rFonts w:eastAsia="Arial Unicode MS" w:cs="Arial"/>
                <w:b/>
                <w:bCs/>
                <w:sz w:val="20"/>
                <w:szCs w:val="20"/>
              </w:rPr>
            </w:pPr>
            <w:r>
              <w:rPr>
                <w:rFonts w:cs="Arial"/>
                <w:b/>
                <w:bCs/>
                <w:sz w:val="20"/>
                <w:szCs w:val="20"/>
              </w:rPr>
              <w:t>Proyectado</w:t>
            </w:r>
          </w:p>
        </w:tc>
        <w:tc>
          <w:tcPr>
            <w:tcW w:w="1200" w:type="dxa"/>
            <w:tcBorders>
              <w:top w:val="nil"/>
              <w:left w:val="nil"/>
              <w:bottom w:val="nil"/>
              <w:right w:val="nil"/>
            </w:tcBorders>
            <w:noWrap/>
            <w:tcMar>
              <w:top w:w="15" w:type="dxa"/>
              <w:left w:w="15" w:type="dxa"/>
              <w:bottom w:w="0" w:type="dxa"/>
              <w:right w:w="15" w:type="dxa"/>
            </w:tcMar>
            <w:vAlign w:val="bottom"/>
          </w:tcPr>
          <w:p w:rsidR="00154A98" w:rsidRDefault="00154A98">
            <w:pPr>
              <w:jc w:val="center"/>
              <w:rPr>
                <w:rFonts w:eastAsia="Arial Unicode MS" w:cs="Arial"/>
                <w:b/>
                <w:bCs/>
                <w:sz w:val="20"/>
                <w:szCs w:val="20"/>
              </w:rPr>
            </w:pPr>
            <w:r>
              <w:rPr>
                <w:rFonts w:cs="Arial"/>
                <w:b/>
                <w:bCs/>
                <w:sz w:val="20"/>
                <w:szCs w:val="20"/>
              </w:rPr>
              <w:t>Proyectado</w:t>
            </w:r>
          </w:p>
        </w:tc>
        <w:tc>
          <w:tcPr>
            <w:tcW w:w="1220" w:type="dxa"/>
            <w:tcBorders>
              <w:top w:val="nil"/>
              <w:left w:val="nil"/>
              <w:bottom w:val="nil"/>
              <w:right w:val="nil"/>
            </w:tcBorders>
            <w:noWrap/>
            <w:tcMar>
              <w:top w:w="15" w:type="dxa"/>
              <w:left w:w="15" w:type="dxa"/>
              <w:bottom w:w="0" w:type="dxa"/>
              <w:right w:w="15" w:type="dxa"/>
            </w:tcMar>
            <w:vAlign w:val="bottom"/>
          </w:tcPr>
          <w:p w:rsidR="00154A98" w:rsidRDefault="00154A98">
            <w:pPr>
              <w:jc w:val="center"/>
              <w:rPr>
                <w:rFonts w:eastAsia="Arial Unicode MS" w:cs="Arial"/>
                <w:b/>
                <w:bCs/>
                <w:sz w:val="20"/>
                <w:szCs w:val="20"/>
              </w:rPr>
            </w:pPr>
            <w:r>
              <w:rPr>
                <w:rFonts w:cs="Arial"/>
                <w:b/>
                <w:bCs/>
                <w:sz w:val="20"/>
                <w:szCs w:val="20"/>
              </w:rPr>
              <w:t>Proyectado</w:t>
            </w:r>
          </w:p>
        </w:tc>
      </w:tr>
      <w:tr w:rsidR="00154A98">
        <w:trPr>
          <w:trHeight w:val="255"/>
          <w:jc w:val="center"/>
        </w:trPr>
        <w:tc>
          <w:tcPr>
            <w:tcW w:w="0" w:type="auto"/>
            <w:tcBorders>
              <w:top w:val="nil"/>
              <w:left w:val="nil"/>
              <w:bottom w:val="nil"/>
              <w:right w:val="nil"/>
            </w:tcBorders>
            <w:noWrap/>
            <w:tcMar>
              <w:top w:w="15" w:type="dxa"/>
              <w:left w:w="15" w:type="dxa"/>
              <w:bottom w:w="0" w:type="dxa"/>
              <w:right w:w="15" w:type="dxa"/>
            </w:tcMar>
            <w:vAlign w:val="bottom"/>
          </w:tcPr>
          <w:p w:rsidR="00154A98" w:rsidRDefault="00154A98">
            <w:pPr>
              <w:jc w:val="center"/>
              <w:rPr>
                <w:rFonts w:eastAsia="Arial Unicode MS" w:cs="Arial"/>
                <w:b/>
                <w:bCs/>
                <w:sz w:val="20"/>
                <w:szCs w:val="20"/>
              </w:rPr>
            </w:pPr>
            <w:r>
              <w:rPr>
                <w:rFonts w:cs="Arial"/>
                <w:b/>
                <w:bCs/>
                <w:sz w:val="20"/>
                <w:szCs w:val="20"/>
              </w:rPr>
              <w:t>Grupo</w:t>
            </w:r>
          </w:p>
        </w:tc>
        <w:tc>
          <w:tcPr>
            <w:tcW w:w="0" w:type="auto"/>
            <w:tcBorders>
              <w:top w:val="nil"/>
              <w:left w:val="nil"/>
              <w:bottom w:val="nil"/>
              <w:right w:val="nil"/>
            </w:tcBorders>
            <w:noWrap/>
            <w:tcMar>
              <w:top w:w="15" w:type="dxa"/>
              <w:left w:w="15" w:type="dxa"/>
              <w:bottom w:w="0" w:type="dxa"/>
              <w:right w:w="15" w:type="dxa"/>
            </w:tcMar>
            <w:vAlign w:val="bottom"/>
          </w:tcPr>
          <w:p w:rsidR="00154A98" w:rsidRDefault="00154A98" w:rsidP="00C54438">
            <w:pPr>
              <w:jc w:val="center"/>
              <w:rPr>
                <w:rFonts w:eastAsia="Arial Unicode MS" w:cs="Arial"/>
                <w:b/>
                <w:bCs/>
                <w:sz w:val="20"/>
                <w:szCs w:val="20"/>
              </w:rPr>
            </w:pPr>
            <w:r>
              <w:rPr>
                <w:rFonts w:cs="Arial"/>
                <w:b/>
                <w:bCs/>
                <w:sz w:val="20"/>
                <w:szCs w:val="20"/>
              </w:rPr>
              <w:t>2016</w:t>
            </w:r>
          </w:p>
        </w:tc>
        <w:tc>
          <w:tcPr>
            <w:tcW w:w="0" w:type="auto"/>
            <w:tcBorders>
              <w:top w:val="nil"/>
              <w:left w:val="nil"/>
              <w:bottom w:val="nil"/>
              <w:right w:val="nil"/>
            </w:tcBorders>
            <w:noWrap/>
            <w:tcMar>
              <w:top w:w="15" w:type="dxa"/>
              <w:left w:w="15" w:type="dxa"/>
              <w:bottom w:w="0" w:type="dxa"/>
              <w:right w:w="15" w:type="dxa"/>
            </w:tcMar>
            <w:vAlign w:val="bottom"/>
          </w:tcPr>
          <w:p w:rsidR="00154A98" w:rsidRDefault="00154A98" w:rsidP="00C54438">
            <w:pPr>
              <w:jc w:val="center"/>
              <w:rPr>
                <w:rFonts w:eastAsia="Arial Unicode MS" w:cs="Arial"/>
                <w:b/>
                <w:bCs/>
                <w:sz w:val="20"/>
                <w:szCs w:val="20"/>
              </w:rPr>
            </w:pPr>
            <w:r>
              <w:rPr>
                <w:rFonts w:cs="Arial"/>
                <w:b/>
                <w:bCs/>
                <w:sz w:val="20"/>
                <w:szCs w:val="20"/>
              </w:rPr>
              <w:t>2017</w:t>
            </w:r>
          </w:p>
        </w:tc>
        <w:tc>
          <w:tcPr>
            <w:tcW w:w="0" w:type="auto"/>
            <w:tcBorders>
              <w:top w:val="nil"/>
              <w:left w:val="nil"/>
              <w:bottom w:val="nil"/>
              <w:right w:val="nil"/>
            </w:tcBorders>
            <w:noWrap/>
            <w:tcMar>
              <w:top w:w="15" w:type="dxa"/>
              <w:left w:w="15" w:type="dxa"/>
              <w:bottom w:w="0" w:type="dxa"/>
              <w:right w:w="15" w:type="dxa"/>
            </w:tcMar>
            <w:vAlign w:val="bottom"/>
          </w:tcPr>
          <w:p w:rsidR="00154A98" w:rsidRDefault="00154A98" w:rsidP="00C54438">
            <w:pPr>
              <w:jc w:val="center"/>
              <w:rPr>
                <w:rFonts w:eastAsia="Arial Unicode MS" w:cs="Arial"/>
                <w:b/>
                <w:bCs/>
                <w:sz w:val="20"/>
                <w:szCs w:val="20"/>
              </w:rPr>
            </w:pPr>
            <w:r>
              <w:rPr>
                <w:rFonts w:cs="Arial"/>
                <w:b/>
                <w:bCs/>
                <w:sz w:val="20"/>
                <w:szCs w:val="20"/>
              </w:rPr>
              <w:t>2018</w:t>
            </w:r>
          </w:p>
        </w:tc>
        <w:tc>
          <w:tcPr>
            <w:tcW w:w="0" w:type="auto"/>
            <w:tcBorders>
              <w:top w:val="nil"/>
              <w:left w:val="nil"/>
              <w:bottom w:val="nil"/>
              <w:right w:val="nil"/>
            </w:tcBorders>
            <w:noWrap/>
            <w:tcMar>
              <w:top w:w="15" w:type="dxa"/>
              <w:left w:w="15" w:type="dxa"/>
              <w:bottom w:w="0" w:type="dxa"/>
              <w:right w:w="15" w:type="dxa"/>
            </w:tcMar>
            <w:vAlign w:val="bottom"/>
          </w:tcPr>
          <w:p w:rsidR="00154A98" w:rsidRDefault="00154A98" w:rsidP="00C54438">
            <w:pPr>
              <w:jc w:val="center"/>
              <w:rPr>
                <w:rFonts w:eastAsia="Arial Unicode MS" w:cs="Arial"/>
                <w:b/>
                <w:bCs/>
                <w:sz w:val="20"/>
                <w:szCs w:val="20"/>
              </w:rPr>
            </w:pPr>
            <w:r>
              <w:rPr>
                <w:rFonts w:cs="Arial"/>
                <w:b/>
                <w:bCs/>
                <w:sz w:val="20"/>
                <w:szCs w:val="20"/>
              </w:rPr>
              <w:t>2019</w:t>
            </w:r>
          </w:p>
        </w:tc>
        <w:tc>
          <w:tcPr>
            <w:tcW w:w="0" w:type="auto"/>
            <w:tcBorders>
              <w:top w:val="nil"/>
              <w:left w:val="nil"/>
              <w:bottom w:val="nil"/>
              <w:right w:val="nil"/>
            </w:tcBorders>
            <w:noWrap/>
            <w:tcMar>
              <w:top w:w="15" w:type="dxa"/>
              <w:left w:w="15" w:type="dxa"/>
              <w:bottom w:w="0" w:type="dxa"/>
              <w:right w:w="15" w:type="dxa"/>
            </w:tcMar>
            <w:vAlign w:val="bottom"/>
          </w:tcPr>
          <w:p w:rsidR="00154A98" w:rsidRDefault="00154A98" w:rsidP="00C54438">
            <w:pPr>
              <w:jc w:val="center"/>
              <w:rPr>
                <w:rFonts w:eastAsia="Arial Unicode MS" w:cs="Arial"/>
                <w:b/>
                <w:bCs/>
                <w:sz w:val="20"/>
                <w:szCs w:val="20"/>
              </w:rPr>
            </w:pPr>
            <w:r>
              <w:rPr>
                <w:rFonts w:cs="Arial"/>
                <w:b/>
                <w:bCs/>
                <w:sz w:val="20"/>
                <w:szCs w:val="20"/>
              </w:rPr>
              <w:t>2020</w:t>
            </w:r>
          </w:p>
        </w:tc>
      </w:tr>
      <w:tr w:rsidR="00154A98">
        <w:trPr>
          <w:trHeight w:val="255"/>
          <w:jc w:val="center"/>
        </w:trPr>
        <w:tc>
          <w:tcPr>
            <w:tcW w:w="0" w:type="auto"/>
            <w:tcBorders>
              <w:top w:val="nil"/>
              <w:left w:val="nil"/>
              <w:bottom w:val="nil"/>
              <w:right w:val="nil"/>
            </w:tcBorders>
            <w:noWrap/>
            <w:tcMar>
              <w:top w:w="15" w:type="dxa"/>
              <w:left w:w="15" w:type="dxa"/>
              <w:bottom w:w="0" w:type="dxa"/>
              <w:right w:w="15" w:type="dxa"/>
            </w:tcMar>
            <w:vAlign w:val="bottom"/>
          </w:tcPr>
          <w:p w:rsidR="00154A98" w:rsidRDefault="00154A98">
            <w:pPr>
              <w:rPr>
                <w:rFonts w:eastAsia="Arial Unicode MS" w:cs="Arial"/>
                <w:sz w:val="20"/>
                <w:szCs w:val="20"/>
              </w:rPr>
            </w:pPr>
            <w:r>
              <w:rPr>
                <w:rFonts w:cs="Arial"/>
                <w:sz w:val="20"/>
                <w:szCs w:val="20"/>
              </w:rPr>
              <w:t>0 - "Servicios Personales"</w:t>
            </w:r>
          </w:p>
        </w:tc>
        <w:tc>
          <w:tcPr>
            <w:tcW w:w="0" w:type="auto"/>
            <w:tcBorders>
              <w:top w:val="nil"/>
              <w:left w:val="nil"/>
              <w:bottom w:val="nil"/>
              <w:right w:val="nil"/>
            </w:tcBorders>
            <w:noWrap/>
            <w:tcMar>
              <w:top w:w="15" w:type="dxa"/>
              <w:left w:w="15" w:type="dxa"/>
              <w:bottom w:w="0" w:type="dxa"/>
              <w:right w:w="15" w:type="dxa"/>
            </w:tcMar>
            <w:vAlign w:val="bottom"/>
          </w:tcPr>
          <w:p w:rsidR="00154A98" w:rsidRDefault="00154A98" w:rsidP="00C54438">
            <w:pPr>
              <w:jc w:val="right"/>
              <w:rPr>
                <w:rFonts w:eastAsia="Arial Unicode MS" w:cs="Arial"/>
                <w:sz w:val="20"/>
                <w:szCs w:val="20"/>
              </w:rPr>
            </w:pPr>
            <w:r>
              <w:rPr>
                <w:rFonts w:eastAsia="Arial Unicode MS" w:cs="Arial"/>
                <w:sz w:val="20"/>
                <w:szCs w:val="20"/>
              </w:rPr>
              <w:t>576:713.709</w:t>
            </w:r>
          </w:p>
        </w:tc>
        <w:tc>
          <w:tcPr>
            <w:tcW w:w="0" w:type="auto"/>
            <w:tcBorders>
              <w:top w:val="nil"/>
              <w:left w:val="nil"/>
              <w:bottom w:val="nil"/>
              <w:right w:val="nil"/>
            </w:tcBorders>
            <w:noWrap/>
            <w:tcMar>
              <w:top w:w="15" w:type="dxa"/>
              <w:left w:w="15" w:type="dxa"/>
              <w:bottom w:w="0" w:type="dxa"/>
              <w:right w:w="15" w:type="dxa"/>
            </w:tcMar>
            <w:vAlign w:val="bottom"/>
          </w:tcPr>
          <w:p w:rsidR="00154A98" w:rsidRDefault="00154A98" w:rsidP="00C54438">
            <w:pPr>
              <w:jc w:val="right"/>
              <w:rPr>
                <w:rFonts w:eastAsia="Arial Unicode MS" w:cs="Arial"/>
                <w:sz w:val="20"/>
                <w:szCs w:val="20"/>
              </w:rPr>
            </w:pPr>
            <w:r>
              <w:rPr>
                <w:rFonts w:eastAsia="Arial Unicode MS" w:cs="Arial"/>
                <w:sz w:val="20"/>
                <w:szCs w:val="20"/>
              </w:rPr>
              <w:t>585:956.287</w:t>
            </w:r>
          </w:p>
        </w:tc>
        <w:tc>
          <w:tcPr>
            <w:tcW w:w="0" w:type="auto"/>
            <w:tcBorders>
              <w:top w:val="nil"/>
              <w:left w:val="nil"/>
              <w:bottom w:val="nil"/>
              <w:right w:val="nil"/>
            </w:tcBorders>
            <w:noWrap/>
            <w:tcMar>
              <w:top w:w="15" w:type="dxa"/>
              <w:left w:w="15" w:type="dxa"/>
              <w:bottom w:w="0" w:type="dxa"/>
              <w:right w:w="15" w:type="dxa"/>
            </w:tcMar>
            <w:vAlign w:val="bottom"/>
          </w:tcPr>
          <w:p w:rsidR="00154A98" w:rsidRDefault="00154A98" w:rsidP="00C54438">
            <w:pPr>
              <w:jc w:val="right"/>
              <w:rPr>
                <w:rFonts w:eastAsia="Arial Unicode MS" w:cs="Arial"/>
                <w:sz w:val="20"/>
                <w:szCs w:val="20"/>
              </w:rPr>
            </w:pPr>
            <w:r>
              <w:rPr>
                <w:rFonts w:eastAsia="Arial Unicode MS" w:cs="Arial"/>
                <w:sz w:val="20"/>
                <w:szCs w:val="20"/>
              </w:rPr>
              <w:t>597:148.364</w:t>
            </w:r>
          </w:p>
        </w:tc>
        <w:tc>
          <w:tcPr>
            <w:tcW w:w="0" w:type="auto"/>
            <w:tcBorders>
              <w:top w:val="nil"/>
              <w:left w:val="nil"/>
              <w:bottom w:val="nil"/>
              <w:right w:val="nil"/>
            </w:tcBorders>
            <w:noWrap/>
            <w:tcMar>
              <w:top w:w="15" w:type="dxa"/>
              <w:left w:w="15" w:type="dxa"/>
              <w:bottom w:w="0" w:type="dxa"/>
              <w:right w:w="15" w:type="dxa"/>
            </w:tcMar>
            <w:vAlign w:val="bottom"/>
          </w:tcPr>
          <w:p w:rsidR="00154A98" w:rsidRDefault="00154A98" w:rsidP="00C54438">
            <w:pPr>
              <w:jc w:val="right"/>
              <w:rPr>
                <w:rFonts w:eastAsia="Arial Unicode MS" w:cs="Arial"/>
                <w:sz w:val="20"/>
                <w:szCs w:val="20"/>
              </w:rPr>
            </w:pPr>
            <w:r>
              <w:rPr>
                <w:rFonts w:eastAsia="Arial Unicode MS" w:cs="Arial"/>
                <w:sz w:val="20"/>
                <w:szCs w:val="20"/>
              </w:rPr>
              <w:t>608.568.994</w:t>
            </w:r>
          </w:p>
        </w:tc>
        <w:tc>
          <w:tcPr>
            <w:tcW w:w="0" w:type="auto"/>
            <w:tcBorders>
              <w:top w:val="nil"/>
              <w:left w:val="nil"/>
              <w:bottom w:val="nil"/>
              <w:right w:val="nil"/>
            </w:tcBorders>
            <w:noWrap/>
            <w:tcMar>
              <w:top w:w="15" w:type="dxa"/>
              <w:left w:w="15" w:type="dxa"/>
              <w:bottom w:w="0" w:type="dxa"/>
              <w:right w:w="15" w:type="dxa"/>
            </w:tcMar>
            <w:vAlign w:val="bottom"/>
          </w:tcPr>
          <w:p w:rsidR="00154A98" w:rsidRDefault="00154A98" w:rsidP="00C54438">
            <w:pPr>
              <w:jc w:val="right"/>
              <w:rPr>
                <w:rFonts w:eastAsia="Arial Unicode MS" w:cs="Arial"/>
                <w:sz w:val="20"/>
                <w:szCs w:val="20"/>
              </w:rPr>
            </w:pPr>
            <w:r>
              <w:rPr>
                <w:rFonts w:eastAsia="Arial Unicode MS" w:cs="Arial"/>
                <w:sz w:val="20"/>
                <w:szCs w:val="20"/>
              </w:rPr>
              <w:t>619:790.183</w:t>
            </w:r>
          </w:p>
        </w:tc>
      </w:tr>
      <w:tr w:rsidR="00154A98">
        <w:trPr>
          <w:trHeight w:val="255"/>
          <w:jc w:val="center"/>
        </w:trPr>
        <w:tc>
          <w:tcPr>
            <w:tcW w:w="0" w:type="auto"/>
            <w:tcBorders>
              <w:top w:val="nil"/>
              <w:left w:val="nil"/>
              <w:bottom w:val="nil"/>
              <w:right w:val="nil"/>
            </w:tcBorders>
            <w:noWrap/>
            <w:tcMar>
              <w:top w:w="15" w:type="dxa"/>
              <w:left w:w="15" w:type="dxa"/>
              <w:bottom w:w="0" w:type="dxa"/>
              <w:right w:w="15" w:type="dxa"/>
            </w:tcMar>
            <w:vAlign w:val="bottom"/>
          </w:tcPr>
          <w:p w:rsidR="00154A98" w:rsidRDefault="00154A98">
            <w:pPr>
              <w:rPr>
                <w:rFonts w:eastAsia="Arial Unicode MS" w:cs="Arial"/>
                <w:sz w:val="20"/>
                <w:szCs w:val="20"/>
              </w:rPr>
            </w:pPr>
            <w:r>
              <w:rPr>
                <w:rFonts w:cs="Arial"/>
                <w:sz w:val="20"/>
                <w:szCs w:val="20"/>
              </w:rPr>
              <w:t>1 - "Bienes de Consumo"</w:t>
            </w:r>
          </w:p>
        </w:tc>
        <w:tc>
          <w:tcPr>
            <w:tcW w:w="0" w:type="auto"/>
            <w:tcBorders>
              <w:top w:val="nil"/>
              <w:left w:val="nil"/>
              <w:bottom w:val="nil"/>
              <w:right w:val="nil"/>
            </w:tcBorders>
            <w:noWrap/>
            <w:tcMar>
              <w:top w:w="15" w:type="dxa"/>
              <w:left w:w="15" w:type="dxa"/>
              <w:bottom w:w="0" w:type="dxa"/>
              <w:right w:w="15" w:type="dxa"/>
            </w:tcMar>
            <w:vAlign w:val="bottom"/>
          </w:tcPr>
          <w:p w:rsidR="00154A98" w:rsidRDefault="00154A98" w:rsidP="00C54438">
            <w:pPr>
              <w:jc w:val="right"/>
              <w:rPr>
                <w:rFonts w:eastAsia="Arial Unicode MS" w:cs="Arial"/>
                <w:sz w:val="20"/>
                <w:szCs w:val="20"/>
              </w:rPr>
            </w:pPr>
            <w:r>
              <w:rPr>
                <w:rFonts w:eastAsia="Arial Unicode MS" w:cs="Arial"/>
                <w:sz w:val="20"/>
                <w:szCs w:val="20"/>
              </w:rPr>
              <w:t>146:676.910</w:t>
            </w:r>
          </w:p>
        </w:tc>
        <w:tc>
          <w:tcPr>
            <w:tcW w:w="0" w:type="auto"/>
            <w:tcBorders>
              <w:top w:val="nil"/>
              <w:left w:val="nil"/>
              <w:bottom w:val="nil"/>
              <w:right w:val="nil"/>
            </w:tcBorders>
            <w:noWrap/>
            <w:tcMar>
              <w:top w:w="15" w:type="dxa"/>
              <w:left w:w="15" w:type="dxa"/>
              <w:bottom w:w="0" w:type="dxa"/>
              <w:right w:w="15" w:type="dxa"/>
            </w:tcMar>
            <w:vAlign w:val="bottom"/>
          </w:tcPr>
          <w:p w:rsidR="00154A98" w:rsidRDefault="00154A98" w:rsidP="00C54438">
            <w:pPr>
              <w:jc w:val="right"/>
              <w:rPr>
                <w:rFonts w:eastAsia="Arial Unicode MS" w:cs="Arial"/>
                <w:sz w:val="20"/>
                <w:szCs w:val="20"/>
              </w:rPr>
            </w:pPr>
            <w:r>
              <w:rPr>
                <w:rFonts w:eastAsia="Arial Unicode MS" w:cs="Arial"/>
                <w:sz w:val="20"/>
                <w:szCs w:val="20"/>
              </w:rPr>
              <w:t>136:596.761</w:t>
            </w:r>
          </w:p>
        </w:tc>
        <w:tc>
          <w:tcPr>
            <w:tcW w:w="0" w:type="auto"/>
            <w:tcBorders>
              <w:top w:val="nil"/>
              <w:left w:val="nil"/>
              <w:bottom w:val="nil"/>
              <w:right w:val="nil"/>
            </w:tcBorders>
            <w:noWrap/>
            <w:tcMar>
              <w:top w:w="15" w:type="dxa"/>
              <w:left w:w="15" w:type="dxa"/>
              <w:bottom w:w="0" w:type="dxa"/>
              <w:right w:w="15" w:type="dxa"/>
            </w:tcMar>
            <w:vAlign w:val="bottom"/>
          </w:tcPr>
          <w:p w:rsidR="00154A98" w:rsidRDefault="00154A98" w:rsidP="00C54438">
            <w:pPr>
              <w:jc w:val="right"/>
              <w:rPr>
                <w:rFonts w:eastAsia="Arial Unicode MS" w:cs="Arial"/>
                <w:sz w:val="20"/>
                <w:szCs w:val="20"/>
              </w:rPr>
            </w:pPr>
            <w:r>
              <w:rPr>
                <w:rFonts w:eastAsia="Arial Unicode MS" w:cs="Arial"/>
                <w:sz w:val="20"/>
                <w:szCs w:val="20"/>
              </w:rPr>
              <w:t>137:663.291</w:t>
            </w:r>
          </w:p>
        </w:tc>
        <w:tc>
          <w:tcPr>
            <w:tcW w:w="0" w:type="auto"/>
            <w:tcBorders>
              <w:top w:val="nil"/>
              <w:left w:val="nil"/>
              <w:bottom w:val="nil"/>
              <w:right w:val="nil"/>
            </w:tcBorders>
            <w:noWrap/>
            <w:tcMar>
              <w:top w:w="15" w:type="dxa"/>
              <w:left w:w="15" w:type="dxa"/>
              <w:bottom w:w="0" w:type="dxa"/>
              <w:right w:w="15" w:type="dxa"/>
            </w:tcMar>
            <w:vAlign w:val="bottom"/>
          </w:tcPr>
          <w:p w:rsidR="00154A98" w:rsidRDefault="00154A98" w:rsidP="00C54438">
            <w:pPr>
              <w:jc w:val="right"/>
              <w:rPr>
                <w:rFonts w:eastAsia="Arial Unicode MS" w:cs="Arial"/>
                <w:sz w:val="20"/>
                <w:szCs w:val="20"/>
              </w:rPr>
            </w:pPr>
            <w:r>
              <w:rPr>
                <w:rFonts w:eastAsia="Arial Unicode MS" w:cs="Arial"/>
                <w:sz w:val="20"/>
                <w:szCs w:val="20"/>
              </w:rPr>
              <w:t>137:627.493</w:t>
            </w:r>
          </w:p>
        </w:tc>
        <w:tc>
          <w:tcPr>
            <w:tcW w:w="0" w:type="auto"/>
            <w:tcBorders>
              <w:top w:val="nil"/>
              <w:left w:val="nil"/>
              <w:bottom w:val="nil"/>
              <w:right w:val="nil"/>
            </w:tcBorders>
            <w:noWrap/>
            <w:tcMar>
              <w:top w:w="15" w:type="dxa"/>
              <w:left w:w="15" w:type="dxa"/>
              <w:bottom w:w="0" w:type="dxa"/>
              <w:right w:w="15" w:type="dxa"/>
            </w:tcMar>
            <w:vAlign w:val="bottom"/>
          </w:tcPr>
          <w:p w:rsidR="00154A98" w:rsidRDefault="00154A98" w:rsidP="00C54438">
            <w:pPr>
              <w:jc w:val="right"/>
              <w:rPr>
                <w:rFonts w:eastAsia="Arial Unicode MS" w:cs="Arial"/>
                <w:sz w:val="20"/>
                <w:szCs w:val="20"/>
              </w:rPr>
            </w:pPr>
            <w:r>
              <w:rPr>
                <w:rFonts w:eastAsia="Arial Unicode MS" w:cs="Arial"/>
                <w:sz w:val="20"/>
                <w:szCs w:val="20"/>
              </w:rPr>
              <w:t>136:886.657</w:t>
            </w:r>
          </w:p>
        </w:tc>
      </w:tr>
      <w:tr w:rsidR="00154A98">
        <w:trPr>
          <w:trHeight w:val="255"/>
          <w:jc w:val="center"/>
        </w:trPr>
        <w:tc>
          <w:tcPr>
            <w:tcW w:w="0" w:type="auto"/>
            <w:tcBorders>
              <w:top w:val="nil"/>
              <w:left w:val="nil"/>
              <w:bottom w:val="nil"/>
              <w:right w:val="nil"/>
            </w:tcBorders>
            <w:noWrap/>
            <w:tcMar>
              <w:top w:w="15" w:type="dxa"/>
              <w:left w:w="15" w:type="dxa"/>
              <w:bottom w:w="0" w:type="dxa"/>
              <w:right w:w="15" w:type="dxa"/>
            </w:tcMar>
            <w:vAlign w:val="bottom"/>
          </w:tcPr>
          <w:p w:rsidR="00154A98" w:rsidRDefault="00154A98">
            <w:pPr>
              <w:rPr>
                <w:rFonts w:eastAsia="Arial Unicode MS" w:cs="Arial"/>
                <w:sz w:val="20"/>
                <w:szCs w:val="20"/>
              </w:rPr>
            </w:pPr>
            <w:r>
              <w:rPr>
                <w:rFonts w:cs="Arial"/>
                <w:sz w:val="20"/>
                <w:szCs w:val="20"/>
              </w:rPr>
              <w:t>2 - "Servicios No Personales"</w:t>
            </w:r>
          </w:p>
        </w:tc>
        <w:tc>
          <w:tcPr>
            <w:tcW w:w="0" w:type="auto"/>
            <w:tcBorders>
              <w:top w:val="nil"/>
              <w:left w:val="nil"/>
              <w:bottom w:val="nil"/>
              <w:right w:val="nil"/>
            </w:tcBorders>
            <w:noWrap/>
            <w:tcMar>
              <w:top w:w="15" w:type="dxa"/>
              <w:left w:w="15" w:type="dxa"/>
              <w:bottom w:w="0" w:type="dxa"/>
              <w:right w:w="15" w:type="dxa"/>
            </w:tcMar>
            <w:vAlign w:val="bottom"/>
          </w:tcPr>
          <w:p w:rsidR="00154A98" w:rsidRDefault="00154A98" w:rsidP="00C54438">
            <w:pPr>
              <w:jc w:val="right"/>
              <w:rPr>
                <w:rFonts w:eastAsia="Arial Unicode MS" w:cs="Arial"/>
                <w:sz w:val="20"/>
                <w:szCs w:val="20"/>
              </w:rPr>
            </w:pPr>
            <w:r>
              <w:rPr>
                <w:rFonts w:eastAsia="Arial Unicode MS" w:cs="Arial"/>
                <w:sz w:val="20"/>
                <w:szCs w:val="20"/>
              </w:rPr>
              <w:t>203:038.249</w:t>
            </w:r>
          </w:p>
        </w:tc>
        <w:tc>
          <w:tcPr>
            <w:tcW w:w="0" w:type="auto"/>
            <w:tcBorders>
              <w:top w:val="nil"/>
              <w:left w:val="nil"/>
              <w:bottom w:val="nil"/>
              <w:right w:val="nil"/>
            </w:tcBorders>
            <w:noWrap/>
            <w:tcMar>
              <w:top w:w="15" w:type="dxa"/>
              <w:left w:w="15" w:type="dxa"/>
              <w:bottom w:w="0" w:type="dxa"/>
              <w:right w:w="15" w:type="dxa"/>
            </w:tcMar>
            <w:vAlign w:val="bottom"/>
          </w:tcPr>
          <w:p w:rsidR="00154A98" w:rsidRDefault="00154A98" w:rsidP="00C54438">
            <w:pPr>
              <w:jc w:val="right"/>
              <w:rPr>
                <w:rFonts w:eastAsia="Arial Unicode MS" w:cs="Arial"/>
                <w:sz w:val="20"/>
                <w:szCs w:val="20"/>
              </w:rPr>
            </w:pPr>
            <w:r>
              <w:rPr>
                <w:rFonts w:eastAsia="Arial Unicode MS" w:cs="Arial"/>
                <w:sz w:val="20"/>
                <w:szCs w:val="20"/>
              </w:rPr>
              <w:t>205:835.110</w:t>
            </w:r>
          </w:p>
        </w:tc>
        <w:tc>
          <w:tcPr>
            <w:tcW w:w="0" w:type="auto"/>
            <w:tcBorders>
              <w:top w:val="nil"/>
              <w:left w:val="nil"/>
              <w:bottom w:val="nil"/>
              <w:right w:val="nil"/>
            </w:tcBorders>
            <w:noWrap/>
            <w:tcMar>
              <w:top w:w="15" w:type="dxa"/>
              <w:left w:w="15" w:type="dxa"/>
              <w:bottom w:w="0" w:type="dxa"/>
              <w:right w:w="15" w:type="dxa"/>
            </w:tcMar>
            <w:vAlign w:val="bottom"/>
          </w:tcPr>
          <w:p w:rsidR="00154A98" w:rsidRDefault="00154A98" w:rsidP="00C54438">
            <w:pPr>
              <w:jc w:val="right"/>
              <w:rPr>
                <w:rFonts w:eastAsia="Arial Unicode MS" w:cs="Arial"/>
                <w:sz w:val="20"/>
                <w:szCs w:val="20"/>
              </w:rPr>
            </w:pPr>
            <w:r>
              <w:rPr>
                <w:rFonts w:eastAsia="Arial Unicode MS" w:cs="Arial"/>
                <w:sz w:val="20"/>
                <w:szCs w:val="20"/>
              </w:rPr>
              <w:t>214:547.741</w:t>
            </w:r>
          </w:p>
        </w:tc>
        <w:tc>
          <w:tcPr>
            <w:tcW w:w="0" w:type="auto"/>
            <w:tcBorders>
              <w:top w:val="nil"/>
              <w:left w:val="nil"/>
              <w:bottom w:val="nil"/>
              <w:right w:val="nil"/>
            </w:tcBorders>
            <w:noWrap/>
            <w:tcMar>
              <w:top w:w="15" w:type="dxa"/>
              <w:left w:w="15" w:type="dxa"/>
              <w:bottom w:w="0" w:type="dxa"/>
              <w:right w:w="15" w:type="dxa"/>
            </w:tcMar>
            <w:vAlign w:val="bottom"/>
          </w:tcPr>
          <w:p w:rsidR="00154A98" w:rsidRDefault="00154A98" w:rsidP="00C54438">
            <w:pPr>
              <w:jc w:val="right"/>
              <w:rPr>
                <w:rFonts w:eastAsia="Arial Unicode MS" w:cs="Arial"/>
                <w:sz w:val="20"/>
                <w:szCs w:val="20"/>
              </w:rPr>
            </w:pPr>
            <w:r>
              <w:rPr>
                <w:rFonts w:eastAsia="Arial Unicode MS" w:cs="Arial"/>
                <w:sz w:val="20"/>
                <w:szCs w:val="20"/>
              </w:rPr>
              <w:t>218:620.478</w:t>
            </w:r>
          </w:p>
        </w:tc>
        <w:tc>
          <w:tcPr>
            <w:tcW w:w="0" w:type="auto"/>
            <w:tcBorders>
              <w:top w:val="nil"/>
              <w:left w:val="nil"/>
              <w:bottom w:val="nil"/>
              <w:right w:val="nil"/>
            </w:tcBorders>
            <w:noWrap/>
            <w:tcMar>
              <w:top w:w="15" w:type="dxa"/>
              <w:left w:w="15" w:type="dxa"/>
              <w:bottom w:w="0" w:type="dxa"/>
              <w:right w:w="15" w:type="dxa"/>
            </w:tcMar>
            <w:vAlign w:val="bottom"/>
          </w:tcPr>
          <w:p w:rsidR="00154A98" w:rsidRDefault="00154A98" w:rsidP="00C54438">
            <w:pPr>
              <w:jc w:val="right"/>
              <w:rPr>
                <w:rFonts w:eastAsia="Arial Unicode MS" w:cs="Arial"/>
                <w:sz w:val="20"/>
                <w:szCs w:val="20"/>
              </w:rPr>
            </w:pPr>
            <w:r>
              <w:rPr>
                <w:rFonts w:eastAsia="Arial Unicode MS" w:cs="Arial"/>
                <w:sz w:val="20"/>
                <w:szCs w:val="20"/>
              </w:rPr>
              <w:t>220:394.535</w:t>
            </w:r>
          </w:p>
        </w:tc>
      </w:tr>
      <w:tr w:rsidR="00154A98">
        <w:trPr>
          <w:trHeight w:val="255"/>
          <w:jc w:val="center"/>
        </w:trPr>
        <w:tc>
          <w:tcPr>
            <w:tcW w:w="0" w:type="auto"/>
            <w:tcBorders>
              <w:top w:val="nil"/>
              <w:left w:val="nil"/>
              <w:bottom w:val="nil"/>
              <w:right w:val="nil"/>
            </w:tcBorders>
            <w:noWrap/>
            <w:tcMar>
              <w:top w:w="15" w:type="dxa"/>
              <w:left w:w="15" w:type="dxa"/>
              <w:bottom w:w="0" w:type="dxa"/>
              <w:right w:w="15" w:type="dxa"/>
            </w:tcMar>
            <w:vAlign w:val="bottom"/>
          </w:tcPr>
          <w:p w:rsidR="00154A98" w:rsidRDefault="00154A98">
            <w:pPr>
              <w:rPr>
                <w:rFonts w:eastAsia="Arial Unicode MS" w:cs="Arial"/>
                <w:sz w:val="20"/>
                <w:szCs w:val="20"/>
              </w:rPr>
            </w:pPr>
            <w:r>
              <w:rPr>
                <w:rFonts w:cs="Arial"/>
                <w:sz w:val="20"/>
                <w:szCs w:val="20"/>
              </w:rPr>
              <w:t>3 - "Bienes de Uso"</w:t>
            </w:r>
          </w:p>
        </w:tc>
        <w:tc>
          <w:tcPr>
            <w:tcW w:w="0" w:type="auto"/>
            <w:tcBorders>
              <w:top w:val="nil"/>
              <w:left w:val="nil"/>
              <w:bottom w:val="nil"/>
              <w:right w:val="nil"/>
            </w:tcBorders>
            <w:noWrap/>
            <w:tcMar>
              <w:top w:w="15" w:type="dxa"/>
              <w:left w:w="15" w:type="dxa"/>
              <w:bottom w:w="0" w:type="dxa"/>
              <w:right w:w="15" w:type="dxa"/>
            </w:tcMar>
            <w:vAlign w:val="bottom"/>
          </w:tcPr>
          <w:p w:rsidR="00154A98" w:rsidRDefault="00154A98" w:rsidP="00C54438">
            <w:pPr>
              <w:jc w:val="right"/>
              <w:rPr>
                <w:rFonts w:eastAsia="Arial Unicode MS" w:cs="Arial"/>
                <w:sz w:val="20"/>
                <w:szCs w:val="20"/>
              </w:rPr>
            </w:pPr>
            <w:r>
              <w:rPr>
                <w:rFonts w:eastAsia="Arial Unicode MS" w:cs="Arial"/>
                <w:sz w:val="20"/>
                <w:szCs w:val="20"/>
              </w:rPr>
              <w:t>306:930.366</w:t>
            </w:r>
          </w:p>
        </w:tc>
        <w:tc>
          <w:tcPr>
            <w:tcW w:w="0" w:type="auto"/>
            <w:tcBorders>
              <w:top w:val="nil"/>
              <w:left w:val="nil"/>
              <w:bottom w:val="nil"/>
              <w:right w:val="nil"/>
            </w:tcBorders>
            <w:noWrap/>
            <w:tcMar>
              <w:top w:w="15" w:type="dxa"/>
              <w:left w:w="15" w:type="dxa"/>
              <w:bottom w:w="0" w:type="dxa"/>
              <w:right w:w="15" w:type="dxa"/>
            </w:tcMar>
            <w:vAlign w:val="bottom"/>
          </w:tcPr>
          <w:p w:rsidR="00154A98" w:rsidRDefault="00154A98" w:rsidP="00C54438">
            <w:pPr>
              <w:jc w:val="right"/>
              <w:rPr>
                <w:rFonts w:eastAsia="Arial Unicode MS" w:cs="Arial"/>
                <w:sz w:val="20"/>
                <w:szCs w:val="20"/>
              </w:rPr>
            </w:pPr>
            <w:r>
              <w:rPr>
                <w:rFonts w:eastAsia="Arial Unicode MS" w:cs="Arial"/>
                <w:sz w:val="20"/>
                <w:szCs w:val="20"/>
              </w:rPr>
              <w:t>268:943.354</w:t>
            </w:r>
          </w:p>
        </w:tc>
        <w:tc>
          <w:tcPr>
            <w:tcW w:w="0" w:type="auto"/>
            <w:tcBorders>
              <w:top w:val="nil"/>
              <w:left w:val="nil"/>
              <w:bottom w:val="nil"/>
              <w:right w:val="nil"/>
            </w:tcBorders>
            <w:noWrap/>
            <w:tcMar>
              <w:top w:w="15" w:type="dxa"/>
              <w:left w:w="15" w:type="dxa"/>
              <w:bottom w:w="0" w:type="dxa"/>
              <w:right w:w="15" w:type="dxa"/>
            </w:tcMar>
            <w:vAlign w:val="bottom"/>
          </w:tcPr>
          <w:p w:rsidR="00154A98" w:rsidRDefault="00154A98" w:rsidP="00C54438">
            <w:pPr>
              <w:jc w:val="right"/>
              <w:rPr>
                <w:rFonts w:eastAsia="Arial Unicode MS" w:cs="Arial"/>
                <w:sz w:val="20"/>
                <w:szCs w:val="20"/>
              </w:rPr>
            </w:pPr>
            <w:r>
              <w:rPr>
                <w:rFonts w:eastAsia="Arial Unicode MS" w:cs="Arial"/>
                <w:sz w:val="20"/>
                <w:szCs w:val="20"/>
              </w:rPr>
              <w:t>301:921.812</w:t>
            </w:r>
          </w:p>
        </w:tc>
        <w:tc>
          <w:tcPr>
            <w:tcW w:w="0" w:type="auto"/>
            <w:tcBorders>
              <w:top w:val="nil"/>
              <w:left w:val="nil"/>
              <w:bottom w:val="nil"/>
              <w:right w:val="nil"/>
            </w:tcBorders>
            <w:noWrap/>
            <w:tcMar>
              <w:top w:w="15" w:type="dxa"/>
              <w:left w:w="15" w:type="dxa"/>
              <w:bottom w:w="0" w:type="dxa"/>
              <w:right w:w="15" w:type="dxa"/>
            </w:tcMar>
            <w:vAlign w:val="bottom"/>
          </w:tcPr>
          <w:p w:rsidR="00154A98" w:rsidRDefault="00154A98" w:rsidP="00C54438">
            <w:pPr>
              <w:jc w:val="right"/>
              <w:rPr>
                <w:rFonts w:eastAsia="Arial Unicode MS" w:cs="Arial"/>
                <w:sz w:val="20"/>
                <w:szCs w:val="20"/>
              </w:rPr>
            </w:pPr>
            <w:r>
              <w:rPr>
                <w:rFonts w:eastAsia="Arial Unicode MS" w:cs="Arial"/>
                <w:sz w:val="20"/>
                <w:szCs w:val="20"/>
              </w:rPr>
              <w:t>264:548.218</w:t>
            </w:r>
          </w:p>
        </w:tc>
        <w:tc>
          <w:tcPr>
            <w:tcW w:w="0" w:type="auto"/>
            <w:tcBorders>
              <w:top w:val="nil"/>
              <w:left w:val="nil"/>
              <w:bottom w:val="nil"/>
              <w:right w:val="nil"/>
            </w:tcBorders>
            <w:noWrap/>
            <w:tcMar>
              <w:top w:w="15" w:type="dxa"/>
              <w:left w:w="15" w:type="dxa"/>
              <w:bottom w:w="0" w:type="dxa"/>
              <w:right w:w="15" w:type="dxa"/>
            </w:tcMar>
            <w:vAlign w:val="bottom"/>
          </w:tcPr>
          <w:p w:rsidR="00154A98" w:rsidRDefault="00154A98" w:rsidP="00C54438">
            <w:pPr>
              <w:jc w:val="right"/>
              <w:rPr>
                <w:rFonts w:eastAsia="Arial Unicode MS" w:cs="Arial"/>
                <w:sz w:val="20"/>
                <w:szCs w:val="20"/>
              </w:rPr>
            </w:pPr>
            <w:r>
              <w:rPr>
                <w:rFonts w:eastAsia="Arial Unicode MS" w:cs="Arial"/>
                <w:sz w:val="20"/>
                <w:szCs w:val="20"/>
              </w:rPr>
              <w:t>256:212.437</w:t>
            </w:r>
          </w:p>
        </w:tc>
      </w:tr>
      <w:tr w:rsidR="00154A98">
        <w:trPr>
          <w:trHeight w:val="255"/>
          <w:jc w:val="center"/>
        </w:trPr>
        <w:tc>
          <w:tcPr>
            <w:tcW w:w="0" w:type="auto"/>
            <w:tcBorders>
              <w:top w:val="nil"/>
              <w:left w:val="nil"/>
              <w:bottom w:val="nil"/>
              <w:right w:val="nil"/>
            </w:tcBorders>
            <w:noWrap/>
            <w:tcMar>
              <w:top w:w="15" w:type="dxa"/>
              <w:left w:w="15" w:type="dxa"/>
              <w:bottom w:w="0" w:type="dxa"/>
              <w:right w:w="15" w:type="dxa"/>
            </w:tcMar>
            <w:vAlign w:val="bottom"/>
          </w:tcPr>
          <w:p w:rsidR="00154A98" w:rsidRDefault="00154A98">
            <w:pPr>
              <w:rPr>
                <w:rFonts w:eastAsia="Arial Unicode MS" w:cs="Arial"/>
                <w:sz w:val="20"/>
                <w:szCs w:val="20"/>
              </w:rPr>
            </w:pPr>
            <w:r>
              <w:rPr>
                <w:rFonts w:cs="Arial"/>
                <w:sz w:val="20"/>
                <w:szCs w:val="20"/>
              </w:rPr>
              <w:t>5 - "Transferencias"</w:t>
            </w:r>
          </w:p>
        </w:tc>
        <w:tc>
          <w:tcPr>
            <w:tcW w:w="0" w:type="auto"/>
            <w:tcBorders>
              <w:top w:val="nil"/>
              <w:left w:val="nil"/>
              <w:right w:val="nil"/>
            </w:tcBorders>
            <w:noWrap/>
            <w:tcMar>
              <w:top w:w="15" w:type="dxa"/>
              <w:left w:w="15" w:type="dxa"/>
              <w:bottom w:w="0" w:type="dxa"/>
              <w:right w:w="15" w:type="dxa"/>
            </w:tcMar>
            <w:vAlign w:val="bottom"/>
          </w:tcPr>
          <w:p w:rsidR="00154A98" w:rsidRDefault="00154A98" w:rsidP="00C54438">
            <w:pPr>
              <w:jc w:val="right"/>
              <w:rPr>
                <w:rFonts w:eastAsia="Arial Unicode MS" w:cs="Arial"/>
                <w:sz w:val="20"/>
                <w:szCs w:val="20"/>
              </w:rPr>
            </w:pPr>
            <w:r>
              <w:rPr>
                <w:rFonts w:eastAsia="Arial Unicode MS" w:cs="Arial"/>
                <w:sz w:val="20"/>
                <w:szCs w:val="20"/>
              </w:rPr>
              <w:t>75:679.041</w:t>
            </w:r>
          </w:p>
        </w:tc>
        <w:tc>
          <w:tcPr>
            <w:tcW w:w="0" w:type="auto"/>
            <w:tcBorders>
              <w:top w:val="nil"/>
              <w:left w:val="nil"/>
              <w:right w:val="nil"/>
            </w:tcBorders>
            <w:noWrap/>
            <w:tcMar>
              <w:top w:w="15" w:type="dxa"/>
              <w:left w:w="15" w:type="dxa"/>
              <w:bottom w:w="0" w:type="dxa"/>
              <w:right w:w="15" w:type="dxa"/>
            </w:tcMar>
            <w:vAlign w:val="bottom"/>
          </w:tcPr>
          <w:p w:rsidR="00154A98" w:rsidRDefault="00154A98" w:rsidP="00C54438">
            <w:pPr>
              <w:jc w:val="right"/>
              <w:rPr>
                <w:rFonts w:eastAsia="Arial Unicode MS" w:cs="Arial"/>
                <w:sz w:val="20"/>
                <w:szCs w:val="20"/>
              </w:rPr>
            </w:pPr>
            <w:r>
              <w:rPr>
                <w:rFonts w:eastAsia="Arial Unicode MS" w:cs="Arial"/>
                <w:sz w:val="20"/>
                <w:szCs w:val="20"/>
              </w:rPr>
              <w:t>74:115.624</w:t>
            </w:r>
          </w:p>
        </w:tc>
        <w:tc>
          <w:tcPr>
            <w:tcW w:w="0" w:type="auto"/>
            <w:tcBorders>
              <w:top w:val="nil"/>
              <w:left w:val="nil"/>
              <w:right w:val="nil"/>
            </w:tcBorders>
            <w:noWrap/>
            <w:tcMar>
              <w:top w:w="15" w:type="dxa"/>
              <w:left w:w="15" w:type="dxa"/>
              <w:bottom w:w="0" w:type="dxa"/>
              <w:right w:w="15" w:type="dxa"/>
            </w:tcMar>
            <w:vAlign w:val="bottom"/>
          </w:tcPr>
          <w:p w:rsidR="00154A98" w:rsidRDefault="00154A98" w:rsidP="00C54438">
            <w:pPr>
              <w:jc w:val="right"/>
              <w:rPr>
                <w:rFonts w:eastAsia="Arial Unicode MS" w:cs="Arial"/>
                <w:sz w:val="20"/>
                <w:szCs w:val="20"/>
              </w:rPr>
            </w:pPr>
            <w:r>
              <w:rPr>
                <w:rFonts w:eastAsia="Arial Unicode MS" w:cs="Arial"/>
                <w:sz w:val="20"/>
                <w:szCs w:val="20"/>
              </w:rPr>
              <w:t>74:320.167</w:t>
            </w:r>
          </w:p>
        </w:tc>
        <w:tc>
          <w:tcPr>
            <w:tcW w:w="0" w:type="auto"/>
            <w:tcBorders>
              <w:top w:val="nil"/>
              <w:left w:val="nil"/>
              <w:right w:val="nil"/>
            </w:tcBorders>
            <w:noWrap/>
            <w:tcMar>
              <w:top w:w="15" w:type="dxa"/>
              <w:left w:w="15" w:type="dxa"/>
              <w:bottom w:w="0" w:type="dxa"/>
              <w:right w:w="15" w:type="dxa"/>
            </w:tcMar>
            <w:vAlign w:val="bottom"/>
          </w:tcPr>
          <w:p w:rsidR="00154A98" w:rsidRDefault="00154A98" w:rsidP="00C54438">
            <w:pPr>
              <w:jc w:val="right"/>
              <w:rPr>
                <w:rFonts w:eastAsia="Arial Unicode MS" w:cs="Arial"/>
                <w:sz w:val="20"/>
                <w:szCs w:val="20"/>
              </w:rPr>
            </w:pPr>
            <w:r>
              <w:rPr>
                <w:rFonts w:eastAsia="Arial Unicode MS" w:cs="Arial"/>
                <w:sz w:val="20"/>
                <w:szCs w:val="20"/>
              </w:rPr>
              <w:t>75:044.981</w:t>
            </w:r>
          </w:p>
        </w:tc>
        <w:tc>
          <w:tcPr>
            <w:tcW w:w="0" w:type="auto"/>
            <w:tcBorders>
              <w:top w:val="nil"/>
              <w:left w:val="nil"/>
              <w:right w:val="nil"/>
            </w:tcBorders>
            <w:noWrap/>
            <w:tcMar>
              <w:top w:w="15" w:type="dxa"/>
              <w:left w:w="15" w:type="dxa"/>
              <w:bottom w:w="0" w:type="dxa"/>
              <w:right w:w="15" w:type="dxa"/>
            </w:tcMar>
            <w:vAlign w:val="bottom"/>
          </w:tcPr>
          <w:p w:rsidR="00154A98" w:rsidRDefault="00154A98" w:rsidP="00C54438">
            <w:pPr>
              <w:jc w:val="right"/>
              <w:rPr>
                <w:rFonts w:eastAsia="Arial Unicode MS" w:cs="Arial"/>
                <w:sz w:val="20"/>
                <w:szCs w:val="20"/>
              </w:rPr>
            </w:pPr>
            <w:r>
              <w:rPr>
                <w:rFonts w:eastAsia="Arial Unicode MS" w:cs="Arial"/>
                <w:sz w:val="20"/>
                <w:szCs w:val="20"/>
              </w:rPr>
              <w:t>76:872.852</w:t>
            </w:r>
          </w:p>
        </w:tc>
      </w:tr>
      <w:tr w:rsidR="00154A98">
        <w:trPr>
          <w:trHeight w:val="255"/>
          <w:jc w:val="center"/>
        </w:trPr>
        <w:tc>
          <w:tcPr>
            <w:tcW w:w="0" w:type="auto"/>
            <w:tcBorders>
              <w:top w:val="nil"/>
              <w:left w:val="nil"/>
              <w:bottom w:val="nil"/>
              <w:right w:val="nil"/>
            </w:tcBorders>
            <w:noWrap/>
            <w:tcMar>
              <w:top w:w="15" w:type="dxa"/>
              <w:left w:w="15" w:type="dxa"/>
              <w:bottom w:w="0" w:type="dxa"/>
              <w:right w:w="15" w:type="dxa"/>
            </w:tcMar>
            <w:vAlign w:val="bottom"/>
          </w:tcPr>
          <w:p w:rsidR="00154A98" w:rsidRDefault="00154A98">
            <w:pPr>
              <w:rPr>
                <w:rFonts w:cs="Arial"/>
                <w:sz w:val="20"/>
                <w:szCs w:val="20"/>
              </w:rPr>
            </w:pPr>
            <w:r>
              <w:rPr>
                <w:rFonts w:cs="Arial"/>
                <w:sz w:val="20"/>
                <w:szCs w:val="20"/>
              </w:rPr>
              <w:t>6 - "Intereses y otros gastos de Deuda"</w:t>
            </w:r>
          </w:p>
        </w:tc>
        <w:tc>
          <w:tcPr>
            <w:tcW w:w="0" w:type="auto"/>
            <w:tcBorders>
              <w:top w:val="nil"/>
              <w:left w:val="nil"/>
              <w:right w:val="nil"/>
            </w:tcBorders>
            <w:noWrap/>
            <w:tcMar>
              <w:top w:w="15" w:type="dxa"/>
              <w:left w:w="15" w:type="dxa"/>
              <w:bottom w:w="0" w:type="dxa"/>
              <w:right w:w="15" w:type="dxa"/>
            </w:tcMar>
            <w:vAlign w:val="bottom"/>
          </w:tcPr>
          <w:p w:rsidR="00154A98" w:rsidRDefault="00154A98" w:rsidP="00C54438">
            <w:pPr>
              <w:jc w:val="right"/>
              <w:rPr>
                <w:rFonts w:eastAsia="Arial Unicode MS" w:cs="Arial"/>
                <w:sz w:val="20"/>
                <w:szCs w:val="20"/>
              </w:rPr>
            </w:pPr>
            <w:r>
              <w:rPr>
                <w:rFonts w:eastAsia="Arial Unicode MS" w:cs="Arial"/>
                <w:sz w:val="20"/>
                <w:szCs w:val="20"/>
              </w:rPr>
              <w:t>36:487.664</w:t>
            </w:r>
          </w:p>
        </w:tc>
        <w:tc>
          <w:tcPr>
            <w:tcW w:w="0" w:type="auto"/>
            <w:tcBorders>
              <w:top w:val="nil"/>
              <w:left w:val="nil"/>
              <w:right w:val="nil"/>
            </w:tcBorders>
            <w:noWrap/>
            <w:tcMar>
              <w:top w:w="15" w:type="dxa"/>
              <w:left w:w="15" w:type="dxa"/>
              <w:bottom w:w="0" w:type="dxa"/>
              <w:right w:w="15" w:type="dxa"/>
            </w:tcMar>
            <w:vAlign w:val="bottom"/>
          </w:tcPr>
          <w:p w:rsidR="00154A98" w:rsidRDefault="00154A98" w:rsidP="00C54438">
            <w:pPr>
              <w:jc w:val="right"/>
              <w:rPr>
                <w:rFonts w:eastAsia="Arial Unicode MS" w:cs="Arial"/>
                <w:sz w:val="20"/>
                <w:szCs w:val="20"/>
              </w:rPr>
            </w:pPr>
            <w:r>
              <w:rPr>
                <w:rFonts w:eastAsia="Arial Unicode MS" w:cs="Arial"/>
                <w:sz w:val="20"/>
                <w:szCs w:val="20"/>
              </w:rPr>
              <w:t>35:774.244</w:t>
            </w:r>
          </w:p>
        </w:tc>
        <w:tc>
          <w:tcPr>
            <w:tcW w:w="0" w:type="auto"/>
            <w:tcBorders>
              <w:top w:val="nil"/>
              <w:left w:val="nil"/>
              <w:right w:val="nil"/>
            </w:tcBorders>
            <w:noWrap/>
            <w:tcMar>
              <w:top w:w="15" w:type="dxa"/>
              <w:left w:w="15" w:type="dxa"/>
              <w:bottom w:w="0" w:type="dxa"/>
              <w:right w:w="15" w:type="dxa"/>
            </w:tcMar>
            <w:vAlign w:val="bottom"/>
          </w:tcPr>
          <w:p w:rsidR="00154A98" w:rsidRDefault="00154A98" w:rsidP="00C54438">
            <w:pPr>
              <w:jc w:val="right"/>
              <w:rPr>
                <w:rFonts w:eastAsia="Arial Unicode MS" w:cs="Arial"/>
                <w:sz w:val="20"/>
                <w:szCs w:val="20"/>
              </w:rPr>
            </w:pPr>
            <w:r>
              <w:rPr>
                <w:rFonts w:eastAsia="Arial Unicode MS" w:cs="Arial"/>
                <w:sz w:val="20"/>
                <w:szCs w:val="20"/>
              </w:rPr>
              <w:t>33:447.357</w:t>
            </w:r>
          </w:p>
        </w:tc>
        <w:tc>
          <w:tcPr>
            <w:tcW w:w="0" w:type="auto"/>
            <w:tcBorders>
              <w:top w:val="nil"/>
              <w:left w:val="nil"/>
              <w:right w:val="nil"/>
            </w:tcBorders>
            <w:noWrap/>
            <w:tcMar>
              <w:top w:w="15" w:type="dxa"/>
              <w:left w:w="15" w:type="dxa"/>
              <w:bottom w:w="0" w:type="dxa"/>
              <w:right w:w="15" w:type="dxa"/>
            </w:tcMar>
            <w:vAlign w:val="bottom"/>
          </w:tcPr>
          <w:p w:rsidR="00154A98" w:rsidRDefault="00154A98" w:rsidP="00C54438">
            <w:pPr>
              <w:jc w:val="right"/>
              <w:rPr>
                <w:rFonts w:eastAsia="Arial Unicode MS" w:cs="Arial"/>
                <w:sz w:val="20"/>
                <w:szCs w:val="20"/>
              </w:rPr>
            </w:pPr>
            <w:r>
              <w:rPr>
                <w:rFonts w:eastAsia="Arial Unicode MS" w:cs="Arial"/>
                <w:sz w:val="20"/>
                <w:szCs w:val="20"/>
              </w:rPr>
              <w:t>31:906.333</w:t>
            </w:r>
          </w:p>
        </w:tc>
        <w:tc>
          <w:tcPr>
            <w:tcW w:w="0" w:type="auto"/>
            <w:tcBorders>
              <w:top w:val="nil"/>
              <w:left w:val="nil"/>
              <w:right w:val="nil"/>
            </w:tcBorders>
            <w:noWrap/>
            <w:tcMar>
              <w:top w:w="15" w:type="dxa"/>
              <w:left w:w="15" w:type="dxa"/>
              <w:bottom w:w="0" w:type="dxa"/>
              <w:right w:w="15" w:type="dxa"/>
            </w:tcMar>
            <w:vAlign w:val="bottom"/>
          </w:tcPr>
          <w:p w:rsidR="00154A98" w:rsidRDefault="00154A98" w:rsidP="00C54438">
            <w:pPr>
              <w:jc w:val="right"/>
              <w:rPr>
                <w:rFonts w:eastAsia="Arial Unicode MS" w:cs="Arial"/>
                <w:sz w:val="20"/>
                <w:szCs w:val="20"/>
              </w:rPr>
            </w:pPr>
            <w:r>
              <w:rPr>
                <w:rFonts w:eastAsia="Arial Unicode MS" w:cs="Arial"/>
                <w:sz w:val="20"/>
                <w:szCs w:val="20"/>
              </w:rPr>
              <w:t>30:301.053</w:t>
            </w:r>
          </w:p>
        </w:tc>
      </w:tr>
      <w:tr w:rsidR="00154A98">
        <w:trPr>
          <w:trHeight w:val="255"/>
          <w:jc w:val="center"/>
        </w:trPr>
        <w:tc>
          <w:tcPr>
            <w:tcW w:w="0" w:type="auto"/>
            <w:tcBorders>
              <w:top w:val="nil"/>
              <w:left w:val="nil"/>
              <w:bottom w:val="nil"/>
              <w:right w:val="nil"/>
            </w:tcBorders>
            <w:noWrap/>
            <w:tcMar>
              <w:top w:w="15" w:type="dxa"/>
              <w:left w:w="15" w:type="dxa"/>
              <w:bottom w:w="0" w:type="dxa"/>
              <w:right w:w="15" w:type="dxa"/>
            </w:tcMar>
            <w:vAlign w:val="bottom"/>
          </w:tcPr>
          <w:p w:rsidR="00154A98" w:rsidRDefault="00154A98">
            <w:pPr>
              <w:rPr>
                <w:rFonts w:cs="Arial"/>
                <w:sz w:val="20"/>
                <w:szCs w:val="20"/>
              </w:rPr>
            </w:pPr>
            <w:r>
              <w:rPr>
                <w:rFonts w:cs="Arial"/>
                <w:sz w:val="20"/>
                <w:szCs w:val="20"/>
              </w:rPr>
              <w:t>7 - “Gastos no Clasificados”</w:t>
            </w:r>
          </w:p>
        </w:tc>
        <w:tc>
          <w:tcPr>
            <w:tcW w:w="0" w:type="auto"/>
            <w:tcBorders>
              <w:top w:val="nil"/>
              <w:left w:val="nil"/>
              <w:right w:val="nil"/>
            </w:tcBorders>
            <w:noWrap/>
            <w:tcMar>
              <w:top w:w="15" w:type="dxa"/>
              <w:left w:w="15" w:type="dxa"/>
              <w:bottom w:w="0" w:type="dxa"/>
              <w:right w:w="15" w:type="dxa"/>
            </w:tcMar>
            <w:vAlign w:val="bottom"/>
          </w:tcPr>
          <w:p w:rsidR="00154A98" w:rsidRDefault="00154A98" w:rsidP="00C54438">
            <w:pPr>
              <w:jc w:val="right"/>
              <w:rPr>
                <w:rFonts w:eastAsia="Arial Unicode MS" w:cs="Arial"/>
                <w:sz w:val="20"/>
                <w:szCs w:val="20"/>
              </w:rPr>
            </w:pPr>
            <w:r>
              <w:rPr>
                <w:rFonts w:eastAsia="Arial Unicode MS" w:cs="Arial"/>
                <w:sz w:val="20"/>
                <w:szCs w:val="20"/>
              </w:rPr>
              <w:t>1:218.505</w:t>
            </w:r>
          </w:p>
        </w:tc>
        <w:tc>
          <w:tcPr>
            <w:tcW w:w="0" w:type="auto"/>
            <w:tcBorders>
              <w:top w:val="nil"/>
              <w:left w:val="nil"/>
              <w:right w:val="nil"/>
            </w:tcBorders>
            <w:noWrap/>
            <w:tcMar>
              <w:top w:w="15" w:type="dxa"/>
              <w:left w:w="15" w:type="dxa"/>
              <w:bottom w:w="0" w:type="dxa"/>
              <w:right w:w="15" w:type="dxa"/>
            </w:tcMar>
            <w:vAlign w:val="bottom"/>
          </w:tcPr>
          <w:p w:rsidR="00154A98" w:rsidRDefault="00154A98" w:rsidP="00C54438">
            <w:pPr>
              <w:jc w:val="right"/>
              <w:rPr>
                <w:rFonts w:eastAsia="Arial Unicode MS" w:cs="Arial"/>
                <w:sz w:val="20"/>
                <w:szCs w:val="20"/>
              </w:rPr>
            </w:pPr>
            <w:r>
              <w:rPr>
                <w:rFonts w:eastAsia="Arial Unicode MS" w:cs="Arial"/>
                <w:sz w:val="20"/>
                <w:szCs w:val="20"/>
              </w:rPr>
              <w:t>10:321.956</w:t>
            </w:r>
          </w:p>
        </w:tc>
        <w:tc>
          <w:tcPr>
            <w:tcW w:w="0" w:type="auto"/>
            <w:tcBorders>
              <w:top w:val="nil"/>
              <w:left w:val="nil"/>
              <w:right w:val="nil"/>
            </w:tcBorders>
            <w:noWrap/>
            <w:tcMar>
              <w:top w:w="15" w:type="dxa"/>
              <w:left w:w="15" w:type="dxa"/>
              <w:bottom w:w="0" w:type="dxa"/>
              <w:right w:w="15" w:type="dxa"/>
            </w:tcMar>
            <w:vAlign w:val="bottom"/>
          </w:tcPr>
          <w:p w:rsidR="00154A98" w:rsidRDefault="00154A98" w:rsidP="00C54438">
            <w:pPr>
              <w:jc w:val="right"/>
              <w:rPr>
                <w:rFonts w:eastAsia="Arial Unicode MS" w:cs="Arial"/>
                <w:sz w:val="20"/>
                <w:szCs w:val="20"/>
              </w:rPr>
            </w:pPr>
            <w:r>
              <w:rPr>
                <w:rFonts w:eastAsia="Arial Unicode MS" w:cs="Arial"/>
                <w:sz w:val="20"/>
                <w:szCs w:val="20"/>
              </w:rPr>
              <w:t>10:436.302</w:t>
            </w:r>
          </w:p>
        </w:tc>
        <w:tc>
          <w:tcPr>
            <w:tcW w:w="0" w:type="auto"/>
            <w:tcBorders>
              <w:top w:val="nil"/>
              <w:left w:val="nil"/>
              <w:right w:val="nil"/>
            </w:tcBorders>
            <w:noWrap/>
            <w:tcMar>
              <w:top w:w="15" w:type="dxa"/>
              <w:left w:w="15" w:type="dxa"/>
              <w:bottom w:w="0" w:type="dxa"/>
              <w:right w:w="15" w:type="dxa"/>
            </w:tcMar>
            <w:vAlign w:val="bottom"/>
          </w:tcPr>
          <w:p w:rsidR="00154A98" w:rsidRDefault="00154A98" w:rsidP="00C54438">
            <w:pPr>
              <w:jc w:val="right"/>
              <w:rPr>
                <w:rFonts w:eastAsia="Arial Unicode MS" w:cs="Arial"/>
                <w:sz w:val="20"/>
                <w:szCs w:val="20"/>
              </w:rPr>
            </w:pPr>
            <w:r>
              <w:rPr>
                <w:rFonts w:eastAsia="Arial Unicode MS" w:cs="Arial"/>
                <w:sz w:val="20"/>
                <w:szCs w:val="20"/>
              </w:rPr>
              <w:t>1.562.584</w:t>
            </w:r>
          </w:p>
        </w:tc>
        <w:tc>
          <w:tcPr>
            <w:tcW w:w="0" w:type="auto"/>
            <w:tcBorders>
              <w:top w:val="nil"/>
              <w:left w:val="nil"/>
              <w:right w:val="nil"/>
            </w:tcBorders>
            <w:noWrap/>
            <w:tcMar>
              <w:top w:w="15" w:type="dxa"/>
              <w:left w:w="15" w:type="dxa"/>
              <w:bottom w:w="0" w:type="dxa"/>
              <w:right w:w="15" w:type="dxa"/>
            </w:tcMar>
            <w:vAlign w:val="bottom"/>
          </w:tcPr>
          <w:p w:rsidR="00154A98" w:rsidRDefault="00154A98" w:rsidP="00C54438">
            <w:pPr>
              <w:jc w:val="right"/>
              <w:rPr>
                <w:rFonts w:eastAsia="Arial Unicode MS" w:cs="Arial"/>
                <w:sz w:val="20"/>
                <w:szCs w:val="20"/>
              </w:rPr>
            </w:pPr>
            <w:r>
              <w:rPr>
                <w:rFonts w:eastAsia="Arial Unicode MS" w:cs="Arial"/>
                <w:sz w:val="20"/>
                <w:szCs w:val="20"/>
              </w:rPr>
              <w:t>1.700.940</w:t>
            </w:r>
          </w:p>
        </w:tc>
      </w:tr>
      <w:tr w:rsidR="00154A98">
        <w:trPr>
          <w:trHeight w:val="255"/>
          <w:jc w:val="center"/>
        </w:trPr>
        <w:tc>
          <w:tcPr>
            <w:tcW w:w="0" w:type="auto"/>
            <w:tcBorders>
              <w:top w:val="nil"/>
              <w:left w:val="nil"/>
              <w:bottom w:val="nil"/>
              <w:right w:val="nil"/>
            </w:tcBorders>
            <w:noWrap/>
            <w:tcMar>
              <w:top w:w="15" w:type="dxa"/>
              <w:left w:w="15" w:type="dxa"/>
              <w:bottom w:w="0" w:type="dxa"/>
              <w:right w:w="15" w:type="dxa"/>
            </w:tcMar>
            <w:vAlign w:val="bottom"/>
          </w:tcPr>
          <w:p w:rsidR="00154A98" w:rsidRDefault="00154A98" w:rsidP="00C54438">
            <w:pPr>
              <w:rPr>
                <w:rFonts w:eastAsia="Arial Unicode MS" w:cs="Arial"/>
                <w:sz w:val="20"/>
                <w:szCs w:val="20"/>
              </w:rPr>
            </w:pPr>
            <w:r>
              <w:rPr>
                <w:rFonts w:cs="Arial"/>
                <w:sz w:val="20"/>
                <w:szCs w:val="20"/>
              </w:rPr>
              <w:t xml:space="preserve">8- " Clasificador de </w:t>
            </w:r>
            <w:proofErr w:type="spellStart"/>
            <w:r>
              <w:rPr>
                <w:rFonts w:cs="Arial"/>
                <w:sz w:val="20"/>
                <w:szCs w:val="20"/>
              </w:rPr>
              <w:t>Aplic.Financ</w:t>
            </w:r>
            <w:proofErr w:type="spellEnd"/>
            <w:r>
              <w:rPr>
                <w:rFonts w:cs="Arial"/>
                <w:sz w:val="20"/>
                <w:szCs w:val="20"/>
              </w:rPr>
              <w:t>."</w:t>
            </w:r>
          </w:p>
        </w:tc>
        <w:tc>
          <w:tcPr>
            <w:tcW w:w="0" w:type="auto"/>
            <w:tcBorders>
              <w:top w:val="nil"/>
              <w:left w:val="nil"/>
              <w:right w:val="nil"/>
            </w:tcBorders>
            <w:noWrap/>
            <w:tcMar>
              <w:top w:w="15" w:type="dxa"/>
              <w:left w:w="15" w:type="dxa"/>
              <w:bottom w:w="0" w:type="dxa"/>
              <w:right w:w="15" w:type="dxa"/>
            </w:tcMar>
            <w:vAlign w:val="bottom"/>
          </w:tcPr>
          <w:p w:rsidR="00154A98" w:rsidRDefault="00154A98" w:rsidP="00C54438">
            <w:pPr>
              <w:jc w:val="right"/>
              <w:rPr>
                <w:rFonts w:eastAsia="Arial Unicode MS" w:cs="Arial"/>
                <w:sz w:val="20"/>
                <w:szCs w:val="20"/>
                <w:u w:val="single"/>
              </w:rPr>
            </w:pPr>
            <w:r>
              <w:rPr>
                <w:rFonts w:eastAsia="Arial Unicode MS" w:cs="Arial"/>
                <w:sz w:val="20"/>
                <w:szCs w:val="20"/>
                <w:u w:val="single"/>
              </w:rPr>
              <w:t>142:109.841</w:t>
            </w:r>
          </w:p>
        </w:tc>
        <w:tc>
          <w:tcPr>
            <w:tcW w:w="0" w:type="auto"/>
            <w:tcBorders>
              <w:top w:val="nil"/>
              <w:left w:val="nil"/>
              <w:right w:val="nil"/>
            </w:tcBorders>
            <w:noWrap/>
            <w:tcMar>
              <w:top w:w="15" w:type="dxa"/>
              <w:left w:w="15" w:type="dxa"/>
              <w:bottom w:w="0" w:type="dxa"/>
              <w:right w:w="15" w:type="dxa"/>
            </w:tcMar>
            <w:vAlign w:val="bottom"/>
          </w:tcPr>
          <w:p w:rsidR="00154A98" w:rsidRDefault="00154A98" w:rsidP="00C54438">
            <w:pPr>
              <w:jc w:val="right"/>
              <w:rPr>
                <w:rFonts w:eastAsia="Arial Unicode MS" w:cs="Arial"/>
                <w:sz w:val="20"/>
                <w:szCs w:val="20"/>
                <w:u w:val="single"/>
              </w:rPr>
            </w:pPr>
            <w:r>
              <w:rPr>
                <w:rFonts w:eastAsia="Arial Unicode MS" w:cs="Arial"/>
                <w:sz w:val="20"/>
                <w:szCs w:val="20"/>
                <w:u w:val="single"/>
              </w:rPr>
              <w:t>115:261.806</w:t>
            </w:r>
          </w:p>
        </w:tc>
        <w:tc>
          <w:tcPr>
            <w:tcW w:w="0" w:type="auto"/>
            <w:tcBorders>
              <w:top w:val="nil"/>
              <w:left w:val="nil"/>
              <w:right w:val="nil"/>
            </w:tcBorders>
            <w:noWrap/>
            <w:tcMar>
              <w:top w:w="15" w:type="dxa"/>
              <w:left w:w="15" w:type="dxa"/>
              <w:bottom w:w="0" w:type="dxa"/>
              <w:right w:w="15" w:type="dxa"/>
            </w:tcMar>
            <w:vAlign w:val="bottom"/>
          </w:tcPr>
          <w:p w:rsidR="00154A98" w:rsidRDefault="00154A98" w:rsidP="00C54438">
            <w:pPr>
              <w:jc w:val="right"/>
              <w:rPr>
                <w:rFonts w:eastAsia="Arial Unicode MS" w:cs="Arial"/>
                <w:sz w:val="20"/>
                <w:szCs w:val="20"/>
                <w:u w:val="single"/>
              </w:rPr>
            </w:pPr>
            <w:r>
              <w:rPr>
                <w:rFonts w:eastAsia="Arial Unicode MS" w:cs="Arial"/>
                <w:sz w:val="20"/>
                <w:szCs w:val="20"/>
                <w:u w:val="single"/>
              </w:rPr>
              <w:t>42:661.913</w:t>
            </w:r>
          </w:p>
        </w:tc>
        <w:tc>
          <w:tcPr>
            <w:tcW w:w="0" w:type="auto"/>
            <w:tcBorders>
              <w:top w:val="nil"/>
              <w:left w:val="nil"/>
              <w:right w:val="nil"/>
            </w:tcBorders>
            <w:noWrap/>
            <w:tcMar>
              <w:top w:w="15" w:type="dxa"/>
              <w:left w:w="15" w:type="dxa"/>
              <w:bottom w:w="0" w:type="dxa"/>
              <w:right w:w="15" w:type="dxa"/>
            </w:tcMar>
            <w:vAlign w:val="bottom"/>
          </w:tcPr>
          <w:p w:rsidR="00154A98" w:rsidRDefault="00154A98" w:rsidP="00C54438">
            <w:pPr>
              <w:jc w:val="right"/>
              <w:rPr>
                <w:rFonts w:eastAsia="Arial Unicode MS" w:cs="Arial"/>
                <w:sz w:val="20"/>
                <w:szCs w:val="20"/>
                <w:u w:val="single"/>
              </w:rPr>
            </w:pPr>
            <w:r>
              <w:rPr>
                <w:rFonts w:eastAsia="Arial Unicode MS" w:cs="Arial"/>
                <w:sz w:val="20"/>
                <w:szCs w:val="20"/>
                <w:u w:val="single"/>
              </w:rPr>
              <w:t>43:818.178</w:t>
            </w:r>
          </w:p>
        </w:tc>
        <w:tc>
          <w:tcPr>
            <w:tcW w:w="0" w:type="auto"/>
            <w:tcBorders>
              <w:top w:val="nil"/>
              <w:left w:val="nil"/>
              <w:right w:val="nil"/>
            </w:tcBorders>
            <w:noWrap/>
            <w:tcMar>
              <w:top w:w="15" w:type="dxa"/>
              <w:left w:w="15" w:type="dxa"/>
              <w:bottom w:w="0" w:type="dxa"/>
              <w:right w:w="15" w:type="dxa"/>
            </w:tcMar>
            <w:vAlign w:val="bottom"/>
          </w:tcPr>
          <w:p w:rsidR="00154A98" w:rsidRDefault="00154A98" w:rsidP="00C54438">
            <w:pPr>
              <w:jc w:val="right"/>
              <w:rPr>
                <w:rFonts w:eastAsia="Arial Unicode MS" w:cs="Arial"/>
                <w:sz w:val="20"/>
                <w:szCs w:val="20"/>
                <w:u w:val="single"/>
              </w:rPr>
            </w:pPr>
            <w:r>
              <w:rPr>
                <w:rFonts w:eastAsia="Arial Unicode MS" w:cs="Arial"/>
                <w:sz w:val="20"/>
                <w:szCs w:val="20"/>
                <w:u w:val="single"/>
              </w:rPr>
              <w:t>35:546.824</w:t>
            </w:r>
          </w:p>
        </w:tc>
      </w:tr>
      <w:tr w:rsidR="00154A98" w:rsidTr="00C54438">
        <w:trPr>
          <w:trHeight w:val="255"/>
          <w:jc w:val="center"/>
        </w:trPr>
        <w:tc>
          <w:tcPr>
            <w:tcW w:w="0" w:type="auto"/>
            <w:tcBorders>
              <w:top w:val="nil"/>
              <w:left w:val="nil"/>
              <w:bottom w:val="nil"/>
              <w:right w:val="nil"/>
            </w:tcBorders>
            <w:noWrap/>
            <w:tcMar>
              <w:top w:w="15" w:type="dxa"/>
              <w:left w:w="15" w:type="dxa"/>
              <w:bottom w:w="0" w:type="dxa"/>
              <w:right w:w="15" w:type="dxa"/>
            </w:tcMar>
            <w:vAlign w:val="bottom"/>
          </w:tcPr>
          <w:p w:rsidR="00154A98" w:rsidRDefault="00154A98">
            <w:pPr>
              <w:jc w:val="center"/>
              <w:rPr>
                <w:rFonts w:eastAsia="Arial Unicode MS" w:cs="Arial"/>
                <w:b/>
                <w:bCs/>
                <w:sz w:val="20"/>
                <w:szCs w:val="20"/>
              </w:rPr>
            </w:pPr>
            <w:r>
              <w:rPr>
                <w:rFonts w:cs="Arial"/>
                <w:b/>
                <w:bCs/>
                <w:sz w:val="20"/>
                <w:szCs w:val="20"/>
              </w:rPr>
              <w:t>Totales</w:t>
            </w:r>
          </w:p>
        </w:tc>
        <w:tc>
          <w:tcPr>
            <w:tcW w:w="0" w:type="auto"/>
            <w:tcBorders>
              <w:left w:val="nil"/>
              <w:right w:val="nil"/>
            </w:tcBorders>
            <w:noWrap/>
            <w:tcMar>
              <w:top w:w="15" w:type="dxa"/>
              <w:left w:w="15" w:type="dxa"/>
              <w:bottom w:w="0" w:type="dxa"/>
              <w:right w:w="15" w:type="dxa"/>
            </w:tcMar>
            <w:vAlign w:val="bottom"/>
          </w:tcPr>
          <w:p w:rsidR="00154A98" w:rsidRDefault="00154A98" w:rsidP="00C54438">
            <w:pPr>
              <w:jc w:val="right"/>
              <w:rPr>
                <w:rFonts w:eastAsia="Arial Unicode MS" w:cs="Arial"/>
                <w:b/>
                <w:bCs/>
                <w:sz w:val="20"/>
                <w:szCs w:val="20"/>
              </w:rPr>
            </w:pPr>
            <w:r>
              <w:rPr>
                <w:rFonts w:eastAsia="Arial Unicode MS" w:cs="Arial"/>
                <w:b/>
                <w:bCs/>
                <w:sz w:val="20"/>
                <w:szCs w:val="20"/>
              </w:rPr>
              <w:t>1.488:854.285</w:t>
            </w:r>
          </w:p>
        </w:tc>
        <w:tc>
          <w:tcPr>
            <w:tcW w:w="0" w:type="auto"/>
            <w:tcBorders>
              <w:left w:val="nil"/>
              <w:right w:val="nil"/>
            </w:tcBorders>
            <w:noWrap/>
            <w:tcMar>
              <w:top w:w="15" w:type="dxa"/>
              <w:left w:w="15" w:type="dxa"/>
              <w:bottom w:w="0" w:type="dxa"/>
              <w:right w:w="15" w:type="dxa"/>
            </w:tcMar>
            <w:vAlign w:val="bottom"/>
          </w:tcPr>
          <w:p w:rsidR="00154A98" w:rsidRDefault="00154A98" w:rsidP="00C54438">
            <w:pPr>
              <w:jc w:val="right"/>
              <w:rPr>
                <w:rFonts w:eastAsia="Arial Unicode MS" w:cs="Arial"/>
                <w:b/>
                <w:bCs/>
                <w:sz w:val="20"/>
                <w:szCs w:val="20"/>
              </w:rPr>
            </w:pPr>
            <w:r>
              <w:rPr>
                <w:rFonts w:eastAsia="Arial Unicode MS" w:cs="Arial"/>
                <w:b/>
                <w:bCs/>
                <w:sz w:val="20"/>
                <w:szCs w:val="20"/>
              </w:rPr>
              <w:t>1.432:805.142</w:t>
            </w:r>
          </w:p>
        </w:tc>
        <w:tc>
          <w:tcPr>
            <w:tcW w:w="0" w:type="auto"/>
            <w:tcBorders>
              <w:left w:val="nil"/>
              <w:right w:val="nil"/>
            </w:tcBorders>
            <w:noWrap/>
            <w:tcMar>
              <w:top w:w="15" w:type="dxa"/>
              <w:left w:w="15" w:type="dxa"/>
              <w:bottom w:w="0" w:type="dxa"/>
              <w:right w:w="15" w:type="dxa"/>
            </w:tcMar>
            <w:vAlign w:val="bottom"/>
          </w:tcPr>
          <w:p w:rsidR="00154A98" w:rsidRDefault="00154A98" w:rsidP="00C54438">
            <w:pPr>
              <w:jc w:val="right"/>
              <w:rPr>
                <w:rFonts w:eastAsia="Arial Unicode MS" w:cs="Arial"/>
                <w:b/>
                <w:bCs/>
                <w:sz w:val="20"/>
                <w:szCs w:val="20"/>
              </w:rPr>
            </w:pPr>
            <w:r>
              <w:rPr>
                <w:rFonts w:eastAsia="Arial Unicode MS" w:cs="Arial"/>
                <w:b/>
                <w:bCs/>
                <w:sz w:val="20"/>
                <w:szCs w:val="20"/>
              </w:rPr>
              <w:t>1.412:146.947</w:t>
            </w:r>
          </w:p>
        </w:tc>
        <w:tc>
          <w:tcPr>
            <w:tcW w:w="0" w:type="auto"/>
            <w:tcBorders>
              <w:left w:val="nil"/>
              <w:right w:val="nil"/>
            </w:tcBorders>
            <w:noWrap/>
            <w:tcMar>
              <w:top w:w="15" w:type="dxa"/>
              <w:left w:w="15" w:type="dxa"/>
              <w:bottom w:w="0" w:type="dxa"/>
              <w:right w:w="15" w:type="dxa"/>
            </w:tcMar>
            <w:vAlign w:val="bottom"/>
          </w:tcPr>
          <w:p w:rsidR="00154A98" w:rsidRDefault="00154A98" w:rsidP="00C54438">
            <w:pPr>
              <w:jc w:val="right"/>
              <w:rPr>
                <w:rFonts w:eastAsia="Arial Unicode MS" w:cs="Arial"/>
                <w:b/>
                <w:bCs/>
                <w:sz w:val="20"/>
                <w:szCs w:val="20"/>
              </w:rPr>
            </w:pPr>
            <w:r>
              <w:rPr>
                <w:rFonts w:eastAsia="Arial Unicode MS" w:cs="Arial"/>
                <w:b/>
                <w:bCs/>
                <w:sz w:val="20"/>
                <w:szCs w:val="20"/>
              </w:rPr>
              <w:t>1.381:697.259</w:t>
            </w:r>
          </w:p>
        </w:tc>
        <w:tc>
          <w:tcPr>
            <w:tcW w:w="0" w:type="auto"/>
            <w:tcBorders>
              <w:left w:val="nil"/>
              <w:right w:val="nil"/>
            </w:tcBorders>
            <w:noWrap/>
            <w:tcMar>
              <w:top w:w="15" w:type="dxa"/>
              <w:left w:w="15" w:type="dxa"/>
              <w:bottom w:w="0" w:type="dxa"/>
              <w:right w:w="15" w:type="dxa"/>
            </w:tcMar>
            <w:vAlign w:val="bottom"/>
          </w:tcPr>
          <w:p w:rsidR="00154A98" w:rsidRDefault="00154A98" w:rsidP="00C54438">
            <w:pPr>
              <w:jc w:val="right"/>
              <w:rPr>
                <w:rFonts w:eastAsia="Arial Unicode MS" w:cs="Arial"/>
                <w:b/>
                <w:bCs/>
                <w:sz w:val="20"/>
                <w:szCs w:val="20"/>
              </w:rPr>
            </w:pPr>
            <w:r>
              <w:rPr>
                <w:rFonts w:eastAsia="Arial Unicode MS" w:cs="Arial"/>
                <w:b/>
                <w:bCs/>
                <w:sz w:val="20"/>
                <w:szCs w:val="20"/>
              </w:rPr>
              <w:t>1.377:705.481</w:t>
            </w:r>
          </w:p>
        </w:tc>
      </w:tr>
      <w:tr w:rsidR="00154A98">
        <w:trPr>
          <w:trHeight w:val="255"/>
          <w:jc w:val="center"/>
        </w:trPr>
        <w:tc>
          <w:tcPr>
            <w:tcW w:w="0" w:type="auto"/>
            <w:tcBorders>
              <w:top w:val="nil"/>
              <w:left w:val="nil"/>
              <w:bottom w:val="nil"/>
              <w:right w:val="nil"/>
            </w:tcBorders>
            <w:noWrap/>
            <w:tcMar>
              <w:top w:w="15" w:type="dxa"/>
              <w:left w:w="15" w:type="dxa"/>
              <w:bottom w:w="0" w:type="dxa"/>
              <w:right w:w="15" w:type="dxa"/>
            </w:tcMar>
            <w:vAlign w:val="bottom"/>
          </w:tcPr>
          <w:p w:rsidR="00154A98" w:rsidRDefault="00154A98">
            <w:pPr>
              <w:jc w:val="center"/>
              <w:rPr>
                <w:rFonts w:cs="Arial"/>
                <w:b/>
                <w:bCs/>
                <w:sz w:val="20"/>
                <w:szCs w:val="20"/>
              </w:rPr>
            </w:pPr>
          </w:p>
        </w:tc>
        <w:tc>
          <w:tcPr>
            <w:tcW w:w="0" w:type="auto"/>
            <w:tcBorders>
              <w:left w:val="nil"/>
              <w:bottom w:val="nil"/>
              <w:right w:val="nil"/>
            </w:tcBorders>
            <w:noWrap/>
            <w:tcMar>
              <w:top w:w="15" w:type="dxa"/>
              <w:left w:w="15" w:type="dxa"/>
              <w:bottom w:w="0" w:type="dxa"/>
              <w:right w:w="15" w:type="dxa"/>
            </w:tcMar>
            <w:vAlign w:val="bottom"/>
          </w:tcPr>
          <w:p w:rsidR="00154A98" w:rsidRDefault="00154A98">
            <w:pPr>
              <w:jc w:val="right"/>
              <w:rPr>
                <w:rFonts w:eastAsia="Arial Unicode MS" w:cs="Arial"/>
                <w:b/>
                <w:bCs/>
                <w:sz w:val="20"/>
                <w:szCs w:val="20"/>
              </w:rPr>
            </w:pPr>
          </w:p>
        </w:tc>
        <w:tc>
          <w:tcPr>
            <w:tcW w:w="0" w:type="auto"/>
            <w:tcBorders>
              <w:left w:val="nil"/>
              <w:bottom w:val="nil"/>
              <w:right w:val="nil"/>
            </w:tcBorders>
            <w:noWrap/>
            <w:tcMar>
              <w:top w:w="15" w:type="dxa"/>
              <w:left w:w="15" w:type="dxa"/>
              <w:bottom w:w="0" w:type="dxa"/>
              <w:right w:w="15" w:type="dxa"/>
            </w:tcMar>
            <w:vAlign w:val="bottom"/>
          </w:tcPr>
          <w:p w:rsidR="00154A98" w:rsidRDefault="00154A98">
            <w:pPr>
              <w:jc w:val="right"/>
              <w:rPr>
                <w:rFonts w:eastAsia="Arial Unicode MS" w:cs="Arial"/>
                <w:b/>
                <w:bCs/>
                <w:sz w:val="20"/>
                <w:szCs w:val="20"/>
              </w:rPr>
            </w:pPr>
          </w:p>
        </w:tc>
        <w:tc>
          <w:tcPr>
            <w:tcW w:w="0" w:type="auto"/>
            <w:tcBorders>
              <w:left w:val="nil"/>
              <w:bottom w:val="nil"/>
              <w:right w:val="nil"/>
            </w:tcBorders>
            <w:noWrap/>
            <w:tcMar>
              <w:top w:w="15" w:type="dxa"/>
              <w:left w:w="15" w:type="dxa"/>
              <w:bottom w:w="0" w:type="dxa"/>
              <w:right w:w="15" w:type="dxa"/>
            </w:tcMar>
            <w:vAlign w:val="bottom"/>
          </w:tcPr>
          <w:p w:rsidR="00154A98" w:rsidRDefault="00154A98">
            <w:pPr>
              <w:jc w:val="right"/>
              <w:rPr>
                <w:rFonts w:eastAsia="Arial Unicode MS" w:cs="Arial"/>
                <w:b/>
                <w:bCs/>
                <w:sz w:val="20"/>
                <w:szCs w:val="20"/>
              </w:rPr>
            </w:pPr>
          </w:p>
        </w:tc>
        <w:tc>
          <w:tcPr>
            <w:tcW w:w="0" w:type="auto"/>
            <w:tcBorders>
              <w:left w:val="nil"/>
              <w:bottom w:val="nil"/>
              <w:right w:val="nil"/>
            </w:tcBorders>
            <w:noWrap/>
            <w:tcMar>
              <w:top w:w="15" w:type="dxa"/>
              <w:left w:w="15" w:type="dxa"/>
              <w:bottom w:w="0" w:type="dxa"/>
              <w:right w:w="15" w:type="dxa"/>
            </w:tcMar>
            <w:vAlign w:val="bottom"/>
          </w:tcPr>
          <w:p w:rsidR="00154A98" w:rsidRDefault="00154A98">
            <w:pPr>
              <w:jc w:val="right"/>
              <w:rPr>
                <w:rFonts w:eastAsia="Arial Unicode MS" w:cs="Arial"/>
                <w:b/>
                <w:bCs/>
                <w:sz w:val="20"/>
                <w:szCs w:val="20"/>
              </w:rPr>
            </w:pPr>
          </w:p>
        </w:tc>
        <w:tc>
          <w:tcPr>
            <w:tcW w:w="0" w:type="auto"/>
            <w:tcBorders>
              <w:left w:val="nil"/>
              <w:bottom w:val="nil"/>
              <w:right w:val="nil"/>
            </w:tcBorders>
            <w:noWrap/>
            <w:tcMar>
              <w:top w:w="15" w:type="dxa"/>
              <w:left w:w="15" w:type="dxa"/>
              <w:bottom w:w="0" w:type="dxa"/>
              <w:right w:w="15" w:type="dxa"/>
            </w:tcMar>
            <w:vAlign w:val="bottom"/>
          </w:tcPr>
          <w:p w:rsidR="00154A98" w:rsidRDefault="00154A98">
            <w:pPr>
              <w:jc w:val="right"/>
              <w:rPr>
                <w:rFonts w:eastAsia="Arial Unicode MS" w:cs="Arial"/>
                <w:b/>
                <w:bCs/>
                <w:sz w:val="20"/>
                <w:szCs w:val="20"/>
              </w:rPr>
            </w:pPr>
          </w:p>
        </w:tc>
      </w:tr>
    </w:tbl>
    <w:p w:rsidR="00154A98" w:rsidRDefault="00154A98">
      <w:pPr>
        <w:pStyle w:val="Piedepgina"/>
        <w:widowControl w:val="0"/>
        <w:tabs>
          <w:tab w:val="clear" w:pos="4252"/>
          <w:tab w:val="clear" w:pos="8504"/>
        </w:tabs>
        <w:spacing w:line="360" w:lineRule="auto"/>
        <w:jc w:val="both"/>
        <w:rPr>
          <w:b/>
        </w:rPr>
      </w:pPr>
    </w:p>
    <w:p w:rsidR="00154A98" w:rsidRDefault="00154A98">
      <w:pPr>
        <w:pStyle w:val="Piedepgina"/>
        <w:widowControl w:val="0"/>
        <w:tabs>
          <w:tab w:val="clear" w:pos="4252"/>
          <w:tab w:val="clear" w:pos="8504"/>
        </w:tabs>
        <w:spacing w:line="360" w:lineRule="auto"/>
        <w:jc w:val="both"/>
      </w:pPr>
      <w:r>
        <w:t>Los créditos presupuestales establecidos para gastos de funcionamiento, inversiones, transferencias y amortización de deudas, están cuantificados a valores de diciembre de 2015.</w:t>
      </w:r>
    </w:p>
    <w:p w:rsidR="00154A98" w:rsidRDefault="00154A98">
      <w:pPr>
        <w:tabs>
          <w:tab w:val="left" w:pos="360"/>
        </w:tabs>
        <w:spacing w:line="360" w:lineRule="auto"/>
        <w:jc w:val="both"/>
        <w:rPr>
          <w:b/>
          <w:bCs/>
        </w:rPr>
      </w:pPr>
    </w:p>
    <w:p w:rsidR="00154A98" w:rsidRDefault="00154A98">
      <w:pPr>
        <w:tabs>
          <w:tab w:val="left" w:pos="360"/>
        </w:tabs>
        <w:spacing w:line="360" w:lineRule="auto"/>
        <w:jc w:val="both"/>
        <w:rPr>
          <w:b/>
          <w:bCs/>
        </w:rPr>
      </w:pPr>
    </w:p>
    <w:p w:rsidR="00154A98" w:rsidRDefault="00154A98">
      <w:pPr>
        <w:tabs>
          <w:tab w:val="left" w:pos="360"/>
        </w:tabs>
        <w:spacing w:line="360" w:lineRule="auto"/>
        <w:jc w:val="both"/>
        <w:rPr>
          <w:b/>
          <w:bCs/>
        </w:rPr>
      </w:pPr>
    </w:p>
    <w:p w:rsidR="00154A98" w:rsidRDefault="00154A98">
      <w:pPr>
        <w:tabs>
          <w:tab w:val="left" w:pos="360"/>
        </w:tabs>
        <w:spacing w:line="360" w:lineRule="auto"/>
        <w:jc w:val="both"/>
        <w:rPr>
          <w:rFonts w:cs="Arial"/>
          <w:b/>
          <w:bCs/>
        </w:rPr>
      </w:pPr>
      <w:r>
        <w:rPr>
          <w:b/>
          <w:bCs/>
        </w:rPr>
        <w:t>4) Cumplimiento de normas constitucionales, legales y reglamentarias</w:t>
      </w:r>
    </w:p>
    <w:p w:rsidR="00154A98" w:rsidRPr="00F4387F" w:rsidRDefault="00154A98">
      <w:pPr>
        <w:pStyle w:val="Sangradetextonormal"/>
        <w:ind w:firstLine="0"/>
        <w:rPr>
          <w:rFonts w:ascii="Arial" w:hAnsi="Arial" w:cs="Arial"/>
          <w:b/>
          <w:bCs/>
          <w:lang w:val="es-ES"/>
        </w:rPr>
      </w:pPr>
    </w:p>
    <w:p w:rsidR="00154A98" w:rsidRDefault="00154A98" w:rsidP="00C54438">
      <w:pPr>
        <w:spacing w:line="360" w:lineRule="auto"/>
        <w:jc w:val="both"/>
        <w:rPr>
          <w:rFonts w:cs="Arial"/>
        </w:rPr>
      </w:pPr>
      <w:r>
        <w:rPr>
          <w:rFonts w:cs="Arial"/>
          <w:b/>
        </w:rPr>
        <w:t xml:space="preserve">4.1) </w:t>
      </w:r>
      <w:r>
        <w:rPr>
          <w:rFonts w:cs="Arial"/>
        </w:rPr>
        <w:t>Se ha dado cumplimiento al plazo constitucional de que dispone este Tribunal para emitir su dictamen, (Artículos 225 Inciso 2º y 275 Numeral 3º de la Constitución de la República).</w:t>
      </w:r>
    </w:p>
    <w:p w:rsidR="00154A98" w:rsidRDefault="00154A98" w:rsidP="00C54438">
      <w:pPr>
        <w:spacing w:line="360" w:lineRule="auto"/>
        <w:jc w:val="both"/>
      </w:pPr>
    </w:p>
    <w:p w:rsidR="00154A98" w:rsidRDefault="00154A98" w:rsidP="00C54438">
      <w:pPr>
        <w:spacing w:line="360" w:lineRule="auto"/>
        <w:jc w:val="both"/>
        <w:rPr>
          <w:rFonts w:cs="Arial"/>
        </w:rPr>
      </w:pPr>
      <w:r>
        <w:rPr>
          <w:rFonts w:cs="Arial"/>
          <w:b/>
        </w:rPr>
        <w:t xml:space="preserve">4.2) </w:t>
      </w:r>
      <w:r>
        <w:rPr>
          <w:rFonts w:cs="Arial"/>
        </w:rPr>
        <w:t xml:space="preserve">El Artículo 15 del Presupuesto otorga una partida especial a funcionarios que desempeñen tareas en el medio rural del departamento por el valor de $110 por funcionario y por día, facultándose al Ejecutivo la reglamentación de dicha norma. La misma se destina “para solventar gastos adicionales de insumos para alimentación y aseo”, y se adiciona a los viáticos, no aclarándose si se deberá rendir cuentas respecto de la partida especial mencionada. Al implicar dicha norma una dotación, la misma debe estar regulada con claridad y en forma completa en el texto del Proyecto de Presupuesto, conforme a lo dispuesto por el </w:t>
      </w:r>
      <w:r w:rsidR="00C54438">
        <w:rPr>
          <w:rFonts w:cs="Arial"/>
        </w:rPr>
        <w:t>Artículo 86 de la Constitución.</w:t>
      </w:r>
    </w:p>
    <w:p w:rsidR="00154A98" w:rsidRDefault="00154A98" w:rsidP="00C54438">
      <w:pPr>
        <w:spacing w:line="360" w:lineRule="auto"/>
        <w:jc w:val="both"/>
      </w:pPr>
    </w:p>
    <w:p w:rsidR="00154A98" w:rsidRDefault="00154A98" w:rsidP="00C54438">
      <w:pPr>
        <w:spacing w:line="360" w:lineRule="auto"/>
        <w:jc w:val="both"/>
        <w:rPr>
          <w:rFonts w:cs="Arial"/>
        </w:rPr>
      </w:pPr>
      <w:r>
        <w:rPr>
          <w:rFonts w:cs="Arial"/>
          <w:b/>
        </w:rPr>
        <w:t xml:space="preserve">4.3) </w:t>
      </w:r>
      <w:r>
        <w:rPr>
          <w:rFonts w:cs="Arial"/>
        </w:rPr>
        <w:t>El Artículo 20 (cuyo acápite refiere entre otras a la Contribución Rural), en su Literal C) establece en un 1% la alícuota del impuesto de Contribución Inmobiliaria para zonas catastrales del interior del Departamento. La redacción proyectada podría abarcar contribución inmobiliaria rural, cuya potestad tributaria no recae en los Gobiernos Departamentales, al tr</w:t>
      </w:r>
      <w:r w:rsidR="00C54438">
        <w:rPr>
          <w:rFonts w:cs="Arial"/>
        </w:rPr>
        <w:t>atarse de un impuesto nacional.</w:t>
      </w:r>
    </w:p>
    <w:p w:rsidR="00154A98" w:rsidRDefault="00154A98" w:rsidP="00C54438">
      <w:pPr>
        <w:spacing w:line="360" w:lineRule="auto"/>
        <w:jc w:val="both"/>
      </w:pPr>
    </w:p>
    <w:p w:rsidR="00154A98" w:rsidRDefault="00154A98" w:rsidP="00C54438">
      <w:pPr>
        <w:spacing w:line="360" w:lineRule="auto"/>
        <w:jc w:val="both"/>
        <w:rPr>
          <w:rFonts w:cs="Arial"/>
        </w:rPr>
      </w:pPr>
      <w:r>
        <w:rPr>
          <w:rFonts w:cs="Arial"/>
          <w:b/>
        </w:rPr>
        <w:t xml:space="preserve">4.4) </w:t>
      </w:r>
      <w:r>
        <w:rPr>
          <w:rFonts w:cs="Arial"/>
        </w:rPr>
        <w:t>La tasa es aquel tributo cuyo presupuesto de hecho se caracteriza por una actividad jurídica específica del Estado hacia el contribuyente, su producto no puede tener un destino ajeno al servicio público correspondiente, y guardará una razonable equivalencia</w:t>
      </w:r>
      <w:r w:rsidR="00C54438">
        <w:rPr>
          <w:rFonts w:cs="Arial"/>
        </w:rPr>
        <w:t xml:space="preserve"> con las necesidades del mismo.</w:t>
      </w:r>
    </w:p>
    <w:p w:rsidR="00154A98" w:rsidRDefault="00154A98" w:rsidP="00C54438">
      <w:pPr>
        <w:spacing w:line="360" w:lineRule="auto"/>
        <w:jc w:val="both"/>
        <w:rPr>
          <w:rFonts w:cs="Arial"/>
        </w:rPr>
      </w:pPr>
      <w:r>
        <w:rPr>
          <w:rFonts w:cs="Arial"/>
        </w:rPr>
        <w:t>La Tasa de Higiene normada en el Artículo 21 del Proyecto no encuadra en dicho concepto, en tanto establece valores diferenciales según zonas, no guardando dicha variable, relación con el costo del servicio. Idéntica observación amerita los valores fijados para “diversos trámites” (Artículo 25), cuya variación se realiza en base a la zonificación, y no al costo de servicio y/o actividad des</w:t>
      </w:r>
      <w:r w:rsidR="00C54438">
        <w:rPr>
          <w:rFonts w:cs="Arial"/>
        </w:rPr>
        <w:t>empeñada por la administración.</w:t>
      </w:r>
    </w:p>
    <w:p w:rsidR="00154A98" w:rsidRDefault="00154A98" w:rsidP="00C54438">
      <w:pPr>
        <w:spacing w:line="360" w:lineRule="auto"/>
        <w:jc w:val="both"/>
        <w:rPr>
          <w:rFonts w:cs="Arial"/>
        </w:rPr>
      </w:pPr>
    </w:p>
    <w:p w:rsidR="00154A98" w:rsidRDefault="00154A98" w:rsidP="00C54438">
      <w:pPr>
        <w:spacing w:line="360" w:lineRule="auto"/>
        <w:jc w:val="both"/>
        <w:rPr>
          <w:rFonts w:cs="Arial"/>
        </w:rPr>
      </w:pPr>
      <w:r>
        <w:rPr>
          <w:rFonts w:cs="Arial"/>
          <w:b/>
        </w:rPr>
        <w:t xml:space="preserve">4.5) </w:t>
      </w:r>
      <w:r>
        <w:rPr>
          <w:rFonts w:cs="Arial"/>
        </w:rPr>
        <w:t>La eventual modificación de la Ordenanza Nº 116 que regula las contribuciones por mejoras implica una modificación de recursos que debe ser aprobada por la Junta Departamental, de conformidad con la Ordenanza Nº 62 de este Tribunal. Por lo tanto, no resulta de recibo la delegación realizada en el Artículo 26 del proyecto de presupuesto, facultando al Ejecutivo Comunal para ello.</w:t>
      </w:r>
    </w:p>
    <w:p w:rsidR="00154A98" w:rsidRDefault="00154A98" w:rsidP="00C54438">
      <w:pPr>
        <w:spacing w:line="360" w:lineRule="auto"/>
        <w:jc w:val="both"/>
      </w:pPr>
      <w:r>
        <w:rPr>
          <w:rFonts w:cs="Arial"/>
        </w:rPr>
        <w:t xml:space="preserve"> </w:t>
      </w:r>
    </w:p>
    <w:p w:rsidR="00154A98" w:rsidRDefault="00154A98" w:rsidP="00C54438">
      <w:pPr>
        <w:spacing w:line="360" w:lineRule="auto"/>
        <w:jc w:val="both"/>
        <w:rPr>
          <w:rFonts w:cs="Arial"/>
        </w:rPr>
      </w:pPr>
      <w:r>
        <w:rPr>
          <w:rFonts w:cs="Arial"/>
          <w:b/>
        </w:rPr>
        <w:t xml:space="preserve">4.6) </w:t>
      </w:r>
      <w:r>
        <w:rPr>
          <w:rFonts w:cs="Arial"/>
        </w:rPr>
        <w:t>La cancelación de adeudos mayores a dos años por contribución inmobiliaria (excepto rural),  mediante la modalidad de compensación de dicho tributo con servicios del alojamiento para estudiantes por parte de deudores con las características indicadas (Artículo 27), deberá tener presente lo establecido en el Artículo 25 del T.O.C.A.F., sobre sistemas de compensación de adeudos, que nunca pueden referir a créditos futuros.</w:t>
      </w:r>
    </w:p>
    <w:p w:rsidR="00154A98" w:rsidRDefault="00154A98" w:rsidP="00C54438">
      <w:pPr>
        <w:spacing w:line="360" w:lineRule="auto"/>
        <w:jc w:val="both"/>
      </w:pPr>
      <w:r>
        <w:rPr>
          <w:rFonts w:cs="Arial"/>
        </w:rPr>
        <w:t xml:space="preserve">  </w:t>
      </w:r>
    </w:p>
    <w:p w:rsidR="00154A98" w:rsidRDefault="00154A98" w:rsidP="00C54438">
      <w:pPr>
        <w:spacing w:line="360" w:lineRule="auto"/>
        <w:jc w:val="both"/>
        <w:rPr>
          <w:rFonts w:cs="Arial"/>
        </w:rPr>
      </w:pPr>
      <w:r>
        <w:rPr>
          <w:rFonts w:cs="Arial"/>
          <w:b/>
        </w:rPr>
        <w:t xml:space="preserve">4.7) </w:t>
      </w:r>
      <w:r>
        <w:rPr>
          <w:rFonts w:cs="Arial"/>
        </w:rPr>
        <w:t>La tasa creada en el Artículo 28,  se vincula a servicios potencialmente ajenos al sujeto pasivo del tributo, desnaturalizándose la misma y apartándose del concepto caracte</w:t>
      </w:r>
      <w:r w:rsidR="00C54438">
        <w:rPr>
          <w:rFonts w:cs="Arial"/>
        </w:rPr>
        <w:t>rístico de ese tipo de tributo.</w:t>
      </w:r>
    </w:p>
    <w:p w:rsidR="00154A98" w:rsidRDefault="00154A98" w:rsidP="00C54438">
      <w:pPr>
        <w:spacing w:line="360" w:lineRule="auto"/>
        <w:jc w:val="both"/>
      </w:pPr>
    </w:p>
    <w:p w:rsidR="00154A98" w:rsidRDefault="00154A98" w:rsidP="00C54438">
      <w:pPr>
        <w:spacing w:line="360" w:lineRule="auto"/>
        <w:jc w:val="both"/>
        <w:rPr>
          <w:rFonts w:cs="Arial"/>
        </w:rPr>
      </w:pPr>
      <w:r>
        <w:rPr>
          <w:rFonts w:cs="Arial"/>
          <w:b/>
        </w:rPr>
        <w:t xml:space="preserve">4.8) </w:t>
      </w:r>
      <w:r>
        <w:rPr>
          <w:rFonts w:cs="Arial"/>
        </w:rPr>
        <w:t>Respecto del Artículo 33, se deberá tener presente que alude a las Alcaldías, que es una figura no existente en nuestro derecho, debiendo la redacci</w:t>
      </w:r>
      <w:r w:rsidR="00C54438">
        <w:rPr>
          <w:rFonts w:cs="Arial"/>
        </w:rPr>
        <w:t>ón final aludir a “Municipios”.</w:t>
      </w:r>
    </w:p>
    <w:p w:rsidR="00154A98" w:rsidRDefault="00154A98" w:rsidP="00C54438">
      <w:pPr>
        <w:spacing w:line="360" w:lineRule="auto"/>
        <w:jc w:val="both"/>
      </w:pPr>
    </w:p>
    <w:p w:rsidR="00154A98" w:rsidRDefault="00154A98" w:rsidP="00C54438">
      <w:pPr>
        <w:spacing w:line="360" w:lineRule="auto"/>
        <w:jc w:val="both"/>
      </w:pPr>
      <w:r>
        <w:rPr>
          <w:rFonts w:cs="Arial"/>
          <w:b/>
        </w:rPr>
        <w:t xml:space="preserve">4.9) </w:t>
      </w:r>
      <w:r>
        <w:rPr>
          <w:rFonts w:cs="Arial"/>
        </w:rPr>
        <w:t>El Artículo 35 del Proyecto de Presupuesto, faculta al Ejecutivo Comunal a realizar inversiones que se detallan en forma genérica, condicionadas a eventuales financiaciones específicas que puedan disponerse, es decir, sin</w:t>
      </w:r>
      <w:r w:rsidR="00C54438">
        <w:rPr>
          <w:rFonts w:cs="Arial"/>
        </w:rPr>
        <w:t xml:space="preserve"> disponibilidad presupuestal.</w:t>
      </w:r>
    </w:p>
    <w:p w:rsidR="00154A98" w:rsidRDefault="00154A98" w:rsidP="00C54438">
      <w:pPr>
        <w:spacing w:line="360" w:lineRule="auto"/>
        <w:jc w:val="both"/>
        <w:rPr>
          <w:rFonts w:cs="Arial"/>
          <w:b/>
        </w:rPr>
      </w:pPr>
      <w:r>
        <w:rPr>
          <w:rFonts w:cs="Arial"/>
          <w:b/>
        </w:rPr>
        <w:t>4.10)</w:t>
      </w:r>
      <w:r>
        <w:rPr>
          <w:rFonts w:cs="Arial"/>
        </w:rPr>
        <w:t xml:space="preserve"> La Junta Departamental no aprobó el Artículo 12º remitido por el Ejecutivo Departamental, pero omitió reflejar dicho cambio en un nuevo planillado actualizado, om</w:t>
      </w:r>
      <w:r w:rsidR="00C54438">
        <w:rPr>
          <w:rFonts w:cs="Arial"/>
        </w:rPr>
        <w:t>isión que deberá ser subsanada.</w:t>
      </w:r>
    </w:p>
    <w:p w:rsidR="00154A98" w:rsidRDefault="00154A98">
      <w:pPr>
        <w:spacing w:line="360" w:lineRule="auto"/>
        <w:jc w:val="both"/>
        <w:rPr>
          <w:rFonts w:cs="Arial"/>
          <w:b/>
        </w:rPr>
      </w:pPr>
    </w:p>
    <w:p w:rsidR="00154A98" w:rsidRDefault="00C54438">
      <w:pPr>
        <w:spacing w:line="360" w:lineRule="auto"/>
        <w:jc w:val="both"/>
        <w:rPr>
          <w:rFonts w:cs="Arial"/>
        </w:rPr>
      </w:pPr>
      <w:r>
        <w:rPr>
          <w:rFonts w:cs="Arial"/>
          <w:b/>
        </w:rPr>
        <w:t>5) Opinión</w:t>
      </w:r>
    </w:p>
    <w:p w:rsidR="00154A98" w:rsidRDefault="00154A98">
      <w:pPr>
        <w:pStyle w:val="Textoindependiente2"/>
        <w:rPr>
          <w:rFonts w:ascii="Arial" w:hAnsi="Arial" w:cs="Arial"/>
        </w:rPr>
      </w:pPr>
      <w:r>
        <w:rPr>
          <w:rFonts w:ascii="Arial" w:hAnsi="Arial" w:cs="Arial"/>
        </w:rPr>
        <w:t xml:space="preserve">En opinión del Tribunal de Cuentas, el proyecto de Presupuesto Quinquenal de la Intendencia de Rivera para el período 2016-2020 ha sido preparado en forma razonable, de acuerdo con los supuestos efectuados por el Organismo y se presenta de conformidad con las disposiciones constitucionales, legales y reglamentarias vigentes, excepto por lo establecido en los párrafos </w:t>
      </w:r>
      <w:r w:rsidRPr="00BB1A57">
        <w:rPr>
          <w:rFonts w:ascii="Arial" w:hAnsi="Arial" w:cs="Arial"/>
        </w:rPr>
        <w:t>4.2), 4.3), 4.4), 4.5), 4.7) y 4.9)</w:t>
      </w:r>
      <w:r w:rsidR="00C54438">
        <w:rPr>
          <w:rFonts w:ascii="Arial" w:hAnsi="Arial" w:cs="Arial"/>
        </w:rPr>
        <w:t>.</w:t>
      </w:r>
    </w:p>
    <w:p w:rsidR="00154A98" w:rsidRPr="00C54438" w:rsidRDefault="00154A98" w:rsidP="00C54438">
      <w:pPr>
        <w:pStyle w:val="Textoindependiente2"/>
        <w:jc w:val="right"/>
        <w:rPr>
          <w:rFonts w:ascii="Arial" w:hAnsi="Arial" w:cs="Arial"/>
        </w:rPr>
      </w:pPr>
      <w:r>
        <w:rPr>
          <w:rFonts w:ascii="Arial" w:hAnsi="Arial" w:cs="Arial"/>
        </w:rPr>
        <w:t xml:space="preserve"> </w:t>
      </w:r>
      <w:r w:rsidRPr="00C54438">
        <w:rPr>
          <w:rFonts w:ascii="Arial" w:hAnsi="Arial" w:cs="Arial"/>
        </w:rPr>
        <w:t>Montevideo, 26 de febrero de 2016</w:t>
      </w:r>
    </w:p>
    <w:p w:rsidR="00154A98" w:rsidRDefault="00154A98" w:rsidP="00C54438">
      <w:pPr>
        <w:jc w:val="right"/>
      </w:pPr>
    </w:p>
    <w:p w:rsidR="00154A98" w:rsidRDefault="00154A98" w:rsidP="00C54438">
      <w:pPr>
        <w:jc w:val="right"/>
      </w:pPr>
    </w:p>
    <w:p w:rsidR="00154A98" w:rsidRDefault="00154A98" w:rsidP="00C54438">
      <w:pPr>
        <w:jc w:val="right"/>
      </w:pPr>
    </w:p>
    <w:p w:rsidR="00154A98" w:rsidRDefault="00154A98" w:rsidP="00C54438">
      <w:pPr>
        <w:jc w:val="right"/>
      </w:pPr>
    </w:p>
    <w:p w:rsidR="00154A98" w:rsidRPr="00154A98" w:rsidRDefault="00154A98" w:rsidP="00154A98">
      <w:proofErr w:type="spellStart"/>
      <w:proofErr w:type="gramStart"/>
      <w:r>
        <w:t>bf</w:t>
      </w:r>
      <w:proofErr w:type="spellEnd"/>
      <w:proofErr w:type="gramEnd"/>
    </w:p>
    <w:sectPr w:rsidR="00154A98" w:rsidRPr="00154A98" w:rsidSect="00BE4F41">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166E9"/>
    <w:multiLevelType w:val="hybridMultilevel"/>
    <w:tmpl w:val="490C9EC8"/>
    <w:lvl w:ilvl="0" w:tplc="0CCC6C6E">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46A"/>
    <w:rsid w:val="00154A98"/>
    <w:rsid w:val="00376BA7"/>
    <w:rsid w:val="00394DFF"/>
    <w:rsid w:val="0066738B"/>
    <w:rsid w:val="00726A23"/>
    <w:rsid w:val="0076246A"/>
    <w:rsid w:val="00AB4AB5"/>
    <w:rsid w:val="00AF7D40"/>
    <w:rsid w:val="00BE4F41"/>
    <w:rsid w:val="00C54438"/>
    <w:rsid w:val="00C556D7"/>
    <w:rsid w:val="00D528F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46A"/>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154A98"/>
    <w:pPr>
      <w:keepNext/>
      <w:jc w:val="center"/>
      <w:outlineLvl w:val="0"/>
    </w:pPr>
    <w:rPr>
      <w:b/>
    </w:rPr>
  </w:style>
  <w:style w:type="paragraph" w:styleId="Ttulo2">
    <w:name w:val="heading 2"/>
    <w:basedOn w:val="Normal"/>
    <w:next w:val="Normal"/>
    <w:link w:val="Ttulo2Car"/>
    <w:qFormat/>
    <w:rsid w:val="00154A98"/>
    <w:pPr>
      <w:keepNext/>
      <w:jc w:val="right"/>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76246A"/>
    <w:pPr>
      <w:spacing w:line="360" w:lineRule="auto"/>
      <w:jc w:val="both"/>
    </w:pPr>
  </w:style>
  <w:style w:type="character" w:customStyle="1" w:styleId="TextoindependienteCar">
    <w:name w:val="Texto independiente Car"/>
    <w:basedOn w:val="Fuentedeprrafopredeter"/>
    <w:link w:val="Textoindependiente"/>
    <w:semiHidden/>
    <w:rsid w:val="0076246A"/>
    <w:rPr>
      <w:rFonts w:ascii="Arial" w:eastAsia="Times New Roman" w:hAnsi="Arial" w:cs="Times New Roman"/>
      <w:sz w:val="24"/>
      <w:szCs w:val="24"/>
      <w:lang w:val="es-ES" w:eastAsia="es-ES"/>
    </w:rPr>
  </w:style>
  <w:style w:type="character" w:customStyle="1" w:styleId="Ttulo1Car">
    <w:name w:val="Título 1 Car"/>
    <w:basedOn w:val="Fuentedeprrafopredeter"/>
    <w:link w:val="Ttulo1"/>
    <w:rsid w:val="00154A98"/>
    <w:rPr>
      <w:rFonts w:ascii="Arial" w:eastAsia="Times New Roman" w:hAnsi="Arial" w:cs="Times New Roman"/>
      <w:b/>
      <w:sz w:val="24"/>
      <w:szCs w:val="24"/>
      <w:lang w:val="es-ES" w:eastAsia="es-ES"/>
    </w:rPr>
  </w:style>
  <w:style w:type="character" w:customStyle="1" w:styleId="Ttulo2Car">
    <w:name w:val="Título 2 Car"/>
    <w:basedOn w:val="Fuentedeprrafopredeter"/>
    <w:link w:val="Ttulo2"/>
    <w:rsid w:val="00154A98"/>
    <w:rPr>
      <w:rFonts w:ascii="Arial" w:eastAsia="Times New Roman" w:hAnsi="Arial" w:cs="Times New Roman"/>
      <w:b/>
      <w:sz w:val="24"/>
      <w:szCs w:val="24"/>
      <w:lang w:val="es-ES" w:eastAsia="es-ES"/>
    </w:rPr>
  </w:style>
  <w:style w:type="paragraph" w:styleId="Piedepgina">
    <w:name w:val="footer"/>
    <w:basedOn w:val="Normal"/>
    <w:link w:val="PiedepginaCar"/>
    <w:semiHidden/>
    <w:rsid w:val="00154A98"/>
    <w:pPr>
      <w:tabs>
        <w:tab w:val="center" w:pos="4252"/>
        <w:tab w:val="right" w:pos="8504"/>
      </w:tabs>
    </w:pPr>
  </w:style>
  <w:style w:type="character" w:customStyle="1" w:styleId="PiedepginaCar">
    <w:name w:val="Pie de página Car"/>
    <w:basedOn w:val="Fuentedeprrafopredeter"/>
    <w:link w:val="Piedepgina"/>
    <w:semiHidden/>
    <w:rsid w:val="00154A98"/>
    <w:rPr>
      <w:rFonts w:ascii="Arial" w:eastAsia="Times New Roman" w:hAnsi="Arial" w:cs="Times New Roman"/>
      <w:sz w:val="24"/>
      <w:szCs w:val="24"/>
      <w:lang w:val="es-ES" w:eastAsia="es-ES"/>
    </w:rPr>
  </w:style>
  <w:style w:type="paragraph" w:styleId="Sangradetextonormal">
    <w:name w:val="Body Text Indent"/>
    <w:basedOn w:val="Normal"/>
    <w:link w:val="SangradetextonormalCar"/>
    <w:semiHidden/>
    <w:rsid w:val="00154A98"/>
    <w:pPr>
      <w:widowControl w:val="0"/>
      <w:tabs>
        <w:tab w:val="left" w:pos="0"/>
      </w:tabs>
      <w:suppressAutoHyphens/>
      <w:spacing w:line="360" w:lineRule="auto"/>
      <w:ind w:firstLine="1134"/>
      <w:jc w:val="both"/>
    </w:pPr>
    <w:rPr>
      <w:rFonts w:ascii="Bookman Old Style" w:hAnsi="Bookman Old Style"/>
      <w:snapToGrid w:val="0"/>
      <w:spacing w:val="-3"/>
      <w:szCs w:val="20"/>
      <w:lang w:val="es-ES_tradnl"/>
    </w:rPr>
  </w:style>
  <w:style w:type="character" w:customStyle="1" w:styleId="SangradetextonormalCar">
    <w:name w:val="Sangría de texto normal Car"/>
    <w:basedOn w:val="Fuentedeprrafopredeter"/>
    <w:link w:val="Sangradetextonormal"/>
    <w:semiHidden/>
    <w:rsid w:val="00154A98"/>
    <w:rPr>
      <w:rFonts w:ascii="Bookman Old Style" w:eastAsia="Times New Roman" w:hAnsi="Bookman Old Style" w:cs="Times New Roman"/>
      <w:snapToGrid w:val="0"/>
      <w:spacing w:val="-3"/>
      <w:sz w:val="24"/>
      <w:szCs w:val="20"/>
      <w:lang w:val="es-ES_tradnl" w:eastAsia="es-ES"/>
    </w:rPr>
  </w:style>
  <w:style w:type="paragraph" w:styleId="Textoindependiente2">
    <w:name w:val="Body Text 2"/>
    <w:basedOn w:val="Normal"/>
    <w:link w:val="Textoindependiente2Car"/>
    <w:semiHidden/>
    <w:rsid w:val="00154A98"/>
    <w:pPr>
      <w:widowControl w:val="0"/>
      <w:tabs>
        <w:tab w:val="left" w:pos="0"/>
      </w:tabs>
      <w:suppressAutoHyphens/>
      <w:spacing w:line="360" w:lineRule="auto"/>
      <w:jc w:val="both"/>
    </w:pPr>
    <w:rPr>
      <w:rFonts w:ascii="Bookman Old Style" w:hAnsi="Bookman Old Style"/>
      <w:snapToGrid w:val="0"/>
      <w:spacing w:val="-3"/>
      <w:szCs w:val="20"/>
      <w:lang w:val="es-ES_tradnl"/>
    </w:rPr>
  </w:style>
  <w:style w:type="character" w:customStyle="1" w:styleId="Textoindependiente2Car">
    <w:name w:val="Texto independiente 2 Car"/>
    <w:basedOn w:val="Fuentedeprrafopredeter"/>
    <w:link w:val="Textoindependiente2"/>
    <w:semiHidden/>
    <w:rsid w:val="00154A98"/>
    <w:rPr>
      <w:rFonts w:ascii="Bookman Old Style" w:eastAsia="Times New Roman" w:hAnsi="Bookman Old Style" w:cs="Times New Roman"/>
      <w:snapToGrid w:val="0"/>
      <w:spacing w:val="-3"/>
      <w:sz w:val="24"/>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46A"/>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154A98"/>
    <w:pPr>
      <w:keepNext/>
      <w:jc w:val="center"/>
      <w:outlineLvl w:val="0"/>
    </w:pPr>
    <w:rPr>
      <w:b/>
    </w:rPr>
  </w:style>
  <w:style w:type="paragraph" w:styleId="Ttulo2">
    <w:name w:val="heading 2"/>
    <w:basedOn w:val="Normal"/>
    <w:next w:val="Normal"/>
    <w:link w:val="Ttulo2Car"/>
    <w:qFormat/>
    <w:rsid w:val="00154A98"/>
    <w:pPr>
      <w:keepNext/>
      <w:jc w:val="right"/>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76246A"/>
    <w:pPr>
      <w:spacing w:line="360" w:lineRule="auto"/>
      <w:jc w:val="both"/>
    </w:pPr>
  </w:style>
  <w:style w:type="character" w:customStyle="1" w:styleId="TextoindependienteCar">
    <w:name w:val="Texto independiente Car"/>
    <w:basedOn w:val="Fuentedeprrafopredeter"/>
    <w:link w:val="Textoindependiente"/>
    <w:semiHidden/>
    <w:rsid w:val="0076246A"/>
    <w:rPr>
      <w:rFonts w:ascii="Arial" w:eastAsia="Times New Roman" w:hAnsi="Arial" w:cs="Times New Roman"/>
      <w:sz w:val="24"/>
      <w:szCs w:val="24"/>
      <w:lang w:val="es-ES" w:eastAsia="es-ES"/>
    </w:rPr>
  </w:style>
  <w:style w:type="character" w:customStyle="1" w:styleId="Ttulo1Car">
    <w:name w:val="Título 1 Car"/>
    <w:basedOn w:val="Fuentedeprrafopredeter"/>
    <w:link w:val="Ttulo1"/>
    <w:rsid w:val="00154A98"/>
    <w:rPr>
      <w:rFonts w:ascii="Arial" w:eastAsia="Times New Roman" w:hAnsi="Arial" w:cs="Times New Roman"/>
      <w:b/>
      <w:sz w:val="24"/>
      <w:szCs w:val="24"/>
      <w:lang w:val="es-ES" w:eastAsia="es-ES"/>
    </w:rPr>
  </w:style>
  <w:style w:type="character" w:customStyle="1" w:styleId="Ttulo2Car">
    <w:name w:val="Título 2 Car"/>
    <w:basedOn w:val="Fuentedeprrafopredeter"/>
    <w:link w:val="Ttulo2"/>
    <w:rsid w:val="00154A98"/>
    <w:rPr>
      <w:rFonts w:ascii="Arial" w:eastAsia="Times New Roman" w:hAnsi="Arial" w:cs="Times New Roman"/>
      <w:b/>
      <w:sz w:val="24"/>
      <w:szCs w:val="24"/>
      <w:lang w:val="es-ES" w:eastAsia="es-ES"/>
    </w:rPr>
  </w:style>
  <w:style w:type="paragraph" w:styleId="Piedepgina">
    <w:name w:val="footer"/>
    <w:basedOn w:val="Normal"/>
    <w:link w:val="PiedepginaCar"/>
    <w:semiHidden/>
    <w:rsid w:val="00154A98"/>
    <w:pPr>
      <w:tabs>
        <w:tab w:val="center" w:pos="4252"/>
        <w:tab w:val="right" w:pos="8504"/>
      </w:tabs>
    </w:pPr>
  </w:style>
  <w:style w:type="character" w:customStyle="1" w:styleId="PiedepginaCar">
    <w:name w:val="Pie de página Car"/>
    <w:basedOn w:val="Fuentedeprrafopredeter"/>
    <w:link w:val="Piedepgina"/>
    <w:semiHidden/>
    <w:rsid w:val="00154A98"/>
    <w:rPr>
      <w:rFonts w:ascii="Arial" w:eastAsia="Times New Roman" w:hAnsi="Arial" w:cs="Times New Roman"/>
      <w:sz w:val="24"/>
      <w:szCs w:val="24"/>
      <w:lang w:val="es-ES" w:eastAsia="es-ES"/>
    </w:rPr>
  </w:style>
  <w:style w:type="paragraph" w:styleId="Sangradetextonormal">
    <w:name w:val="Body Text Indent"/>
    <w:basedOn w:val="Normal"/>
    <w:link w:val="SangradetextonormalCar"/>
    <w:semiHidden/>
    <w:rsid w:val="00154A98"/>
    <w:pPr>
      <w:widowControl w:val="0"/>
      <w:tabs>
        <w:tab w:val="left" w:pos="0"/>
      </w:tabs>
      <w:suppressAutoHyphens/>
      <w:spacing w:line="360" w:lineRule="auto"/>
      <w:ind w:firstLine="1134"/>
      <w:jc w:val="both"/>
    </w:pPr>
    <w:rPr>
      <w:rFonts w:ascii="Bookman Old Style" w:hAnsi="Bookman Old Style"/>
      <w:snapToGrid w:val="0"/>
      <w:spacing w:val="-3"/>
      <w:szCs w:val="20"/>
      <w:lang w:val="es-ES_tradnl"/>
    </w:rPr>
  </w:style>
  <w:style w:type="character" w:customStyle="1" w:styleId="SangradetextonormalCar">
    <w:name w:val="Sangría de texto normal Car"/>
    <w:basedOn w:val="Fuentedeprrafopredeter"/>
    <w:link w:val="Sangradetextonormal"/>
    <w:semiHidden/>
    <w:rsid w:val="00154A98"/>
    <w:rPr>
      <w:rFonts w:ascii="Bookman Old Style" w:eastAsia="Times New Roman" w:hAnsi="Bookman Old Style" w:cs="Times New Roman"/>
      <w:snapToGrid w:val="0"/>
      <w:spacing w:val="-3"/>
      <w:sz w:val="24"/>
      <w:szCs w:val="20"/>
      <w:lang w:val="es-ES_tradnl" w:eastAsia="es-ES"/>
    </w:rPr>
  </w:style>
  <w:style w:type="paragraph" w:styleId="Textoindependiente2">
    <w:name w:val="Body Text 2"/>
    <w:basedOn w:val="Normal"/>
    <w:link w:val="Textoindependiente2Car"/>
    <w:semiHidden/>
    <w:rsid w:val="00154A98"/>
    <w:pPr>
      <w:widowControl w:val="0"/>
      <w:tabs>
        <w:tab w:val="left" w:pos="0"/>
      </w:tabs>
      <w:suppressAutoHyphens/>
      <w:spacing w:line="360" w:lineRule="auto"/>
      <w:jc w:val="both"/>
    </w:pPr>
    <w:rPr>
      <w:rFonts w:ascii="Bookman Old Style" w:hAnsi="Bookman Old Style"/>
      <w:snapToGrid w:val="0"/>
      <w:spacing w:val="-3"/>
      <w:szCs w:val="20"/>
      <w:lang w:val="es-ES_tradnl"/>
    </w:rPr>
  </w:style>
  <w:style w:type="character" w:customStyle="1" w:styleId="Textoindependiente2Car">
    <w:name w:val="Texto independiente 2 Car"/>
    <w:basedOn w:val="Fuentedeprrafopredeter"/>
    <w:link w:val="Textoindependiente2"/>
    <w:semiHidden/>
    <w:rsid w:val="00154A98"/>
    <w:rPr>
      <w:rFonts w:ascii="Bookman Old Style" w:eastAsia="Times New Roman" w:hAnsi="Bookman Old Style" w:cs="Times New Roman"/>
      <w:snapToGrid w:val="0"/>
      <w:spacing w:val="-3"/>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1609</Words>
  <Characters>8855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Caredio</dc:creator>
  <cp:lastModifiedBy> </cp:lastModifiedBy>
  <cp:revision>4</cp:revision>
  <dcterms:created xsi:type="dcterms:W3CDTF">2016-03-11T13:34:00Z</dcterms:created>
  <dcterms:modified xsi:type="dcterms:W3CDTF">2016-05-10T20:25:00Z</dcterms:modified>
</cp:coreProperties>
</file>