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25D" w:rsidRPr="00786EEB" w:rsidRDefault="00F1125D" w:rsidP="00E816BD">
      <w:pPr>
        <w:tabs>
          <w:tab w:val="center" w:pos="4253"/>
        </w:tabs>
        <w:suppressAutoHyphens/>
        <w:jc w:val="right"/>
        <w:rPr>
          <w:rFonts w:ascii="Arial" w:hAnsi="Arial" w:cs="Arial"/>
          <w:b/>
          <w:sz w:val="28"/>
          <w:szCs w:val="28"/>
          <w:lang w:val="es-ES_tradnl"/>
        </w:rPr>
      </w:pPr>
      <w:bookmarkStart w:id="0" w:name="_GoBack"/>
      <w:bookmarkEnd w:id="0"/>
      <w:r w:rsidRPr="00786EEB">
        <w:rPr>
          <w:rFonts w:ascii="Arial" w:hAnsi="Arial" w:cs="Arial"/>
          <w:b/>
          <w:sz w:val="28"/>
          <w:szCs w:val="28"/>
          <w:lang w:val="es-ES_tradnl"/>
        </w:rPr>
        <w:t xml:space="preserve">RES. </w:t>
      </w:r>
      <w:r>
        <w:rPr>
          <w:rFonts w:ascii="Arial" w:hAnsi="Arial" w:cs="Arial"/>
          <w:b/>
          <w:sz w:val="28"/>
          <w:szCs w:val="28"/>
          <w:lang w:val="es-ES_tradnl"/>
        </w:rPr>
        <w:t>938</w:t>
      </w:r>
      <w:r w:rsidRPr="00786EEB">
        <w:rPr>
          <w:rFonts w:ascii="Arial" w:hAnsi="Arial" w:cs="Arial"/>
          <w:b/>
          <w:sz w:val="28"/>
          <w:szCs w:val="28"/>
          <w:lang w:val="es-ES_tradnl"/>
        </w:rPr>
        <w:t>/16</w:t>
      </w:r>
    </w:p>
    <w:p w:rsidR="00F1125D" w:rsidRDefault="00F1125D" w:rsidP="00786EEB">
      <w:pPr>
        <w:tabs>
          <w:tab w:val="center" w:pos="4253"/>
        </w:tabs>
        <w:suppressAutoHyphens/>
        <w:jc w:val="right"/>
        <w:rPr>
          <w:rFonts w:ascii="Arial" w:hAnsi="Arial" w:cs="Arial"/>
          <w:b/>
          <w:lang w:val="es-ES_tradnl"/>
        </w:rPr>
      </w:pPr>
    </w:p>
    <w:p w:rsidR="00F1125D" w:rsidRPr="00F1125D" w:rsidRDefault="00F1125D" w:rsidP="00F1125D">
      <w:pPr>
        <w:tabs>
          <w:tab w:val="center" w:pos="4253"/>
        </w:tabs>
        <w:suppressAutoHyphens/>
        <w:jc w:val="center"/>
        <w:rPr>
          <w:rFonts w:ascii="Arial" w:hAnsi="Arial" w:cs="Arial"/>
          <w:b/>
          <w:lang w:val="es-ES_tradnl"/>
        </w:rPr>
      </w:pPr>
      <w:r w:rsidRPr="00F1125D">
        <w:rPr>
          <w:rFonts w:ascii="Arial" w:hAnsi="Arial" w:cs="Arial"/>
          <w:b/>
          <w:lang w:val="es-ES_tradnl"/>
        </w:rPr>
        <w:t>RESOLUCION ADOPTADA POR EL</w:t>
      </w:r>
    </w:p>
    <w:p w:rsidR="00F1125D" w:rsidRPr="00F1125D" w:rsidRDefault="00F1125D" w:rsidP="00F1125D">
      <w:pPr>
        <w:tabs>
          <w:tab w:val="left" w:pos="-720"/>
        </w:tabs>
        <w:suppressAutoHyphens/>
        <w:jc w:val="center"/>
        <w:rPr>
          <w:rFonts w:ascii="Arial" w:hAnsi="Arial" w:cs="Arial"/>
          <w:b/>
          <w:lang w:val="es-ES_tradnl"/>
        </w:rPr>
      </w:pPr>
    </w:p>
    <w:p w:rsidR="00F1125D" w:rsidRPr="00F1125D" w:rsidRDefault="00F1125D" w:rsidP="00F1125D">
      <w:pPr>
        <w:tabs>
          <w:tab w:val="center" w:pos="4253"/>
        </w:tabs>
        <w:suppressAutoHyphens/>
        <w:jc w:val="center"/>
        <w:rPr>
          <w:rFonts w:ascii="Arial" w:hAnsi="Arial" w:cs="Arial"/>
          <w:b/>
          <w:lang w:val="es-ES_tradnl"/>
        </w:rPr>
      </w:pPr>
      <w:r w:rsidRPr="00F1125D">
        <w:rPr>
          <w:rFonts w:ascii="Arial" w:hAnsi="Arial" w:cs="Arial"/>
          <w:b/>
          <w:lang w:val="es-ES_tradnl"/>
        </w:rPr>
        <w:t>TRIBUNAL DE CUENTAS</w:t>
      </w:r>
    </w:p>
    <w:p w:rsidR="00F1125D" w:rsidRPr="00F1125D" w:rsidRDefault="00F1125D" w:rsidP="00F1125D">
      <w:pPr>
        <w:tabs>
          <w:tab w:val="left" w:pos="-720"/>
        </w:tabs>
        <w:suppressAutoHyphens/>
        <w:jc w:val="center"/>
        <w:rPr>
          <w:rFonts w:ascii="Arial" w:hAnsi="Arial" w:cs="Arial"/>
          <w:b/>
          <w:lang w:val="es-ES_tradnl"/>
        </w:rPr>
      </w:pPr>
    </w:p>
    <w:p w:rsidR="00F1125D" w:rsidRPr="00F1125D" w:rsidRDefault="00F1125D" w:rsidP="00F1125D">
      <w:pPr>
        <w:tabs>
          <w:tab w:val="center" w:pos="4253"/>
        </w:tabs>
        <w:suppressAutoHyphens/>
        <w:jc w:val="center"/>
        <w:rPr>
          <w:rFonts w:ascii="Arial" w:hAnsi="Arial" w:cs="Arial"/>
          <w:b/>
          <w:lang w:val="es-ES_tradnl"/>
        </w:rPr>
      </w:pPr>
      <w:r w:rsidRPr="00F1125D">
        <w:rPr>
          <w:rFonts w:ascii="Arial" w:hAnsi="Arial" w:cs="Arial"/>
          <w:b/>
          <w:lang w:val="es-ES_tradnl"/>
        </w:rPr>
        <w:t>EN SESION DE FECHA 30 DE MARZO DE 2016</w:t>
      </w:r>
    </w:p>
    <w:p w:rsidR="00F1125D" w:rsidRPr="00F1125D" w:rsidRDefault="00F1125D" w:rsidP="00F1125D">
      <w:pPr>
        <w:tabs>
          <w:tab w:val="center" w:pos="4253"/>
        </w:tabs>
        <w:suppressAutoHyphens/>
        <w:jc w:val="center"/>
        <w:rPr>
          <w:rFonts w:ascii="Arial" w:hAnsi="Arial" w:cs="Arial"/>
          <w:b/>
          <w:lang w:val="es-ES_tradnl"/>
        </w:rPr>
      </w:pPr>
    </w:p>
    <w:p w:rsidR="00F1125D" w:rsidRPr="00F1125D" w:rsidRDefault="00F1125D" w:rsidP="00F1125D">
      <w:pPr>
        <w:jc w:val="center"/>
        <w:rPr>
          <w:rFonts w:ascii="Arial" w:hAnsi="Arial" w:cs="Arial"/>
          <w:b/>
          <w:bCs/>
        </w:rPr>
      </w:pPr>
      <w:r w:rsidRPr="00395A7E">
        <w:rPr>
          <w:rFonts w:ascii="Arial" w:hAnsi="Arial" w:cs="Arial"/>
          <w:b/>
          <w:lang w:val="es-UY"/>
        </w:rPr>
        <w:t xml:space="preserve">(E. E. Nº </w:t>
      </w:r>
      <w:r w:rsidRPr="00F1125D">
        <w:rPr>
          <w:rFonts w:ascii="Arial" w:hAnsi="Arial" w:cs="Arial"/>
          <w:b/>
        </w:rPr>
        <w:t>2015-17-1-0007712</w:t>
      </w:r>
      <w:r w:rsidRPr="00395A7E">
        <w:rPr>
          <w:rFonts w:ascii="Arial" w:hAnsi="Arial" w:cs="Arial"/>
          <w:b/>
          <w:lang w:val="es-UY"/>
        </w:rPr>
        <w:t xml:space="preserve">, </w:t>
      </w:r>
      <w:proofErr w:type="spellStart"/>
      <w:r w:rsidRPr="00395A7E">
        <w:rPr>
          <w:rFonts w:ascii="Arial" w:hAnsi="Arial" w:cs="Arial"/>
          <w:b/>
          <w:lang w:val="es-UY"/>
        </w:rPr>
        <w:t>Ent</w:t>
      </w:r>
      <w:proofErr w:type="spellEnd"/>
      <w:r w:rsidRPr="00395A7E">
        <w:rPr>
          <w:rFonts w:ascii="Arial" w:hAnsi="Arial" w:cs="Arial"/>
          <w:b/>
          <w:lang w:val="es-UY"/>
        </w:rPr>
        <w:t>. N°</w:t>
      </w:r>
      <w:r w:rsidRPr="00F1125D">
        <w:rPr>
          <w:rFonts w:ascii="Arial" w:hAnsi="Arial" w:cs="Arial"/>
          <w:b/>
        </w:rPr>
        <w:t>1009/16</w:t>
      </w:r>
      <w:r w:rsidRPr="00395A7E">
        <w:rPr>
          <w:rFonts w:ascii="Arial" w:hAnsi="Arial" w:cs="Arial"/>
          <w:b/>
          <w:lang w:val="es-UY"/>
        </w:rPr>
        <w:t>)</w:t>
      </w:r>
    </w:p>
    <w:p w:rsidR="00F1125D" w:rsidRPr="00395A7E" w:rsidRDefault="00F1125D" w:rsidP="00F1125D">
      <w:pPr>
        <w:tabs>
          <w:tab w:val="center" w:pos="4253"/>
        </w:tabs>
        <w:suppressAutoHyphens/>
        <w:jc w:val="center"/>
        <w:rPr>
          <w:rFonts w:ascii="Arial" w:hAnsi="Arial" w:cs="Arial"/>
          <w:b/>
          <w:lang w:val="es-UY"/>
        </w:rPr>
      </w:pPr>
    </w:p>
    <w:p w:rsidR="004D31C3" w:rsidRDefault="004D31C3" w:rsidP="00F1125D">
      <w:pPr>
        <w:spacing w:line="360" w:lineRule="auto"/>
        <w:ind w:firstLine="851"/>
        <w:jc w:val="both"/>
        <w:rPr>
          <w:rFonts w:ascii="Arial" w:hAnsi="Arial" w:cs="Arial"/>
        </w:rPr>
      </w:pPr>
      <w:r>
        <w:rPr>
          <w:rFonts w:ascii="Arial" w:hAnsi="Arial" w:cs="Arial"/>
          <w:b/>
          <w:bCs/>
        </w:rPr>
        <w:t>VISTO:</w:t>
      </w:r>
      <w:r>
        <w:rPr>
          <w:rFonts w:ascii="Arial" w:hAnsi="Arial" w:cs="Arial"/>
        </w:rPr>
        <w:t xml:space="preserve"> las nuevas actuaciones remitidas por la Administración de las Obras Sanitarias del Estado, relacionadas con la reiteración del gasto derivado de la Licitación Pública N° 15.021, para la adquisición de soda cáustica líquida para la </w:t>
      </w:r>
      <w:r w:rsidR="00395A7E">
        <w:rPr>
          <w:rFonts w:ascii="Arial" w:hAnsi="Arial" w:cs="Arial"/>
        </w:rPr>
        <w:t>U</w:t>
      </w:r>
      <w:r>
        <w:rPr>
          <w:rFonts w:ascii="Arial" w:hAnsi="Arial" w:cs="Arial"/>
        </w:rPr>
        <w:t xml:space="preserve">sina de </w:t>
      </w:r>
      <w:r w:rsidR="00395A7E">
        <w:rPr>
          <w:rFonts w:ascii="Arial" w:hAnsi="Arial" w:cs="Arial"/>
        </w:rPr>
        <w:t>A</w:t>
      </w:r>
      <w:r>
        <w:rPr>
          <w:rFonts w:ascii="Arial" w:hAnsi="Arial" w:cs="Arial"/>
        </w:rPr>
        <w:t xml:space="preserve">guas </w:t>
      </w:r>
      <w:r w:rsidR="00395A7E">
        <w:rPr>
          <w:rFonts w:ascii="Arial" w:hAnsi="Arial" w:cs="Arial"/>
        </w:rPr>
        <w:t>C</w:t>
      </w:r>
      <w:r>
        <w:rPr>
          <w:rFonts w:ascii="Arial" w:hAnsi="Arial" w:cs="Arial"/>
        </w:rPr>
        <w:t>orrientes;</w:t>
      </w:r>
    </w:p>
    <w:p w:rsidR="00F1125D" w:rsidRDefault="004D31C3" w:rsidP="00F1125D">
      <w:pPr>
        <w:spacing w:line="360" w:lineRule="auto"/>
        <w:ind w:firstLine="851"/>
        <w:jc w:val="both"/>
        <w:rPr>
          <w:rFonts w:ascii="Arial" w:hAnsi="Arial" w:cs="Arial"/>
        </w:rPr>
      </w:pPr>
      <w:r>
        <w:rPr>
          <w:rFonts w:ascii="Arial" w:hAnsi="Arial" w:cs="Arial"/>
          <w:b/>
          <w:bCs/>
        </w:rPr>
        <w:t>RESULTANDO: 1)</w:t>
      </w:r>
      <w:r>
        <w:rPr>
          <w:rFonts w:ascii="Arial" w:hAnsi="Arial" w:cs="Arial"/>
        </w:rPr>
        <w:t xml:space="preserve"> que por Resolución Nº 729/15 de fecha 08</w:t>
      </w:r>
      <w:r w:rsidR="00395A7E">
        <w:rPr>
          <w:rFonts w:ascii="Arial" w:hAnsi="Arial" w:cs="Arial"/>
        </w:rPr>
        <w:t>/</w:t>
      </w:r>
      <w:r>
        <w:rPr>
          <w:rFonts w:ascii="Arial" w:hAnsi="Arial" w:cs="Arial"/>
        </w:rPr>
        <w:t>07</w:t>
      </w:r>
      <w:r w:rsidR="00395A7E">
        <w:rPr>
          <w:rFonts w:ascii="Arial" w:hAnsi="Arial" w:cs="Arial"/>
        </w:rPr>
        <w:t>/</w:t>
      </w:r>
      <w:r>
        <w:rPr>
          <w:rFonts w:ascii="Arial" w:hAnsi="Arial" w:cs="Arial"/>
        </w:rPr>
        <w:t xml:space="preserve">15 fue adjudicada la licitación de referencia a </w:t>
      </w:r>
      <w:proofErr w:type="spellStart"/>
      <w:r>
        <w:rPr>
          <w:rFonts w:ascii="Arial" w:hAnsi="Arial" w:cs="Arial"/>
        </w:rPr>
        <w:t>Efice</w:t>
      </w:r>
      <w:proofErr w:type="spellEnd"/>
      <w:r>
        <w:rPr>
          <w:rFonts w:ascii="Arial" w:hAnsi="Arial" w:cs="Arial"/>
        </w:rPr>
        <w:t xml:space="preserve"> S.A, autorizándose un crédito por la suma de U$S 1:867.500,00, más impuestos;</w:t>
      </w:r>
    </w:p>
    <w:p w:rsidR="004D31C3" w:rsidRDefault="004D31C3" w:rsidP="00F1125D">
      <w:pPr>
        <w:spacing w:line="360" w:lineRule="auto"/>
        <w:ind w:firstLine="2835"/>
        <w:jc w:val="both"/>
        <w:rPr>
          <w:rFonts w:ascii="Arial" w:hAnsi="Arial" w:cs="Arial"/>
        </w:rPr>
      </w:pPr>
      <w:r>
        <w:rPr>
          <w:rFonts w:ascii="Arial" w:hAnsi="Arial" w:cs="Arial"/>
          <w:b/>
          <w:bCs/>
        </w:rPr>
        <w:t>2)</w:t>
      </w:r>
      <w:r>
        <w:rPr>
          <w:rFonts w:ascii="Arial" w:hAnsi="Arial" w:cs="Arial"/>
        </w:rPr>
        <w:t xml:space="preserve"> que </w:t>
      </w:r>
      <w:r w:rsidR="00395A7E">
        <w:rPr>
          <w:rFonts w:ascii="Arial" w:hAnsi="Arial" w:cs="Arial"/>
        </w:rPr>
        <w:t xml:space="preserve">en </w:t>
      </w:r>
      <w:r>
        <w:rPr>
          <w:rFonts w:ascii="Arial" w:hAnsi="Arial" w:cs="Arial"/>
        </w:rPr>
        <w:t>Sesión de fecha 02</w:t>
      </w:r>
      <w:r w:rsidR="00395A7E">
        <w:rPr>
          <w:rFonts w:ascii="Arial" w:hAnsi="Arial" w:cs="Arial"/>
        </w:rPr>
        <w:t>/</w:t>
      </w:r>
      <w:r>
        <w:rPr>
          <w:rFonts w:ascii="Arial" w:hAnsi="Arial" w:cs="Arial"/>
        </w:rPr>
        <w:t>12</w:t>
      </w:r>
      <w:r w:rsidR="00395A7E">
        <w:rPr>
          <w:rFonts w:ascii="Arial" w:hAnsi="Arial" w:cs="Arial"/>
        </w:rPr>
        <w:t>/</w:t>
      </w:r>
      <w:r>
        <w:rPr>
          <w:rFonts w:ascii="Arial" w:hAnsi="Arial" w:cs="Arial"/>
        </w:rPr>
        <w:t>15 este Tribunal observó el gasto en razón  de que:</w:t>
      </w:r>
    </w:p>
    <w:p w:rsidR="004D31C3" w:rsidRDefault="004D31C3" w:rsidP="00F1125D">
      <w:pPr>
        <w:spacing w:line="360" w:lineRule="auto"/>
        <w:jc w:val="both"/>
        <w:rPr>
          <w:rFonts w:ascii="Arial" w:hAnsi="Arial" w:cs="Arial"/>
        </w:rPr>
      </w:pPr>
      <w:r>
        <w:rPr>
          <w:rFonts w:ascii="Arial" w:hAnsi="Arial" w:cs="Arial"/>
          <w:b/>
          <w:bCs/>
        </w:rPr>
        <w:t>2.1)</w:t>
      </w:r>
      <w:r>
        <w:rPr>
          <w:rFonts w:ascii="Arial" w:hAnsi="Arial" w:cs="Arial"/>
        </w:rPr>
        <w:t xml:space="preserve">  el  </w:t>
      </w:r>
      <w:r w:rsidR="00395A7E">
        <w:rPr>
          <w:rFonts w:ascii="Arial" w:hAnsi="Arial" w:cs="Arial"/>
        </w:rPr>
        <w:t>N</w:t>
      </w:r>
      <w:r>
        <w:rPr>
          <w:rFonts w:ascii="Arial" w:hAnsi="Arial" w:cs="Arial"/>
        </w:rPr>
        <w:t xml:space="preserve">umeral  6.3  Capítulo  III  del  Pliego  de Condiciones Particulares que rigió el  llamado establece que será documento integrante de la oferta el comprobante que acredite haber adquirido el mismo, lo que no se ajusta a lo dispuesto por el </w:t>
      </w:r>
      <w:r w:rsidR="00395A7E">
        <w:rPr>
          <w:rFonts w:ascii="Arial" w:hAnsi="Arial" w:cs="Arial"/>
        </w:rPr>
        <w:t>A</w:t>
      </w:r>
      <w:r>
        <w:rPr>
          <w:rFonts w:ascii="Arial" w:hAnsi="Arial" w:cs="Arial"/>
        </w:rPr>
        <w:t>rtículo 48 del TOCAF por cuanto la adquisición  del  Pliego  constituye  un  requisito  que  no  está  directamente vinculado a la consideración del objeto de la contratación y la evaluación de la oferta,  sino  que  únicamente  corresponde  exigirlo  al  oferente  que  resulte adjudicatario;</w:t>
      </w:r>
    </w:p>
    <w:p w:rsidR="004D31C3" w:rsidRDefault="004D31C3" w:rsidP="00F1125D">
      <w:pPr>
        <w:spacing w:line="360" w:lineRule="auto"/>
        <w:jc w:val="both"/>
        <w:rPr>
          <w:rFonts w:ascii="Arial" w:hAnsi="Arial" w:cs="Arial"/>
        </w:rPr>
      </w:pPr>
      <w:r>
        <w:rPr>
          <w:rFonts w:ascii="Arial" w:hAnsi="Arial" w:cs="Arial"/>
          <w:b/>
          <w:bCs/>
        </w:rPr>
        <w:t>2.2)</w:t>
      </w:r>
      <w:r>
        <w:rPr>
          <w:rFonts w:ascii="Arial" w:hAnsi="Arial" w:cs="Arial"/>
        </w:rPr>
        <w:t xml:space="preserve"> hubo un apartamiento sustancial de las bases del llamado ya que se incumplió con lo dispuesto por el </w:t>
      </w:r>
      <w:r w:rsidR="00395A7E">
        <w:rPr>
          <w:rFonts w:ascii="Arial" w:hAnsi="Arial" w:cs="Arial"/>
        </w:rPr>
        <w:t>N</w:t>
      </w:r>
      <w:r>
        <w:rPr>
          <w:rFonts w:ascii="Arial" w:hAnsi="Arial" w:cs="Arial"/>
        </w:rPr>
        <w:t xml:space="preserve">umeral 9.1 Capítulo II del  Pliego de Condiciones Particulares que requiere que las ofertas cumplan estrictamente con los requisitos allí establecidos. Los certificados requeridos en los </w:t>
      </w:r>
      <w:r w:rsidR="00395A7E">
        <w:rPr>
          <w:rFonts w:ascii="Arial" w:hAnsi="Arial" w:cs="Arial"/>
        </w:rPr>
        <w:t>N</w:t>
      </w:r>
      <w:r>
        <w:rPr>
          <w:rFonts w:ascii="Arial" w:hAnsi="Arial" w:cs="Arial"/>
        </w:rPr>
        <w:t xml:space="preserve">umerales 5.3 y 5.8 debieron ser presentados junto con la oferta, lo que no se cumplió, contraviniéndose el Capítulo III por cuanto el </w:t>
      </w:r>
      <w:r w:rsidR="00395A7E">
        <w:rPr>
          <w:rFonts w:ascii="Arial" w:hAnsi="Arial" w:cs="Arial"/>
        </w:rPr>
        <w:t>N</w:t>
      </w:r>
      <w:r>
        <w:rPr>
          <w:rFonts w:ascii="Arial" w:hAnsi="Arial" w:cs="Arial"/>
        </w:rPr>
        <w:t xml:space="preserve">umeral 6.1 establece que las propuestas deberán ceñirse a las condiciones y formas establecidas en el  Pliego  de  Condiciones  Particulares,  pudiéndose  agregar  cualquier </w:t>
      </w:r>
      <w:r>
        <w:rPr>
          <w:rFonts w:ascii="Arial" w:hAnsi="Arial" w:cs="Arial"/>
        </w:rPr>
        <w:lastRenderedPageBreak/>
        <w:t xml:space="preserve">información complementaria pero sin omitir las exigencias requeridas, así como también  el  6.3  </w:t>
      </w:r>
      <w:r w:rsidR="00395A7E">
        <w:rPr>
          <w:rFonts w:ascii="Arial" w:hAnsi="Arial" w:cs="Arial"/>
        </w:rPr>
        <w:t>C</w:t>
      </w:r>
      <w:r>
        <w:rPr>
          <w:rFonts w:ascii="Arial" w:hAnsi="Arial" w:cs="Arial"/>
        </w:rPr>
        <w:t xml:space="preserve">)  que  exige  como  documento  integrante  de  la  oferta  la presentación de los certificados requeridos en el Capítulo II. En consecuencia, la propuesta de </w:t>
      </w:r>
      <w:proofErr w:type="spellStart"/>
      <w:r>
        <w:rPr>
          <w:rFonts w:ascii="Arial" w:hAnsi="Arial" w:cs="Arial"/>
        </w:rPr>
        <w:t>Efice</w:t>
      </w:r>
      <w:proofErr w:type="spellEnd"/>
      <w:r>
        <w:rPr>
          <w:rFonts w:ascii="Arial" w:hAnsi="Arial" w:cs="Arial"/>
        </w:rPr>
        <w:t xml:space="preserve"> S.A. debió ser rechazada;</w:t>
      </w:r>
    </w:p>
    <w:p w:rsidR="004D31C3" w:rsidRDefault="004D31C3" w:rsidP="00F1125D">
      <w:pPr>
        <w:spacing w:line="360" w:lineRule="auto"/>
        <w:jc w:val="both"/>
        <w:rPr>
          <w:rFonts w:ascii="Arial" w:hAnsi="Arial" w:cs="Arial"/>
        </w:rPr>
      </w:pPr>
      <w:r>
        <w:rPr>
          <w:rFonts w:ascii="Arial" w:hAnsi="Arial" w:cs="Arial"/>
          <w:b/>
          <w:bCs/>
        </w:rPr>
        <w:t>2.3)</w:t>
      </w:r>
      <w:r>
        <w:rPr>
          <w:rFonts w:ascii="Arial" w:hAnsi="Arial" w:cs="Arial"/>
        </w:rPr>
        <w:t xml:space="preserve"> no debió otorgarse el  plazo de dos días hábiles a efectos de que </w:t>
      </w:r>
      <w:proofErr w:type="spellStart"/>
      <w:r>
        <w:rPr>
          <w:rFonts w:ascii="Arial" w:hAnsi="Arial" w:cs="Arial"/>
        </w:rPr>
        <w:t>Efice</w:t>
      </w:r>
      <w:proofErr w:type="spellEnd"/>
      <w:r>
        <w:rPr>
          <w:rFonts w:ascii="Arial" w:hAnsi="Arial" w:cs="Arial"/>
        </w:rPr>
        <w:t xml:space="preserve"> S.A. presentara el certificado requerido en el </w:t>
      </w:r>
      <w:r w:rsidR="00395A7E">
        <w:rPr>
          <w:rFonts w:ascii="Arial" w:hAnsi="Arial" w:cs="Arial"/>
        </w:rPr>
        <w:t>N</w:t>
      </w:r>
      <w:r>
        <w:rPr>
          <w:rFonts w:ascii="Arial" w:hAnsi="Arial" w:cs="Arial"/>
        </w:rPr>
        <w:t xml:space="preserve">umeral 5.8Capítulo  II  del  Pliego  de  Condiciones  Particulares,  pues  se  infringe  lo estipulado en el </w:t>
      </w:r>
      <w:r w:rsidR="00395A7E">
        <w:rPr>
          <w:rFonts w:ascii="Arial" w:hAnsi="Arial" w:cs="Arial"/>
        </w:rPr>
        <w:t>A</w:t>
      </w:r>
      <w:r>
        <w:rPr>
          <w:rFonts w:ascii="Arial" w:hAnsi="Arial" w:cs="Arial"/>
        </w:rPr>
        <w:t xml:space="preserve">rtículo 65 </w:t>
      </w:r>
      <w:r w:rsidR="00395A7E">
        <w:rPr>
          <w:rFonts w:ascii="Arial" w:hAnsi="Arial" w:cs="Arial"/>
        </w:rPr>
        <w:t>I</w:t>
      </w:r>
      <w:r>
        <w:rPr>
          <w:rFonts w:ascii="Arial" w:hAnsi="Arial" w:cs="Arial"/>
        </w:rPr>
        <w:t>nciso 7° del TOCAF, ya que su objeto responde a salvar  defectos,  carencias  formales  o  errores  evidentes  o  de  escasa importancia y la presentación del referido certificado de análisis es un requisito que debió cumplirse junto con la presentación de la oferta;</w:t>
      </w:r>
    </w:p>
    <w:p w:rsidR="004D31C3" w:rsidRDefault="004D31C3" w:rsidP="00F1125D">
      <w:pPr>
        <w:spacing w:line="360" w:lineRule="auto"/>
        <w:jc w:val="both"/>
        <w:rPr>
          <w:rFonts w:ascii="Arial" w:hAnsi="Arial" w:cs="Arial"/>
        </w:rPr>
      </w:pPr>
      <w:r>
        <w:rPr>
          <w:rFonts w:ascii="Arial" w:hAnsi="Arial" w:cs="Arial"/>
          <w:b/>
          <w:bCs/>
        </w:rPr>
        <w:t>2.4)</w:t>
      </w:r>
      <w:r>
        <w:rPr>
          <w:rFonts w:ascii="Arial" w:hAnsi="Arial" w:cs="Arial"/>
        </w:rPr>
        <w:t xml:space="preserve">  inclusive,  la  presentación  de  la  referida nota  con fecha 03</w:t>
      </w:r>
      <w:r w:rsidR="00395A7E">
        <w:rPr>
          <w:rFonts w:ascii="Arial" w:hAnsi="Arial" w:cs="Arial"/>
        </w:rPr>
        <w:t>/</w:t>
      </w:r>
      <w:r>
        <w:rPr>
          <w:rFonts w:ascii="Arial" w:hAnsi="Arial" w:cs="Arial"/>
        </w:rPr>
        <w:t>06</w:t>
      </w:r>
      <w:r w:rsidR="00395A7E">
        <w:rPr>
          <w:rFonts w:ascii="Arial" w:hAnsi="Arial" w:cs="Arial"/>
        </w:rPr>
        <w:t>/</w:t>
      </w:r>
      <w:r>
        <w:rPr>
          <w:rFonts w:ascii="Arial" w:hAnsi="Arial" w:cs="Arial"/>
        </w:rPr>
        <w:t xml:space="preserve">15, fue realizada fuera del plazo de dos días hábiles otorgado; </w:t>
      </w:r>
    </w:p>
    <w:p w:rsidR="004D31C3" w:rsidRDefault="004D31C3" w:rsidP="00F1125D">
      <w:pPr>
        <w:spacing w:line="360" w:lineRule="auto"/>
        <w:jc w:val="both"/>
        <w:rPr>
          <w:rFonts w:ascii="Arial" w:hAnsi="Arial" w:cs="Arial"/>
        </w:rPr>
      </w:pPr>
      <w:r>
        <w:rPr>
          <w:rFonts w:ascii="Arial" w:hAnsi="Arial" w:cs="Arial"/>
          <w:b/>
          <w:bCs/>
        </w:rPr>
        <w:t>2.5)</w:t>
      </w:r>
      <w:r>
        <w:rPr>
          <w:rFonts w:ascii="Arial" w:hAnsi="Arial" w:cs="Arial"/>
        </w:rPr>
        <w:t xml:space="preserve"> no surge de las actuaciones que </w:t>
      </w:r>
      <w:proofErr w:type="spellStart"/>
      <w:r>
        <w:rPr>
          <w:rFonts w:ascii="Arial" w:hAnsi="Arial" w:cs="Arial"/>
        </w:rPr>
        <w:t>Efice</w:t>
      </w:r>
      <w:proofErr w:type="spellEnd"/>
      <w:r>
        <w:rPr>
          <w:rFonts w:ascii="Arial" w:hAnsi="Arial" w:cs="Arial"/>
        </w:rPr>
        <w:t xml:space="preserve"> S.A. presentara junto con su propuesta la información correspondiente a sus antecedentes tal como lo preceptúa el </w:t>
      </w:r>
      <w:r w:rsidR="00395A7E">
        <w:rPr>
          <w:rFonts w:ascii="Arial" w:hAnsi="Arial" w:cs="Arial"/>
        </w:rPr>
        <w:t>N</w:t>
      </w:r>
      <w:r>
        <w:rPr>
          <w:rFonts w:ascii="Arial" w:hAnsi="Arial" w:cs="Arial"/>
        </w:rPr>
        <w:t xml:space="preserve">umeral 6.3 </w:t>
      </w:r>
      <w:r w:rsidR="00395A7E">
        <w:rPr>
          <w:rFonts w:ascii="Arial" w:hAnsi="Arial" w:cs="Arial"/>
        </w:rPr>
        <w:t>C</w:t>
      </w:r>
      <w:r>
        <w:rPr>
          <w:rFonts w:ascii="Arial" w:hAnsi="Arial" w:cs="Arial"/>
        </w:rPr>
        <w:t>) Capítulo III del Pliego de Condiciones Particulares;</w:t>
      </w:r>
    </w:p>
    <w:p w:rsidR="00DE04C1" w:rsidRDefault="004D31C3" w:rsidP="00F1125D">
      <w:pPr>
        <w:spacing w:line="360" w:lineRule="auto"/>
        <w:jc w:val="both"/>
        <w:rPr>
          <w:rFonts w:ascii="Arial" w:hAnsi="Arial" w:cs="Arial"/>
          <w:lang w:val="es-UY"/>
        </w:rPr>
      </w:pPr>
      <w:r>
        <w:rPr>
          <w:rFonts w:ascii="Arial" w:hAnsi="Arial" w:cs="Arial"/>
          <w:b/>
          <w:bCs/>
        </w:rPr>
        <w:t>2.6)</w:t>
      </w:r>
      <w:r>
        <w:rPr>
          <w:rFonts w:ascii="Arial" w:hAnsi="Arial" w:cs="Arial"/>
        </w:rPr>
        <w:t xml:space="preserve"> en consecuencia, se ha vulnerado el principio de concurrencia (</w:t>
      </w:r>
      <w:r w:rsidR="00395A7E">
        <w:rPr>
          <w:rFonts w:ascii="Arial" w:hAnsi="Arial" w:cs="Arial"/>
        </w:rPr>
        <w:t>A</w:t>
      </w:r>
      <w:r>
        <w:rPr>
          <w:rFonts w:ascii="Arial" w:hAnsi="Arial" w:cs="Arial"/>
        </w:rPr>
        <w:t xml:space="preserve">rtículo 149 </w:t>
      </w:r>
      <w:r w:rsidR="00395A7E">
        <w:rPr>
          <w:rFonts w:ascii="Arial" w:hAnsi="Arial" w:cs="Arial"/>
        </w:rPr>
        <w:t>L</w:t>
      </w:r>
      <w:r>
        <w:rPr>
          <w:rFonts w:ascii="Arial" w:hAnsi="Arial" w:cs="Arial"/>
        </w:rPr>
        <w:t>iteral  B</w:t>
      </w:r>
      <w:r w:rsidR="00395A7E">
        <w:rPr>
          <w:rFonts w:ascii="Arial" w:hAnsi="Arial" w:cs="Arial"/>
        </w:rPr>
        <w:t>)</w:t>
      </w:r>
      <w:r>
        <w:rPr>
          <w:rFonts w:ascii="Arial" w:hAnsi="Arial" w:cs="Arial"/>
        </w:rPr>
        <w:t xml:space="preserve">  del  TOCAF)  por  cuanto  otros  eventuales  oferentes  que  pudieron haberse presentado al llamado, no lo hicieron por no cumplir con los requisitos exigidos  en  el  Pliego  de  Condiciones  Particulares  y  sin  embargo pudieron haberlo  hecho  de  saber  que  tales  extremos  dejarían  de  ser  exigidos  con posterioridad a la presentación de las ofertas;</w:t>
      </w:r>
    </w:p>
    <w:p w:rsidR="004D31C3" w:rsidRPr="00DE04C1" w:rsidRDefault="004D31C3" w:rsidP="00DE04C1">
      <w:pPr>
        <w:spacing w:line="360" w:lineRule="auto"/>
        <w:ind w:firstLine="2835"/>
        <w:jc w:val="both"/>
        <w:rPr>
          <w:rFonts w:ascii="Arial" w:hAnsi="Arial" w:cs="Arial"/>
          <w:lang w:val="es-UY"/>
        </w:rPr>
      </w:pPr>
      <w:r>
        <w:rPr>
          <w:rFonts w:ascii="Arial" w:hAnsi="Arial" w:cs="Arial"/>
          <w:b/>
          <w:bCs/>
        </w:rPr>
        <w:t>3)</w:t>
      </w:r>
      <w:r>
        <w:rPr>
          <w:rFonts w:ascii="Arial" w:hAnsi="Arial" w:cs="Arial"/>
        </w:rPr>
        <w:t xml:space="preserve"> que por Resolución Nº 64/16 de fecha 03</w:t>
      </w:r>
      <w:r w:rsidR="00395A7E">
        <w:rPr>
          <w:rFonts w:ascii="Arial" w:hAnsi="Arial" w:cs="Arial"/>
        </w:rPr>
        <w:t>/</w:t>
      </w:r>
      <w:r>
        <w:rPr>
          <w:rFonts w:ascii="Arial" w:hAnsi="Arial" w:cs="Arial"/>
        </w:rPr>
        <w:t>02</w:t>
      </w:r>
      <w:r w:rsidR="00395A7E">
        <w:rPr>
          <w:rFonts w:ascii="Arial" w:hAnsi="Arial" w:cs="Arial"/>
        </w:rPr>
        <w:t>/</w:t>
      </w:r>
      <w:r>
        <w:rPr>
          <w:rFonts w:ascii="Arial" w:hAnsi="Arial" w:cs="Arial"/>
        </w:rPr>
        <w:t>16 el Directorio reiteró el gasto aduciendo que:</w:t>
      </w:r>
    </w:p>
    <w:p w:rsidR="004D31C3" w:rsidRDefault="004D31C3" w:rsidP="00F1125D">
      <w:pPr>
        <w:spacing w:line="360" w:lineRule="auto"/>
        <w:jc w:val="both"/>
        <w:rPr>
          <w:rFonts w:ascii="Arial" w:hAnsi="Arial" w:cs="Arial"/>
        </w:rPr>
      </w:pPr>
      <w:r>
        <w:rPr>
          <w:rFonts w:ascii="Arial" w:hAnsi="Arial" w:cs="Arial"/>
          <w:b/>
          <w:bCs/>
        </w:rPr>
        <w:t xml:space="preserve">3.1) </w:t>
      </w:r>
      <w:r>
        <w:rPr>
          <w:rFonts w:ascii="Arial" w:hAnsi="Arial" w:cs="Arial"/>
        </w:rPr>
        <w:t xml:space="preserve">en relación a la contravención del </w:t>
      </w:r>
      <w:r w:rsidR="00395A7E">
        <w:rPr>
          <w:rFonts w:ascii="Arial" w:hAnsi="Arial" w:cs="Arial"/>
        </w:rPr>
        <w:t>A</w:t>
      </w:r>
      <w:r>
        <w:rPr>
          <w:rFonts w:ascii="Arial" w:hAnsi="Arial" w:cs="Arial"/>
        </w:rPr>
        <w:t>rtículo 48 del TOCAF, la Administración ha manifestado en Resoluciones anteriores que la situación será subsanada en los próximos pliegos licitatorios;</w:t>
      </w:r>
    </w:p>
    <w:p w:rsidR="004D31C3" w:rsidRDefault="004D31C3" w:rsidP="00F1125D">
      <w:pPr>
        <w:spacing w:line="360" w:lineRule="auto"/>
        <w:jc w:val="both"/>
        <w:rPr>
          <w:rFonts w:ascii="Arial" w:hAnsi="Arial" w:cs="Arial"/>
        </w:rPr>
      </w:pPr>
      <w:r>
        <w:rPr>
          <w:rFonts w:ascii="Arial" w:hAnsi="Arial" w:cs="Arial"/>
          <w:b/>
          <w:bCs/>
        </w:rPr>
        <w:t xml:space="preserve">3.2) </w:t>
      </w:r>
      <w:r>
        <w:rPr>
          <w:rFonts w:ascii="Arial" w:hAnsi="Arial" w:cs="Arial"/>
        </w:rPr>
        <w:t xml:space="preserve">en lo relativo al apartamiento del </w:t>
      </w:r>
      <w:r w:rsidR="00395A7E">
        <w:rPr>
          <w:rFonts w:ascii="Arial" w:hAnsi="Arial" w:cs="Arial"/>
        </w:rPr>
        <w:t>N</w:t>
      </w:r>
      <w:r>
        <w:rPr>
          <w:rFonts w:ascii="Arial" w:hAnsi="Arial" w:cs="Arial"/>
        </w:rPr>
        <w:t>umeral 9.1 Capítulo II del Pliego de Condiciones Particulares, no se lo considera un apartamiento sustancial, por cuanto el Capítulo II condiciona el carácter de sustancial de los requisitos exigidos en los numerales anteriores, a la circunstancia de que su omisión impida su correcta evaluación de la oferta, situación que no se verificó;</w:t>
      </w:r>
    </w:p>
    <w:p w:rsidR="004D31C3" w:rsidRDefault="004D31C3" w:rsidP="00F1125D">
      <w:pPr>
        <w:spacing w:line="360" w:lineRule="auto"/>
        <w:jc w:val="both"/>
        <w:rPr>
          <w:rFonts w:ascii="Arial" w:hAnsi="Arial" w:cs="Arial"/>
        </w:rPr>
      </w:pPr>
      <w:r>
        <w:rPr>
          <w:rFonts w:ascii="Arial" w:hAnsi="Arial" w:cs="Arial"/>
          <w:b/>
          <w:bCs/>
        </w:rPr>
        <w:lastRenderedPageBreak/>
        <w:t xml:space="preserve">3.3) </w:t>
      </w:r>
      <w:r>
        <w:rPr>
          <w:rFonts w:ascii="Arial" w:hAnsi="Arial" w:cs="Arial"/>
        </w:rPr>
        <w:t xml:space="preserve">en cuanto a la observación referida al otorgamiento del plazo de dos días hábiles a efectos de que </w:t>
      </w:r>
      <w:proofErr w:type="spellStart"/>
      <w:r>
        <w:rPr>
          <w:rFonts w:ascii="Arial" w:hAnsi="Arial" w:cs="Arial"/>
        </w:rPr>
        <w:t>Efice</w:t>
      </w:r>
      <w:proofErr w:type="spellEnd"/>
      <w:r>
        <w:rPr>
          <w:rFonts w:ascii="Arial" w:hAnsi="Arial" w:cs="Arial"/>
        </w:rPr>
        <w:t xml:space="preserve"> S.A presentara el certificado requerido en el </w:t>
      </w:r>
      <w:r w:rsidR="00395A7E">
        <w:rPr>
          <w:rFonts w:ascii="Arial" w:hAnsi="Arial" w:cs="Arial"/>
        </w:rPr>
        <w:t>N</w:t>
      </w:r>
      <w:r>
        <w:rPr>
          <w:rFonts w:ascii="Arial" w:hAnsi="Arial" w:cs="Arial"/>
        </w:rPr>
        <w:t xml:space="preserve">umeral 5.8 Capítulo II del Pliego de Condiciones Particulares, en contravención del </w:t>
      </w:r>
      <w:r w:rsidR="00395A7E">
        <w:rPr>
          <w:rFonts w:ascii="Arial" w:hAnsi="Arial" w:cs="Arial"/>
        </w:rPr>
        <w:t>A</w:t>
      </w:r>
      <w:r>
        <w:rPr>
          <w:rFonts w:ascii="Arial" w:hAnsi="Arial" w:cs="Arial"/>
        </w:rPr>
        <w:t xml:space="preserve">rtículo 65 </w:t>
      </w:r>
      <w:r w:rsidR="00395A7E">
        <w:rPr>
          <w:rFonts w:ascii="Arial" w:hAnsi="Arial" w:cs="Arial"/>
        </w:rPr>
        <w:t>I</w:t>
      </w:r>
      <w:r>
        <w:rPr>
          <w:rFonts w:ascii="Arial" w:hAnsi="Arial" w:cs="Arial"/>
        </w:rPr>
        <w:t>nciso 7° del TOCAF, la misma no se considera pertinente por cuanto no se consideró apartamiento sustancial la no presentación de los certificados aludidos, habilitando por tanto la solicitud de información para la subsanación de una carencia formal;</w:t>
      </w:r>
    </w:p>
    <w:p w:rsidR="004D31C3" w:rsidRDefault="004D31C3" w:rsidP="00F1125D">
      <w:pPr>
        <w:spacing w:line="360" w:lineRule="auto"/>
        <w:jc w:val="both"/>
        <w:rPr>
          <w:rFonts w:ascii="Arial" w:hAnsi="Arial" w:cs="Arial"/>
        </w:rPr>
      </w:pPr>
      <w:r>
        <w:rPr>
          <w:rFonts w:ascii="Arial" w:hAnsi="Arial" w:cs="Arial"/>
          <w:b/>
          <w:bCs/>
        </w:rPr>
        <w:t xml:space="preserve">3.4) </w:t>
      </w:r>
      <w:r>
        <w:rPr>
          <w:rFonts w:ascii="Arial" w:hAnsi="Arial" w:cs="Arial"/>
        </w:rPr>
        <w:t>no procede la observación relativa a la no presentación de los antecedentes de la adjudicataria, en virtud de que éstos quedan cubiertos por la declaración del oferente de ser el único proveedor de este producto desde que el Organismo comenzó su uso en procesos de alcalinización;</w:t>
      </w:r>
    </w:p>
    <w:p w:rsidR="004D31C3" w:rsidRDefault="004D31C3" w:rsidP="00F1125D">
      <w:pPr>
        <w:spacing w:line="360" w:lineRule="auto"/>
        <w:jc w:val="both"/>
        <w:rPr>
          <w:rFonts w:ascii="Arial" w:hAnsi="Arial" w:cs="Arial"/>
        </w:rPr>
      </w:pPr>
      <w:r>
        <w:rPr>
          <w:rFonts w:ascii="Arial" w:hAnsi="Arial" w:cs="Arial"/>
          <w:b/>
          <w:bCs/>
        </w:rPr>
        <w:t xml:space="preserve">3.5) </w:t>
      </w:r>
      <w:r>
        <w:rPr>
          <w:rFonts w:ascii="Arial" w:hAnsi="Arial" w:cs="Arial"/>
        </w:rPr>
        <w:t>se trata de un suministro crítico para la Administración, imprescindible para el proceso de potabilización del agua en la Usina Aguas Corrientes, siendo el oferente adjudicatario el único fabricante en plaza;</w:t>
      </w:r>
    </w:p>
    <w:p w:rsidR="004D31C3" w:rsidRDefault="004D31C3" w:rsidP="00F1125D">
      <w:pPr>
        <w:spacing w:line="360" w:lineRule="auto"/>
        <w:jc w:val="both"/>
        <w:rPr>
          <w:rFonts w:ascii="Arial" w:hAnsi="Arial" w:cs="Arial"/>
          <w:b/>
          <w:bCs/>
        </w:rPr>
      </w:pPr>
      <w:r>
        <w:rPr>
          <w:rFonts w:ascii="Arial" w:hAnsi="Arial" w:cs="Arial"/>
          <w:b/>
          <w:bCs/>
        </w:rPr>
        <w:t xml:space="preserve">3.6) </w:t>
      </w:r>
      <w:r>
        <w:rPr>
          <w:rFonts w:ascii="Arial" w:hAnsi="Arial" w:cs="Arial"/>
        </w:rPr>
        <w:t>el mencionado gasto se ubica claramente entre aquellos motivados por fundadas razones de servicio y corresponde reiterarlo;</w:t>
      </w:r>
      <w:r>
        <w:rPr>
          <w:rFonts w:ascii="Arial" w:hAnsi="Arial" w:cs="Arial"/>
          <w:b/>
          <w:bCs/>
        </w:rPr>
        <w:t xml:space="preserve"> </w:t>
      </w:r>
    </w:p>
    <w:p w:rsidR="004D31C3" w:rsidRDefault="00F1125D" w:rsidP="00F1125D">
      <w:pPr>
        <w:spacing w:line="360" w:lineRule="auto"/>
        <w:ind w:firstLine="851"/>
        <w:jc w:val="both"/>
        <w:rPr>
          <w:rFonts w:ascii="Arial" w:hAnsi="Arial" w:cs="Arial"/>
        </w:rPr>
      </w:pPr>
      <w:r>
        <w:rPr>
          <w:rFonts w:ascii="Arial" w:hAnsi="Arial" w:cs="Arial"/>
          <w:b/>
          <w:bCs/>
        </w:rPr>
        <w:t xml:space="preserve">CONSIDERANDO: </w:t>
      </w:r>
      <w:r w:rsidR="004D31C3">
        <w:rPr>
          <w:rFonts w:ascii="Arial" w:hAnsi="Arial" w:cs="Arial"/>
          <w:b/>
          <w:bCs/>
        </w:rPr>
        <w:t>1)</w:t>
      </w:r>
      <w:r w:rsidR="004D31C3">
        <w:rPr>
          <w:rFonts w:ascii="Arial" w:hAnsi="Arial" w:cs="Arial"/>
        </w:rPr>
        <w:t xml:space="preserve"> que sin perjuicio del interés manifestado por la Administración en anteriores Resoluciones de corregir los próximos pliegos licitatorios, el Pliego Condiciones Particulares de este procedimiento  contiene una norma que contraviene lo dispuesto en el </w:t>
      </w:r>
      <w:r w:rsidR="00395A7E">
        <w:rPr>
          <w:rFonts w:ascii="Arial" w:hAnsi="Arial" w:cs="Arial"/>
        </w:rPr>
        <w:t>A</w:t>
      </w:r>
      <w:r w:rsidR="004D31C3">
        <w:rPr>
          <w:rFonts w:ascii="Arial" w:hAnsi="Arial" w:cs="Arial"/>
        </w:rPr>
        <w:t>rtículo 48 del TOCAF, por lo que se mantiene la observación formulada;</w:t>
      </w:r>
    </w:p>
    <w:p w:rsidR="004D31C3" w:rsidRDefault="004D31C3" w:rsidP="00DE04C1">
      <w:pPr>
        <w:spacing w:line="360" w:lineRule="auto"/>
        <w:ind w:firstLine="2977"/>
        <w:jc w:val="both"/>
        <w:rPr>
          <w:rFonts w:ascii="Arial" w:hAnsi="Arial" w:cs="Arial"/>
        </w:rPr>
      </w:pPr>
      <w:r>
        <w:rPr>
          <w:rFonts w:ascii="Arial" w:hAnsi="Arial" w:cs="Arial"/>
          <w:b/>
          <w:bCs/>
        </w:rPr>
        <w:t xml:space="preserve">2) </w:t>
      </w:r>
      <w:r>
        <w:rPr>
          <w:rFonts w:ascii="Arial" w:hAnsi="Arial" w:cs="Arial"/>
        </w:rPr>
        <w:t>que el Capítulo III del Pliego de Condiciones Particulares establece a texto expreso que las propuestas deben ceñirse a las condiciones y formas establecidas en las bases del llamado, pudiendo agregarse cualquier información complementaria, pero sin omitir las exigencias requeridas (</w:t>
      </w:r>
      <w:r w:rsidR="00395A7E">
        <w:rPr>
          <w:rFonts w:ascii="Arial" w:hAnsi="Arial" w:cs="Arial"/>
        </w:rPr>
        <w:t>N</w:t>
      </w:r>
      <w:r>
        <w:rPr>
          <w:rFonts w:ascii="Arial" w:hAnsi="Arial" w:cs="Arial"/>
        </w:rPr>
        <w:t>umeral 6.1) y que serán documentos integrantes de la oferta los antecedentes e información del oferente y los certificados requeridos en el Capítulo II (</w:t>
      </w:r>
      <w:r w:rsidR="00395A7E">
        <w:rPr>
          <w:rFonts w:ascii="Arial" w:hAnsi="Arial" w:cs="Arial"/>
        </w:rPr>
        <w:t>N</w:t>
      </w:r>
      <w:r>
        <w:rPr>
          <w:rFonts w:ascii="Arial" w:hAnsi="Arial" w:cs="Arial"/>
        </w:rPr>
        <w:t xml:space="preserve">umeral 6.3), de lo que se desprende que los certificados requeridos en los </w:t>
      </w:r>
      <w:r w:rsidR="00395A7E">
        <w:rPr>
          <w:rFonts w:ascii="Arial" w:hAnsi="Arial" w:cs="Arial"/>
        </w:rPr>
        <w:t>N</w:t>
      </w:r>
      <w:r>
        <w:rPr>
          <w:rFonts w:ascii="Arial" w:hAnsi="Arial" w:cs="Arial"/>
        </w:rPr>
        <w:t xml:space="preserve">umerales 5.3 y 5.8 del Capítulo II debieron ser agregados junto con la oferta. La no presentación de los mismos supone un apartamiento sustancial de lo expresamente estipulado en el Capítulo III. En consecuencia, no es de recibo el argumento esgrimido de que la no presentación del certificado exigido en el </w:t>
      </w:r>
      <w:r w:rsidR="00E816BD">
        <w:rPr>
          <w:rFonts w:ascii="Arial" w:hAnsi="Arial" w:cs="Arial"/>
        </w:rPr>
        <w:t>N</w:t>
      </w:r>
      <w:r>
        <w:rPr>
          <w:rFonts w:ascii="Arial" w:hAnsi="Arial" w:cs="Arial"/>
        </w:rPr>
        <w:t>umeral 5.8 Capítulo II no es considerado un apartamiento sustancial por estar condicionado a que su omisión no impida la correcta evaluación de la oferta;</w:t>
      </w:r>
    </w:p>
    <w:p w:rsidR="004D31C3" w:rsidRDefault="004D31C3" w:rsidP="00DE04C1">
      <w:pPr>
        <w:spacing w:line="360" w:lineRule="auto"/>
        <w:ind w:firstLine="2977"/>
        <w:jc w:val="both"/>
        <w:rPr>
          <w:rFonts w:ascii="Arial" w:hAnsi="Arial" w:cs="Arial"/>
        </w:rPr>
      </w:pPr>
      <w:r>
        <w:rPr>
          <w:rFonts w:ascii="Arial" w:hAnsi="Arial" w:cs="Arial"/>
          <w:b/>
          <w:bCs/>
        </w:rPr>
        <w:t>3)</w:t>
      </w:r>
      <w:r>
        <w:rPr>
          <w:rFonts w:ascii="Arial" w:hAnsi="Arial" w:cs="Arial"/>
        </w:rPr>
        <w:t xml:space="preserve"> que el plazo de dos días hábiles previsto en el </w:t>
      </w:r>
      <w:r w:rsidR="00E816BD">
        <w:rPr>
          <w:rFonts w:ascii="Arial" w:hAnsi="Arial" w:cs="Arial"/>
        </w:rPr>
        <w:t>A</w:t>
      </w:r>
      <w:r>
        <w:rPr>
          <w:rFonts w:ascii="Arial" w:hAnsi="Arial" w:cs="Arial"/>
        </w:rPr>
        <w:t xml:space="preserve">rtículo 65 </w:t>
      </w:r>
      <w:r w:rsidR="00E816BD">
        <w:rPr>
          <w:rFonts w:ascii="Arial" w:hAnsi="Arial" w:cs="Arial"/>
        </w:rPr>
        <w:t>I</w:t>
      </w:r>
      <w:r>
        <w:rPr>
          <w:rFonts w:ascii="Arial" w:hAnsi="Arial" w:cs="Arial"/>
        </w:rPr>
        <w:t>nciso 7° del TOCAF responde a salvar defectos, carencias formales o errores evidentes o de escasa importancia y no procede para agregar documentación que el Pliego de Condiciones Particulares expresamente exigió que se presentara junto con la oferta, máxime cuando no sólo no se adjunta lo que se específicamente se solicitó, sino que además se hace fuera del plazo otorgado;</w:t>
      </w:r>
    </w:p>
    <w:p w:rsidR="004D31C3" w:rsidRDefault="004D31C3" w:rsidP="00DE04C1">
      <w:pPr>
        <w:spacing w:line="360" w:lineRule="auto"/>
        <w:ind w:firstLine="2977"/>
        <w:jc w:val="both"/>
        <w:rPr>
          <w:rFonts w:ascii="Arial" w:hAnsi="Arial" w:cs="Arial"/>
        </w:rPr>
      </w:pPr>
      <w:r>
        <w:rPr>
          <w:rFonts w:ascii="Arial" w:hAnsi="Arial" w:cs="Arial"/>
          <w:b/>
          <w:bCs/>
        </w:rPr>
        <w:t xml:space="preserve">4) </w:t>
      </w:r>
      <w:r>
        <w:rPr>
          <w:rFonts w:ascii="Arial" w:hAnsi="Arial" w:cs="Arial"/>
        </w:rPr>
        <w:t xml:space="preserve">que la Administración optó por el procedimiento competitivo de una licitación pública, procedimiento este que </w:t>
      </w:r>
      <w:r w:rsidR="00E816BD">
        <w:rPr>
          <w:rFonts w:ascii="Arial" w:hAnsi="Arial" w:cs="Arial"/>
        </w:rPr>
        <w:t>está</w:t>
      </w:r>
      <w:r>
        <w:rPr>
          <w:rFonts w:ascii="Arial" w:hAnsi="Arial" w:cs="Arial"/>
        </w:rPr>
        <w:t xml:space="preserve"> regulado por Pliegos de Condiciones a los cuales deben ajustarse estrictamente tanto los particulares como la propia Administración , no sirviendo de excusa de que al llamado se haya presentado  un único oferente;</w:t>
      </w:r>
    </w:p>
    <w:p w:rsidR="004D31C3" w:rsidRDefault="004D31C3" w:rsidP="00F1125D">
      <w:pPr>
        <w:spacing w:line="360" w:lineRule="auto"/>
        <w:ind w:firstLine="851"/>
        <w:jc w:val="both"/>
        <w:rPr>
          <w:rFonts w:ascii="Arial" w:hAnsi="Arial" w:cs="Arial"/>
        </w:rPr>
      </w:pPr>
      <w:r>
        <w:rPr>
          <w:rFonts w:ascii="Arial" w:hAnsi="Arial" w:cs="Arial"/>
          <w:b/>
          <w:bCs/>
        </w:rPr>
        <w:t>ATENTO:</w:t>
      </w:r>
      <w:r>
        <w:rPr>
          <w:rFonts w:ascii="Arial" w:hAnsi="Arial" w:cs="Arial"/>
        </w:rPr>
        <w:t xml:space="preserve"> a lo expresado y a lo dispuesto por el </w:t>
      </w:r>
      <w:r w:rsidR="00E816BD">
        <w:rPr>
          <w:rFonts w:ascii="Arial" w:hAnsi="Arial" w:cs="Arial"/>
        </w:rPr>
        <w:t>A</w:t>
      </w:r>
      <w:r>
        <w:rPr>
          <w:rFonts w:ascii="Arial" w:hAnsi="Arial" w:cs="Arial"/>
        </w:rPr>
        <w:t>rt</w:t>
      </w:r>
      <w:r w:rsidR="00E816BD">
        <w:rPr>
          <w:rFonts w:ascii="Arial" w:hAnsi="Arial" w:cs="Arial"/>
        </w:rPr>
        <w:t>ículo</w:t>
      </w:r>
      <w:r>
        <w:rPr>
          <w:rFonts w:ascii="Arial" w:hAnsi="Arial" w:cs="Arial"/>
        </w:rPr>
        <w:t xml:space="preserve"> 211 </w:t>
      </w:r>
      <w:r w:rsidR="00E816BD">
        <w:rPr>
          <w:rFonts w:ascii="Arial" w:hAnsi="Arial" w:cs="Arial"/>
        </w:rPr>
        <w:t>L</w:t>
      </w:r>
      <w:r>
        <w:rPr>
          <w:rFonts w:ascii="Arial" w:hAnsi="Arial" w:cs="Arial"/>
        </w:rPr>
        <w:t>it</w:t>
      </w:r>
      <w:r w:rsidR="00E816BD">
        <w:rPr>
          <w:rFonts w:ascii="Arial" w:hAnsi="Arial" w:cs="Arial"/>
        </w:rPr>
        <w:t>eral</w:t>
      </w:r>
      <w:r>
        <w:rPr>
          <w:rFonts w:ascii="Arial" w:hAnsi="Arial" w:cs="Arial"/>
        </w:rPr>
        <w:t xml:space="preserve"> B) de la Constitución de la República;</w:t>
      </w:r>
    </w:p>
    <w:p w:rsidR="004D31C3" w:rsidRDefault="004D31C3" w:rsidP="00F1125D">
      <w:pPr>
        <w:spacing w:line="360" w:lineRule="auto"/>
        <w:jc w:val="center"/>
        <w:rPr>
          <w:rFonts w:ascii="Arial" w:hAnsi="Arial" w:cs="Arial"/>
          <w:b/>
          <w:bCs/>
        </w:rPr>
      </w:pPr>
      <w:r>
        <w:rPr>
          <w:rFonts w:ascii="Arial" w:hAnsi="Arial" w:cs="Arial"/>
          <w:b/>
          <w:bCs/>
        </w:rPr>
        <w:t>EL TRIBUNAL ACUERDA</w:t>
      </w:r>
    </w:p>
    <w:p w:rsidR="004D31C3" w:rsidRDefault="004D31C3" w:rsidP="00F1125D">
      <w:pPr>
        <w:spacing w:line="360" w:lineRule="auto"/>
        <w:jc w:val="both"/>
        <w:rPr>
          <w:rFonts w:ascii="Arial" w:hAnsi="Arial" w:cs="Arial"/>
        </w:rPr>
      </w:pPr>
      <w:r>
        <w:rPr>
          <w:rFonts w:ascii="Arial" w:hAnsi="Arial" w:cs="Arial"/>
          <w:b/>
          <w:bCs/>
        </w:rPr>
        <w:t>1)</w:t>
      </w:r>
      <w:r>
        <w:rPr>
          <w:rFonts w:ascii="Arial" w:hAnsi="Arial" w:cs="Arial"/>
        </w:rPr>
        <w:t xml:space="preserve"> Mantener la observación formulada en Sesión de  fecha 02</w:t>
      </w:r>
      <w:r w:rsidR="00F1125D">
        <w:rPr>
          <w:rFonts w:ascii="Arial" w:hAnsi="Arial" w:cs="Arial"/>
        </w:rPr>
        <w:t>/</w:t>
      </w:r>
      <w:r>
        <w:rPr>
          <w:rFonts w:ascii="Arial" w:hAnsi="Arial" w:cs="Arial"/>
        </w:rPr>
        <w:t>12</w:t>
      </w:r>
      <w:r w:rsidR="00F1125D">
        <w:rPr>
          <w:rFonts w:ascii="Arial" w:hAnsi="Arial" w:cs="Arial"/>
        </w:rPr>
        <w:t>/</w:t>
      </w:r>
      <w:r>
        <w:rPr>
          <w:rFonts w:ascii="Arial" w:hAnsi="Arial" w:cs="Arial"/>
        </w:rPr>
        <w:t xml:space="preserve">15; </w:t>
      </w:r>
    </w:p>
    <w:p w:rsidR="004D31C3" w:rsidRDefault="004D31C3" w:rsidP="00F1125D">
      <w:pPr>
        <w:spacing w:line="360" w:lineRule="auto"/>
        <w:jc w:val="both"/>
        <w:rPr>
          <w:rFonts w:ascii="Arial" w:hAnsi="Arial" w:cs="Arial"/>
          <w:b/>
          <w:bCs/>
        </w:rPr>
      </w:pPr>
      <w:r>
        <w:rPr>
          <w:rFonts w:ascii="Arial" w:hAnsi="Arial" w:cs="Arial"/>
          <w:b/>
          <w:bCs/>
        </w:rPr>
        <w:t>2)</w:t>
      </w:r>
      <w:r w:rsidR="00F1125D" w:rsidRPr="00F1125D">
        <w:rPr>
          <w:rFonts w:ascii="Arial" w:hAnsi="Arial" w:cs="Arial"/>
        </w:rPr>
        <w:t xml:space="preserve"> </w:t>
      </w:r>
      <w:r w:rsidR="00F1125D">
        <w:rPr>
          <w:rFonts w:ascii="Arial" w:hAnsi="Arial" w:cs="Arial"/>
        </w:rPr>
        <w:t>Comunicar al Poder Ejecutivo</w:t>
      </w:r>
      <w:r>
        <w:rPr>
          <w:rFonts w:ascii="Arial" w:hAnsi="Arial" w:cs="Arial"/>
        </w:rPr>
        <w:t xml:space="preserve">; </w:t>
      </w:r>
    </w:p>
    <w:p w:rsidR="004D31C3" w:rsidRDefault="004D31C3" w:rsidP="00F1125D">
      <w:pPr>
        <w:spacing w:line="360" w:lineRule="auto"/>
        <w:jc w:val="both"/>
        <w:rPr>
          <w:rFonts w:ascii="Arial" w:hAnsi="Arial" w:cs="Arial"/>
        </w:rPr>
      </w:pPr>
      <w:r>
        <w:rPr>
          <w:rFonts w:ascii="Arial" w:hAnsi="Arial" w:cs="Arial"/>
          <w:b/>
          <w:bCs/>
        </w:rPr>
        <w:t>3)</w:t>
      </w:r>
      <w:r w:rsidR="00F1125D" w:rsidRPr="00F1125D">
        <w:rPr>
          <w:rFonts w:ascii="Arial" w:hAnsi="Arial" w:cs="Arial"/>
        </w:rPr>
        <w:t xml:space="preserve"> </w:t>
      </w:r>
      <w:r w:rsidR="00F1125D">
        <w:rPr>
          <w:rFonts w:ascii="Arial" w:hAnsi="Arial" w:cs="Arial"/>
        </w:rPr>
        <w:t>Comunicar a la  Administración actuante  y a la Contadora Delegada</w:t>
      </w:r>
      <w:r>
        <w:rPr>
          <w:rFonts w:ascii="Arial" w:hAnsi="Arial" w:cs="Arial"/>
        </w:rPr>
        <w:t xml:space="preserve">; </w:t>
      </w:r>
    </w:p>
    <w:p w:rsidR="004D31C3" w:rsidRDefault="004D31C3" w:rsidP="00F1125D">
      <w:pPr>
        <w:spacing w:line="360" w:lineRule="auto"/>
        <w:jc w:val="both"/>
        <w:rPr>
          <w:rFonts w:ascii="Arial" w:hAnsi="Arial" w:cs="Arial"/>
        </w:rPr>
      </w:pPr>
      <w:r>
        <w:rPr>
          <w:rFonts w:ascii="Arial" w:hAnsi="Arial" w:cs="Arial"/>
          <w:b/>
          <w:bCs/>
        </w:rPr>
        <w:t>4)</w:t>
      </w:r>
      <w:r w:rsidR="00F1125D" w:rsidRPr="00F1125D">
        <w:rPr>
          <w:rFonts w:ascii="Arial" w:hAnsi="Arial" w:cs="Arial"/>
        </w:rPr>
        <w:t xml:space="preserve"> </w:t>
      </w:r>
      <w:r w:rsidR="00F1125D">
        <w:rPr>
          <w:rFonts w:ascii="Arial" w:hAnsi="Arial" w:cs="Arial"/>
        </w:rPr>
        <w:t>Dar cuenta a la Asamblea General</w:t>
      </w:r>
      <w:r>
        <w:rPr>
          <w:rFonts w:ascii="Arial" w:hAnsi="Arial" w:cs="Arial"/>
        </w:rPr>
        <w:t>.</w:t>
      </w:r>
    </w:p>
    <w:p w:rsidR="004D31C3" w:rsidRDefault="004D31C3" w:rsidP="00F1125D">
      <w:pPr>
        <w:spacing w:line="360" w:lineRule="auto"/>
        <w:jc w:val="both"/>
        <w:rPr>
          <w:rFonts w:ascii="Arial" w:hAnsi="Arial" w:cs="Arial"/>
        </w:rPr>
      </w:pPr>
      <w:r>
        <w:rPr>
          <w:rFonts w:ascii="Arial" w:hAnsi="Arial" w:cs="Arial"/>
        </w:rPr>
        <w:t xml:space="preserve">                                               </w:t>
      </w:r>
    </w:p>
    <w:p w:rsidR="004D31C3" w:rsidRDefault="00F1125D" w:rsidP="00DE04C1">
      <w:pPr>
        <w:spacing w:line="360" w:lineRule="auto"/>
        <w:jc w:val="both"/>
      </w:pPr>
      <w:proofErr w:type="spellStart"/>
      <w:proofErr w:type="gramStart"/>
      <w:r>
        <w:rPr>
          <w:rFonts w:ascii="Arial" w:hAnsi="Arial" w:cs="Arial"/>
        </w:rPr>
        <w:t>bf</w:t>
      </w:r>
      <w:proofErr w:type="spellEnd"/>
      <w:proofErr w:type="gramEnd"/>
    </w:p>
    <w:sectPr w:rsidR="004D31C3" w:rsidSect="00F1125D">
      <w:pgSz w:w="11906" w:h="16838" w:code="9"/>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1C3"/>
    <w:rsid w:val="000044A7"/>
    <w:rsid w:val="00395A7E"/>
    <w:rsid w:val="004D31C3"/>
    <w:rsid w:val="00DE04C1"/>
    <w:rsid w:val="00E816BD"/>
    <w:rsid w:val="00F11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rPr>
      <w:rFonts w:ascii="Tahoma" w:hAnsi="Tahoma" w:cs="Tahoma"/>
      <w:sz w:val="16"/>
      <w:szCs w:val="16"/>
    </w:rPr>
  </w:style>
  <w:style w:type="character" w:customStyle="1" w:styleId="TextodegloboCar">
    <w:name w:val="Texto de globo Car"/>
    <w:basedOn w:val="Fuentedeprrafopredeter"/>
    <w:link w:val="Textodeglobo"/>
    <w:uiPriority w:val="99"/>
    <w:rPr>
      <w:rFonts w:ascii="Tahoma"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rPr>
      <w:rFonts w:ascii="Tahoma" w:hAnsi="Tahoma" w:cs="Tahoma"/>
      <w:sz w:val="16"/>
      <w:szCs w:val="16"/>
    </w:rPr>
  </w:style>
  <w:style w:type="character" w:customStyle="1" w:styleId="TextodegloboCar">
    <w:name w:val="Texto de globo Car"/>
    <w:basedOn w:val="Fuentedeprrafopredeter"/>
    <w:link w:val="Textodeglobo"/>
    <w:uiPriority w:val="99"/>
    <w:rPr>
      <w:rFonts w:ascii="Tahom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1191</Words>
  <Characters>6557</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CARPETA  N°: 2015-17-1-0007712</vt:lpstr>
    </vt:vector>
  </TitlesOfParts>
  <Company>Tribunal de Cuentas</Company>
  <LinksUpToDate>false</LinksUpToDate>
  <CharactersWithSpaces>7733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 2015-17-1-0007712</dc:title>
  <dc:creator>MARIA ALEJANDRA ALVAREZ LOPEZ</dc:creator>
  <cp:lastModifiedBy>BEATRIZ FERNANDEZ</cp:lastModifiedBy>
  <cp:revision>2</cp:revision>
  <cp:lastPrinted>2016-03-09T15:29:00Z</cp:lastPrinted>
  <dcterms:created xsi:type="dcterms:W3CDTF">2016-03-31T15:37:00Z</dcterms:created>
  <dcterms:modified xsi:type="dcterms:W3CDTF">2016-03-31T15:37:00Z</dcterms:modified>
</cp:coreProperties>
</file>