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39D" w:rsidRPr="00786EEB" w:rsidRDefault="0071239D" w:rsidP="00786EEB">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784</w:t>
      </w:r>
      <w:r w:rsidRPr="00786EEB">
        <w:rPr>
          <w:rFonts w:ascii="Arial" w:hAnsi="Arial" w:cs="Arial"/>
          <w:b/>
          <w:sz w:val="28"/>
          <w:szCs w:val="28"/>
          <w:lang w:val="es-ES_tradnl"/>
        </w:rPr>
        <w:t>/16</w:t>
      </w:r>
    </w:p>
    <w:p w:rsidR="0071239D" w:rsidRDefault="0071239D" w:rsidP="00786EEB">
      <w:pPr>
        <w:tabs>
          <w:tab w:val="center" w:pos="4253"/>
        </w:tabs>
        <w:suppressAutoHyphens/>
        <w:jc w:val="right"/>
        <w:rPr>
          <w:rFonts w:ascii="Arial" w:hAnsi="Arial" w:cs="Arial"/>
          <w:b/>
          <w:lang w:val="es-ES_tradnl"/>
        </w:rPr>
      </w:pPr>
    </w:p>
    <w:p w:rsidR="0071239D" w:rsidRPr="00762B34" w:rsidRDefault="0071239D">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71239D" w:rsidRPr="00762B34" w:rsidRDefault="0071239D">
      <w:pPr>
        <w:tabs>
          <w:tab w:val="left" w:pos="-720"/>
        </w:tabs>
        <w:suppressAutoHyphens/>
        <w:jc w:val="center"/>
        <w:rPr>
          <w:rFonts w:ascii="Arial" w:hAnsi="Arial" w:cs="Arial"/>
          <w:b/>
          <w:lang w:val="es-ES_tradnl"/>
        </w:rPr>
      </w:pPr>
    </w:p>
    <w:p w:rsidR="0071239D" w:rsidRPr="00762B34" w:rsidRDefault="0071239D">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71239D" w:rsidRPr="00762B34" w:rsidRDefault="0071239D">
      <w:pPr>
        <w:tabs>
          <w:tab w:val="left" w:pos="-720"/>
        </w:tabs>
        <w:suppressAutoHyphens/>
        <w:jc w:val="center"/>
        <w:rPr>
          <w:rFonts w:ascii="Arial" w:hAnsi="Arial" w:cs="Arial"/>
          <w:b/>
          <w:lang w:val="es-ES_tradnl"/>
        </w:rPr>
      </w:pPr>
    </w:p>
    <w:p w:rsidR="0071239D" w:rsidRPr="00762B34" w:rsidRDefault="0071239D">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sidR="00D71BE1">
        <w:rPr>
          <w:rFonts w:ascii="Helvetica" w:hAnsi="Helvetica"/>
          <w:b/>
          <w:lang w:val="es-ES_tradnl"/>
        </w:rPr>
        <w:t>2</w:t>
      </w:r>
      <w:r>
        <w:rPr>
          <w:rFonts w:ascii="Helvetica" w:hAnsi="Helvetica"/>
          <w:b/>
          <w:lang w:val="es-ES_tradnl"/>
        </w:rPr>
        <w:t xml:space="preserve"> DE MARZO DE 2016</w:t>
      </w:r>
    </w:p>
    <w:p w:rsidR="0071239D" w:rsidRPr="00762B34" w:rsidRDefault="0071239D">
      <w:pPr>
        <w:tabs>
          <w:tab w:val="center" w:pos="4253"/>
        </w:tabs>
        <w:suppressAutoHyphens/>
        <w:jc w:val="center"/>
        <w:rPr>
          <w:rFonts w:ascii="Arial" w:hAnsi="Arial" w:cs="Arial"/>
          <w:b/>
          <w:lang w:val="es-ES_tradnl"/>
        </w:rPr>
      </w:pPr>
    </w:p>
    <w:p w:rsidR="0071239D" w:rsidRPr="00762B34" w:rsidRDefault="0071239D">
      <w:pPr>
        <w:tabs>
          <w:tab w:val="center" w:pos="4253"/>
        </w:tabs>
        <w:suppressAutoHyphens/>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2015-17-1-0009275</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xml:space="preserve">. N° </w:t>
      </w:r>
      <w:r>
        <w:rPr>
          <w:rFonts w:ascii="Arial" w:hAnsi="Arial" w:cs="Arial"/>
          <w:b/>
          <w:lang w:val="en-US"/>
        </w:rPr>
        <w:t>509/16</w:t>
      </w:r>
      <w:r w:rsidRPr="00762B34">
        <w:rPr>
          <w:rFonts w:ascii="Arial" w:hAnsi="Arial" w:cs="Arial"/>
          <w:b/>
          <w:lang w:val="en-US"/>
        </w:rPr>
        <w:t>)</w:t>
      </w:r>
    </w:p>
    <w:p w:rsidR="0071239D" w:rsidRDefault="0071239D">
      <w:pPr>
        <w:tabs>
          <w:tab w:val="center" w:pos="4253"/>
        </w:tabs>
        <w:suppressAutoHyphens/>
        <w:jc w:val="center"/>
        <w:rPr>
          <w:rFonts w:ascii="Helvetica" w:hAnsi="Helvetica"/>
          <w:b/>
          <w:lang w:val="en-US"/>
        </w:rPr>
      </w:pPr>
    </w:p>
    <w:p w:rsidR="0071239D" w:rsidRDefault="0071239D">
      <w:pPr>
        <w:rPr>
          <w:lang w:val="en-US"/>
        </w:rPr>
      </w:pPr>
    </w:p>
    <w:p w:rsidR="0071239D" w:rsidRDefault="00743494" w:rsidP="0071239D">
      <w:pPr>
        <w:spacing w:line="360" w:lineRule="auto"/>
        <w:ind w:firstLine="851"/>
        <w:jc w:val="both"/>
        <w:rPr>
          <w:rFonts w:ascii="Arial" w:hAnsi="Arial" w:cs="Arial"/>
          <w:b/>
          <w:bCs/>
        </w:rPr>
      </w:pPr>
      <w:r>
        <w:rPr>
          <w:rFonts w:ascii="Arial" w:hAnsi="Arial" w:cs="Arial"/>
          <w:b/>
          <w:bCs/>
        </w:rPr>
        <w:t>VISTO:</w:t>
      </w:r>
      <w:r>
        <w:rPr>
          <w:rFonts w:ascii="Arial" w:hAnsi="Arial" w:cs="Arial"/>
        </w:rPr>
        <w:t xml:space="preserve"> las actuaciones remitidas por la Administración Nacional de Combustibles</w:t>
      </w:r>
      <w:r w:rsidR="0071239D">
        <w:rPr>
          <w:rFonts w:ascii="Arial" w:hAnsi="Arial" w:cs="Arial"/>
        </w:rPr>
        <w:t>,</w:t>
      </w:r>
      <w:r>
        <w:rPr>
          <w:rFonts w:ascii="Arial" w:hAnsi="Arial" w:cs="Arial"/>
        </w:rPr>
        <w:t xml:space="preserve"> Alcohol y Portland, relacionadas con la contratación  directa por excepción, para la finalización de la obra de la Planta de Tratamiento de Efluentes en la Refinería de La Teja, puesta en marcha, operación y mantenimiento de la misma;</w:t>
      </w:r>
    </w:p>
    <w:p w:rsidR="0071239D" w:rsidRDefault="0071239D" w:rsidP="0071239D">
      <w:pPr>
        <w:spacing w:line="360" w:lineRule="auto"/>
        <w:ind w:firstLine="851"/>
        <w:jc w:val="both"/>
        <w:rPr>
          <w:rFonts w:ascii="Arial" w:hAnsi="Arial" w:cs="Arial"/>
        </w:rPr>
      </w:pPr>
      <w:r>
        <w:rPr>
          <w:rFonts w:ascii="Arial" w:hAnsi="Arial" w:cs="Arial"/>
          <w:b/>
          <w:bCs/>
        </w:rPr>
        <w:t>RESULTANDO</w:t>
      </w:r>
      <w:r w:rsidR="00743494">
        <w:rPr>
          <w:rFonts w:ascii="Arial" w:hAnsi="Arial" w:cs="Arial"/>
          <w:b/>
          <w:bCs/>
        </w:rPr>
        <w:t>:  1)</w:t>
      </w:r>
      <w:r w:rsidR="00743494">
        <w:rPr>
          <w:rFonts w:ascii="Arial" w:hAnsi="Arial" w:cs="Arial"/>
        </w:rPr>
        <w:t xml:space="preserve"> que por Resolución N°1418/12/2010 del 29.11.10, el Directorio adjudicó a la firma </w:t>
      </w:r>
      <w:proofErr w:type="spellStart"/>
      <w:r w:rsidR="00743494">
        <w:rPr>
          <w:rFonts w:ascii="Arial" w:hAnsi="Arial" w:cs="Arial"/>
        </w:rPr>
        <w:t>Mantiba</w:t>
      </w:r>
      <w:proofErr w:type="spellEnd"/>
      <w:r w:rsidR="00743494">
        <w:rPr>
          <w:rFonts w:ascii="Arial" w:hAnsi="Arial" w:cs="Arial"/>
        </w:rPr>
        <w:t xml:space="preserve"> S.A</w:t>
      </w:r>
      <w:r>
        <w:rPr>
          <w:rFonts w:ascii="Arial" w:hAnsi="Arial" w:cs="Arial"/>
        </w:rPr>
        <w:t>. la Licitación Pública N°</w:t>
      </w:r>
      <w:r w:rsidR="00743494">
        <w:rPr>
          <w:rFonts w:ascii="Arial" w:hAnsi="Arial" w:cs="Arial"/>
        </w:rPr>
        <w:t xml:space="preserve">1600148800, para el suministro e instalación de un sistema de tratamientos adicional para efluentes industriales en la planta </w:t>
      </w:r>
      <w:r>
        <w:rPr>
          <w:rFonts w:ascii="Arial" w:hAnsi="Arial" w:cs="Arial"/>
        </w:rPr>
        <w:t>de La Teja, por un total de $12:577.000 y U$S 1:</w:t>
      </w:r>
      <w:r w:rsidR="00743494">
        <w:rPr>
          <w:rFonts w:ascii="Arial" w:hAnsi="Arial" w:cs="Arial"/>
        </w:rPr>
        <w:t>268.000 (ambos montos más IVA) por el suministro e instalación en condición Plaza y por U$S 602.000 en condición CIF Montevideo para el suministro de importación, con un plazo de 18 meses calendario;</w:t>
      </w:r>
    </w:p>
    <w:p w:rsidR="0071239D" w:rsidRDefault="00743494" w:rsidP="0071239D">
      <w:pPr>
        <w:spacing w:line="360" w:lineRule="auto"/>
        <w:ind w:firstLine="2835"/>
        <w:jc w:val="both"/>
        <w:rPr>
          <w:rFonts w:ascii="Arial" w:hAnsi="Arial" w:cs="Arial"/>
        </w:rPr>
      </w:pPr>
      <w:r>
        <w:rPr>
          <w:rFonts w:ascii="Arial" w:hAnsi="Arial" w:cs="Arial"/>
          <w:b/>
          <w:bCs/>
        </w:rPr>
        <w:t>2)</w:t>
      </w:r>
      <w:r>
        <w:rPr>
          <w:rFonts w:ascii="Arial" w:hAnsi="Arial" w:cs="Arial"/>
        </w:rPr>
        <w:t xml:space="preserve"> que por Resolución N° 1425/10/2011 del 20.10.11, el Directori</w:t>
      </w:r>
      <w:r w:rsidR="0071239D">
        <w:rPr>
          <w:rFonts w:ascii="Arial" w:hAnsi="Arial" w:cs="Arial"/>
        </w:rPr>
        <w:t>o amplió la referida L</w:t>
      </w:r>
      <w:r>
        <w:rPr>
          <w:rFonts w:ascii="Arial" w:hAnsi="Arial" w:cs="Arial"/>
        </w:rPr>
        <w:t>icitación por $</w:t>
      </w:r>
      <w:r w:rsidR="0071239D">
        <w:rPr>
          <w:rFonts w:ascii="Arial" w:hAnsi="Arial" w:cs="Arial"/>
        </w:rPr>
        <w:t xml:space="preserve"> 6:606.966 y U$S</w:t>
      </w:r>
      <w:r>
        <w:rPr>
          <w:rFonts w:ascii="Arial" w:hAnsi="Arial" w:cs="Arial"/>
        </w:rPr>
        <w:t>36.100 (ambos montos más IVA), con un plazo adicional de obra de tres meses calendario;</w:t>
      </w:r>
    </w:p>
    <w:p w:rsidR="0071239D" w:rsidRDefault="00743494" w:rsidP="0071239D">
      <w:pPr>
        <w:spacing w:line="360" w:lineRule="auto"/>
        <w:ind w:firstLine="2835"/>
        <w:jc w:val="both"/>
        <w:rPr>
          <w:rFonts w:ascii="Arial" w:hAnsi="Arial" w:cs="Arial"/>
        </w:rPr>
      </w:pPr>
      <w:r>
        <w:rPr>
          <w:rFonts w:ascii="Arial" w:hAnsi="Arial" w:cs="Arial"/>
          <w:b/>
          <w:bCs/>
        </w:rPr>
        <w:t>3)</w:t>
      </w:r>
      <w:r>
        <w:rPr>
          <w:rFonts w:ascii="Arial" w:hAnsi="Arial" w:cs="Arial"/>
        </w:rPr>
        <w:t xml:space="preserve"> que, alegando tener problemas financieros, </w:t>
      </w:r>
      <w:proofErr w:type="spellStart"/>
      <w:r>
        <w:rPr>
          <w:rFonts w:ascii="Arial" w:hAnsi="Arial" w:cs="Arial"/>
        </w:rPr>
        <w:t>Mantiba</w:t>
      </w:r>
      <w:proofErr w:type="spellEnd"/>
      <w:r>
        <w:rPr>
          <w:rFonts w:ascii="Arial" w:hAnsi="Arial" w:cs="Arial"/>
        </w:rPr>
        <w:t xml:space="preserve"> no cumplió con la finalización de la obra adjudicada, la que debió culminar en el año 2013 y, ante el incumplimiento de las fechas contractuales, el Directorio resolvió rescindir el contrato, a través de un acuerdo transaccional;</w:t>
      </w:r>
    </w:p>
    <w:p w:rsidR="0071239D" w:rsidRDefault="00743494" w:rsidP="0071239D">
      <w:pPr>
        <w:spacing w:line="360" w:lineRule="auto"/>
        <w:ind w:firstLine="2835"/>
        <w:jc w:val="both"/>
        <w:rPr>
          <w:rFonts w:ascii="Arial" w:hAnsi="Arial" w:cs="Arial"/>
        </w:rPr>
      </w:pPr>
      <w:r>
        <w:rPr>
          <w:rFonts w:ascii="Arial" w:hAnsi="Arial" w:cs="Arial"/>
          <w:b/>
          <w:bCs/>
        </w:rPr>
        <w:lastRenderedPageBreak/>
        <w:t>4)</w:t>
      </w:r>
      <w:r>
        <w:rPr>
          <w:rFonts w:ascii="Arial" w:hAnsi="Arial" w:cs="Arial"/>
        </w:rPr>
        <w:t xml:space="preserve"> que según lo informado por la Gerencia de Medio Ambiente, Seguridad y Calidad – Área Medio Ambiente- con fecha 11.08.15, el incumplimiento contractual de </w:t>
      </w:r>
      <w:proofErr w:type="spellStart"/>
      <w:r>
        <w:rPr>
          <w:rFonts w:ascii="Arial" w:hAnsi="Arial" w:cs="Arial"/>
        </w:rPr>
        <w:t>Mantiba</w:t>
      </w:r>
      <w:proofErr w:type="spellEnd"/>
      <w:r>
        <w:rPr>
          <w:rFonts w:ascii="Arial" w:hAnsi="Arial" w:cs="Arial"/>
        </w:rPr>
        <w:t xml:space="preserve"> S.</w:t>
      </w:r>
      <w:r w:rsidR="0071239D">
        <w:rPr>
          <w:rFonts w:ascii="Arial" w:hAnsi="Arial" w:cs="Arial"/>
        </w:rPr>
        <w:t>A. no pudo ser previsto y existí</w:t>
      </w:r>
      <w:r>
        <w:rPr>
          <w:rFonts w:ascii="Arial" w:hAnsi="Arial" w:cs="Arial"/>
        </w:rPr>
        <w:t>a urgencia medioambiental en la finalización de la obra y la puesta en marcha de la planta de tratamiento de efluentes, dado que se manten</w:t>
      </w:r>
      <w:r w:rsidR="0071239D">
        <w:rPr>
          <w:rFonts w:ascii="Arial" w:hAnsi="Arial" w:cs="Arial"/>
        </w:rPr>
        <w:t>í</w:t>
      </w:r>
      <w:r>
        <w:rPr>
          <w:rFonts w:ascii="Arial" w:hAnsi="Arial" w:cs="Arial"/>
        </w:rPr>
        <w:t xml:space="preserve">a una situación de incumplimiento de los límites legales en los vertidos de efluentes líquidos industriales de la Planta de La Teja, por lo que la Intendencia de Montevideo  y la DINAMA impusieron </w:t>
      </w:r>
      <w:r w:rsidR="0071239D">
        <w:rPr>
          <w:rFonts w:ascii="Arial" w:hAnsi="Arial" w:cs="Arial"/>
        </w:rPr>
        <w:t xml:space="preserve"> multas; asimismo, se estableció</w:t>
      </w:r>
      <w:r>
        <w:rPr>
          <w:rFonts w:ascii="Arial" w:hAnsi="Arial" w:cs="Arial"/>
        </w:rPr>
        <w:t xml:space="preserve"> que la realización de una</w:t>
      </w:r>
      <w:r w:rsidR="0071239D">
        <w:rPr>
          <w:rFonts w:ascii="Arial" w:hAnsi="Arial" w:cs="Arial"/>
        </w:rPr>
        <w:t xml:space="preserve"> Licitación P</w:t>
      </w:r>
      <w:r>
        <w:rPr>
          <w:rFonts w:ascii="Arial" w:hAnsi="Arial" w:cs="Arial"/>
        </w:rPr>
        <w:t>ública resentiría el servicio, debido a la dilación en el tiempo que dicho procedimiento implica;</w:t>
      </w:r>
      <w:r>
        <w:rPr>
          <w:rFonts w:ascii="Arial" w:hAnsi="Arial" w:cs="Arial"/>
        </w:rPr>
        <w:tab/>
      </w:r>
    </w:p>
    <w:p w:rsidR="0071239D" w:rsidRDefault="00743494" w:rsidP="0071239D">
      <w:pPr>
        <w:spacing w:line="360" w:lineRule="auto"/>
        <w:ind w:firstLine="2835"/>
        <w:jc w:val="both"/>
        <w:rPr>
          <w:rFonts w:ascii="Arial" w:hAnsi="Arial" w:cs="Arial"/>
        </w:rPr>
      </w:pPr>
      <w:r>
        <w:rPr>
          <w:rFonts w:ascii="Arial" w:hAnsi="Arial" w:cs="Arial"/>
          <w:b/>
          <w:bCs/>
        </w:rPr>
        <w:t>5)</w:t>
      </w:r>
      <w:r>
        <w:rPr>
          <w:rFonts w:ascii="Arial" w:hAnsi="Arial" w:cs="Arial"/>
        </w:rPr>
        <w:t xml:space="preserve"> que habiéndose cursado solicitud de cotización a los proveedores habituales, se recibieron propuestas de las firmas </w:t>
      </w:r>
      <w:proofErr w:type="spellStart"/>
      <w:r>
        <w:rPr>
          <w:rFonts w:ascii="Arial" w:hAnsi="Arial" w:cs="Arial"/>
        </w:rPr>
        <w:t>Ciemsa</w:t>
      </w:r>
      <w:proofErr w:type="spellEnd"/>
      <w:r>
        <w:rPr>
          <w:rFonts w:ascii="Arial" w:hAnsi="Arial" w:cs="Arial"/>
        </w:rPr>
        <w:t xml:space="preserve">, </w:t>
      </w:r>
      <w:proofErr w:type="spellStart"/>
      <w:r>
        <w:rPr>
          <w:rFonts w:ascii="Arial" w:hAnsi="Arial" w:cs="Arial"/>
        </w:rPr>
        <w:t>Ingener</w:t>
      </w:r>
      <w:proofErr w:type="spellEnd"/>
      <w:r>
        <w:rPr>
          <w:rFonts w:ascii="Arial" w:hAnsi="Arial" w:cs="Arial"/>
        </w:rPr>
        <w:t xml:space="preserve"> S.A</w:t>
      </w:r>
      <w:r w:rsidR="0071239D">
        <w:rPr>
          <w:rFonts w:ascii="Arial" w:hAnsi="Arial" w:cs="Arial"/>
        </w:rPr>
        <w:t>.</w:t>
      </w:r>
      <w:r>
        <w:rPr>
          <w:rFonts w:ascii="Arial" w:hAnsi="Arial" w:cs="Arial"/>
        </w:rPr>
        <w:t xml:space="preserve"> y </w:t>
      </w:r>
      <w:proofErr w:type="spellStart"/>
      <w:r>
        <w:rPr>
          <w:rFonts w:ascii="Arial" w:hAnsi="Arial" w:cs="Arial"/>
        </w:rPr>
        <w:t>Saceem</w:t>
      </w:r>
      <w:proofErr w:type="spellEnd"/>
      <w:r>
        <w:rPr>
          <w:rFonts w:ascii="Arial" w:hAnsi="Arial" w:cs="Arial"/>
        </w:rPr>
        <w:t xml:space="preserve"> y conforme con el  cuadro comparativo confeccionado por la Gerencia de Abastecimiento y Ejecución de C</w:t>
      </w:r>
      <w:r w:rsidR="0071239D">
        <w:rPr>
          <w:rFonts w:ascii="Arial" w:hAnsi="Arial" w:cs="Arial"/>
        </w:rPr>
        <w:t xml:space="preserve">ompras de fecha 05.11.15, surgió que la oferta de menor precio es la de </w:t>
      </w:r>
      <w:proofErr w:type="spellStart"/>
      <w:r w:rsidR="0071239D">
        <w:rPr>
          <w:rFonts w:ascii="Arial" w:hAnsi="Arial" w:cs="Arial"/>
        </w:rPr>
        <w:t>Ingener</w:t>
      </w:r>
      <w:proofErr w:type="spellEnd"/>
      <w:r w:rsidR="0071239D">
        <w:rPr>
          <w:rFonts w:ascii="Arial" w:hAnsi="Arial" w:cs="Arial"/>
        </w:rPr>
        <w:t xml:space="preserve"> S.A.;</w:t>
      </w:r>
    </w:p>
    <w:p w:rsidR="0071239D" w:rsidRDefault="00743494" w:rsidP="0071239D">
      <w:pPr>
        <w:spacing w:line="360" w:lineRule="auto"/>
        <w:ind w:firstLine="2835"/>
        <w:jc w:val="both"/>
        <w:rPr>
          <w:rFonts w:ascii="Arial" w:hAnsi="Arial" w:cs="Arial"/>
        </w:rPr>
      </w:pPr>
      <w:r>
        <w:rPr>
          <w:rFonts w:ascii="Arial" w:hAnsi="Arial" w:cs="Arial"/>
          <w:b/>
          <w:bCs/>
        </w:rPr>
        <w:t>6)</w:t>
      </w:r>
      <w:r>
        <w:rPr>
          <w:rFonts w:ascii="Arial" w:hAnsi="Arial" w:cs="Arial"/>
        </w:rPr>
        <w:t xml:space="preserve"> que las Gerencias de Mantenimiento y Energía y de Medio Ambiente, Seguridad y Calidad, con fecha 12.11.15,  recomendaron adjudicar a </w:t>
      </w:r>
      <w:proofErr w:type="spellStart"/>
      <w:r>
        <w:rPr>
          <w:rFonts w:ascii="Arial" w:hAnsi="Arial" w:cs="Arial"/>
        </w:rPr>
        <w:t>Ingener</w:t>
      </w:r>
      <w:proofErr w:type="spellEnd"/>
      <w:r>
        <w:rPr>
          <w:rFonts w:ascii="Arial" w:hAnsi="Arial" w:cs="Arial"/>
        </w:rPr>
        <w:t xml:space="preserve"> S.A. la contratación de referencia por ser la más c</w:t>
      </w:r>
      <w:r w:rsidR="0071239D">
        <w:rPr>
          <w:rFonts w:ascii="Arial" w:hAnsi="Arial" w:cs="Arial"/>
        </w:rPr>
        <w:t xml:space="preserve">onveniente, y no adjudicar  el </w:t>
      </w:r>
      <w:proofErr w:type="spellStart"/>
      <w:r w:rsidR="0071239D">
        <w:rPr>
          <w:rFonts w:ascii="Arial" w:hAnsi="Arial" w:cs="Arial"/>
        </w:rPr>
        <w:t>i</w:t>
      </w:r>
      <w:r>
        <w:rPr>
          <w:rFonts w:ascii="Arial" w:hAnsi="Arial" w:cs="Arial"/>
        </w:rPr>
        <w:t>tem</w:t>
      </w:r>
      <w:proofErr w:type="spellEnd"/>
      <w:r>
        <w:rPr>
          <w:rFonts w:ascii="Arial" w:hAnsi="Arial" w:cs="Arial"/>
        </w:rPr>
        <w:t xml:space="preserve"> 1.2.6, correspondiente al suministro y montaje de estructura metálica, porque su precio en la cotización es manifiestamente inconveniente; y los </w:t>
      </w:r>
      <w:proofErr w:type="spellStart"/>
      <w:r w:rsidR="0071239D">
        <w:rPr>
          <w:rFonts w:ascii="Arial" w:hAnsi="Arial" w:cs="Arial"/>
        </w:rPr>
        <w:t>item</w:t>
      </w:r>
      <w:proofErr w:type="spellEnd"/>
      <w:r>
        <w:rPr>
          <w:rFonts w:ascii="Arial" w:hAnsi="Arial" w:cs="Arial"/>
        </w:rPr>
        <w:t xml:space="preserve"> 1.1.7 y 1.1.8m, por no haberse cotizado y no ser esenciales;</w:t>
      </w:r>
    </w:p>
    <w:p w:rsidR="0071239D" w:rsidRDefault="00743494" w:rsidP="0071239D">
      <w:pPr>
        <w:spacing w:line="360" w:lineRule="auto"/>
        <w:ind w:firstLine="2835"/>
        <w:jc w:val="both"/>
        <w:rPr>
          <w:rFonts w:ascii="Arial" w:hAnsi="Arial" w:cs="Arial"/>
        </w:rPr>
      </w:pPr>
      <w:r>
        <w:rPr>
          <w:rFonts w:ascii="Arial" w:hAnsi="Arial" w:cs="Arial"/>
          <w:b/>
          <w:bCs/>
        </w:rPr>
        <w:t>7)</w:t>
      </w:r>
      <w:r>
        <w:rPr>
          <w:rFonts w:ascii="Arial" w:hAnsi="Arial" w:cs="Arial"/>
        </w:rPr>
        <w:t xml:space="preserve"> que según informe Presupuestal de fecha 03.12.15, la posición presupuestal 3 (bienes de uso) del Plan de Inversiones, para el 2016 y la posición 2 (servicios no personales), Plan Operativo para 2017 y siguientes, cuentan con disponibilidad suficiente, según prórroga automática de las asignaciones, con</w:t>
      </w:r>
      <w:r w:rsidR="0071239D">
        <w:rPr>
          <w:rFonts w:ascii="Arial" w:hAnsi="Arial" w:cs="Arial"/>
        </w:rPr>
        <w:t>forme con lo establecido en el A</w:t>
      </w:r>
      <w:r>
        <w:rPr>
          <w:rFonts w:ascii="Arial" w:hAnsi="Arial" w:cs="Arial"/>
        </w:rPr>
        <w:t>rtículo 228 de la Constitución</w:t>
      </w:r>
      <w:r w:rsidR="0071239D">
        <w:rPr>
          <w:rFonts w:ascii="Arial" w:hAnsi="Arial" w:cs="Arial"/>
        </w:rPr>
        <w:t xml:space="preserve"> de la República</w:t>
      </w:r>
      <w:r>
        <w:rPr>
          <w:rFonts w:ascii="Arial" w:hAnsi="Arial" w:cs="Arial"/>
        </w:rPr>
        <w:t>;</w:t>
      </w:r>
    </w:p>
    <w:p w:rsidR="0071239D" w:rsidRDefault="00743494" w:rsidP="0071239D">
      <w:pPr>
        <w:spacing w:line="360" w:lineRule="auto"/>
        <w:ind w:firstLine="2835"/>
        <w:jc w:val="both"/>
        <w:rPr>
          <w:rFonts w:ascii="Arial" w:hAnsi="Arial" w:cs="Arial"/>
        </w:rPr>
      </w:pPr>
      <w:r>
        <w:rPr>
          <w:rFonts w:ascii="Arial" w:hAnsi="Arial" w:cs="Arial"/>
          <w:b/>
          <w:bCs/>
        </w:rPr>
        <w:lastRenderedPageBreak/>
        <w:t>8)</w:t>
      </w:r>
      <w:r>
        <w:rPr>
          <w:rFonts w:ascii="Arial" w:hAnsi="Arial" w:cs="Arial"/>
        </w:rPr>
        <w:t xml:space="preserve"> que por Resolución N°1258/12/2015, de fecha 23.12.15, el Directorio dispuso, previa intervención del Tribunal de Cuentas de la República, adjudicar la compra de referencia a la firma </w:t>
      </w:r>
      <w:proofErr w:type="spellStart"/>
      <w:r>
        <w:rPr>
          <w:rFonts w:ascii="Arial" w:hAnsi="Arial" w:cs="Arial"/>
        </w:rPr>
        <w:t>Ingener</w:t>
      </w:r>
      <w:proofErr w:type="spellEnd"/>
      <w:r>
        <w:rPr>
          <w:rFonts w:ascii="Arial" w:hAnsi="Arial" w:cs="Arial"/>
        </w:rPr>
        <w:t xml:space="preserve"> S.A</w:t>
      </w:r>
      <w:r w:rsidR="0071239D">
        <w:rPr>
          <w:rFonts w:ascii="Arial" w:hAnsi="Arial" w:cs="Arial"/>
        </w:rPr>
        <w:t>.</w:t>
      </w:r>
      <w:r>
        <w:rPr>
          <w:rFonts w:ascii="Arial" w:hAnsi="Arial" w:cs="Arial"/>
        </w:rPr>
        <w:t>, por un monto total de hasta $</w:t>
      </w:r>
      <w:r w:rsidR="0071239D">
        <w:rPr>
          <w:rFonts w:ascii="Arial" w:hAnsi="Arial" w:cs="Arial"/>
        </w:rPr>
        <w:t xml:space="preserve"> 42:</w:t>
      </w:r>
      <w:r>
        <w:rPr>
          <w:rFonts w:ascii="Arial" w:hAnsi="Arial" w:cs="Arial"/>
        </w:rPr>
        <w:t xml:space="preserve">026.507 y U$S 1:501.838 más IVA; oficiando ANCAP como agente de </w:t>
      </w:r>
      <w:r w:rsidR="0071239D">
        <w:rPr>
          <w:rFonts w:ascii="Arial" w:hAnsi="Arial" w:cs="Arial"/>
        </w:rPr>
        <w:t>retención del IVA y siendo las Leyes S</w:t>
      </w:r>
      <w:r>
        <w:rPr>
          <w:rFonts w:ascii="Arial" w:hAnsi="Arial" w:cs="Arial"/>
        </w:rPr>
        <w:t xml:space="preserve">ociales siendo de cargo de </w:t>
      </w:r>
      <w:r w:rsidR="0071239D">
        <w:rPr>
          <w:rFonts w:ascii="Arial" w:hAnsi="Arial" w:cs="Arial"/>
        </w:rPr>
        <w:t>ANCAP</w:t>
      </w:r>
      <w:r>
        <w:rPr>
          <w:rFonts w:ascii="Arial" w:hAnsi="Arial" w:cs="Arial"/>
        </w:rPr>
        <w:t>, hasta un monto imponible de $ 3:223.006;</w:t>
      </w:r>
    </w:p>
    <w:p w:rsidR="00D71BE1" w:rsidRDefault="00743494" w:rsidP="0071239D">
      <w:pPr>
        <w:spacing w:line="360" w:lineRule="auto"/>
        <w:ind w:firstLine="2835"/>
        <w:jc w:val="both"/>
        <w:rPr>
          <w:rFonts w:ascii="Arial" w:hAnsi="Arial" w:cs="Arial"/>
        </w:rPr>
      </w:pPr>
      <w:r>
        <w:rPr>
          <w:rFonts w:ascii="Arial" w:hAnsi="Arial" w:cs="Arial"/>
          <w:b/>
          <w:bCs/>
        </w:rPr>
        <w:t>9)</w:t>
      </w:r>
      <w:r>
        <w:rPr>
          <w:rFonts w:ascii="Arial" w:hAnsi="Arial" w:cs="Arial"/>
        </w:rPr>
        <w:t xml:space="preserve"> que este Tribunal, con fecha 18.01.16, para mejor proveer devolvió las actuaciones a los efectos de que: </w:t>
      </w:r>
    </w:p>
    <w:p w:rsidR="00D71BE1" w:rsidRDefault="00743494" w:rsidP="0071239D">
      <w:pPr>
        <w:spacing w:line="360" w:lineRule="auto"/>
        <w:ind w:firstLine="2835"/>
        <w:jc w:val="both"/>
        <w:rPr>
          <w:rFonts w:ascii="Arial" w:hAnsi="Arial" w:cs="Arial"/>
        </w:rPr>
      </w:pPr>
      <w:r>
        <w:rPr>
          <w:rFonts w:ascii="Arial" w:hAnsi="Arial" w:cs="Arial"/>
          <w:b/>
          <w:bCs/>
        </w:rPr>
        <w:t>9.1)</w:t>
      </w:r>
      <w:r>
        <w:rPr>
          <w:rFonts w:ascii="Arial" w:hAnsi="Arial" w:cs="Arial"/>
        </w:rPr>
        <w:t xml:space="preserve"> se expusieran  los motivos por los cuales la oferta de </w:t>
      </w:r>
      <w:proofErr w:type="spellStart"/>
      <w:r>
        <w:rPr>
          <w:rFonts w:ascii="Arial" w:hAnsi="Arial" w:cs="Arial"/>
        </w:rPr>
        <w:t>Ingener</w:t>
      </w:r>
      <w:proofErr w:type="spellEnd"/>
      <w:r>
        <w:rPr>
          <w:rFonts w:ascii="Arial" w:hAnsi="Arial" w:cs="Arial"/>
        </w:rPr>
        <w:t xml:space="preserve"> S.A., que resultó adjudicataria en este procedimiento, culmina la foja N° 41, siendo que según la numeración de su propuesta, la misma consta de 166 fojas; </w:t>
      </w:r>
    </w:p>
    <w:p w:rsidR="00D71BE1" w:rsidRDefault="00743494" w:rsidP="0071239D">
      <w:pPr>
        <w:spacing w:line="360" w:lineRule="auto"/>
        <w:ind w:firstLine="2835"/>
        <w:jc w:val="both"/>
        <w:rPr>
          <w:rFonts w:ascii="Arial" w:hAnsi="Arial" w:cs="Arial"/>
        </w:rPr>
      </w:pPr>
      <w:r>
        <w:rPr>
          <w:rFonts w:ascii="Arial" w:hAnsi="Arial" w:cs="Arial"/>
          <w:b/>
          <w:bCs/>
        </w:rPr>
        <w:t>9.2)</w:t>
      </w:r>
      <w:r w:rsidR="00D71BE1">
        <w:rPr>
          <w:rFonts w:ascii="Arial" w:hAnsi="Arial" w:cs="Arial"/>
        </w:rPr>
        <w:t xml:space="preserve"> se verificara </w:t>
      </w:r>
      <w:r>
        <w:rPr>
          <w:rFonts w:ascii="Arial" w:hAnsi="Arial" w:cs="Arial"/>
        </w:rPr>
        <w:t xml:space="preserve">si efectivamente las ofertas presentadas por </w:t>
      </w:r>
      <w:proofErr w:type="spellStart"/>
      <w:r>
        <w:rPr>
          <w:rFonts w:ascii="Arial" w:hAnsi="Arial" w:cs="Arial"/>
        </w:rPr>
        <w:t>Ciemsa</w:t>
      </w:r>
      <w:proofErr w:type="spellEnd"/>
      <w:r>
        <w:rPr>
          <w:rFonts w:ascii="Arial" w:hAnsi="Arial" w:cs="Arial"/>
        </w:rPr>
        <w:t xml:space="preserve">  y </w:t>
      </w:r>
      <w:proofErr w:type="spellStart"/>
      <w:r>
        <w:rPr>
          <w:rFonts w:ascii="Arial" w:hAnsi="Arial" w:cs="Arial"/>
        </w:rPr>
        <w:t>Saceem</w:t>
      </w:r>
      <w:proofErr w:type="spellEnd"/>
      <w:r>
        <w:rPr>
          <w:rFonts w:ascii="Arial" w:hAnsi="Arial" w:cs="Arial"/>
        </w:rPr>
        <w:t xml:space="preserve"> están completas, y en caso afirmativo, se deje constancia expresa de ello; </w:t>
      </w:r>
    </w:p>
    <w:p w:rsidR="00D71BE1" w:rsidRDefault="00743494" w:rsidP="00D71BE1">
      <w:pPr>
        <w:spacing w:line="360" w:lineRule="auto"/>
        <w:ind w:firstLine="2835"/>
        <w:jc w:val="both"/>
        <w:rPr>
          <w:rFonts w:ascii="Arial" w:hAnsi="Arial" w:cs="Arial"/>
        </w:rPr>
      </w:pPr>
      <w:r>
        <w:rPr>
          <w:rFonts w:ascii="Arial" w:hAnsi="Arial" w:cs="Arial"/>
          <w:b/>
          <w:bCs/>
        </w:rPr>
        <w:t>9.3)</w:t>
      </w:r>
      <w:r>
        <w:rPr>
          <w:rFonts w:ascii="Arial" w:hAnsi="Arial" w:cs="Arial"/>
        </w:rPr>
        <w:t xml:space="preserve"> en caso de verificar que las mismas no fueran  completas, se remitiera la totalidad de las mismas, por ser imprescindible que este Tribunal cuente con los elementos necesarios para emitir un pronunciamiento, efectuando el control que</w:t>
      </w:r>
      <w:r w:rsidR="00D71BE1">
        <w:rPr>
          <w:rFonts w:ascii="Arial" w:hAnsi="Arial" w:cs="Arial"/>
        </w:rPr>
        <w:t xml:space="preserve"> constitucionalmente le compete;</w:t>
      </w:r>
    </w:p>
    <w:p w:rsidR="00D71BE1" w:rsidRDefault="00743494" w:rsidP="00D71BE1">
      <w:pPr>
        <w:spacing w:line="360" w:lineRule="auto"/>
        <w:ind w:firstLine="2835"/>
        <w:jc w:val="both"/>
        <w:rPr>
          <w:rFonts w:ascii="Arial" w:hAnsi="Arial" w:cs="Arial"/>
        </w:rPr>
      </w:pPr>
      <w:r>
        <w:rPr>
          <w:rFonts w:ascii="Arial" w:hAnsi="Arial" w:cs="Arial"/>
          <w:b/>
          <w:bCs/>
        </w:rPr>
        <w:t>10)</w:t>
      </w:r>
      <w:r>
        <w:rPr>
          <w:rFonts w:ascii="Arial" w:hAnsi="Arial" w:cs="Arial"/>
        </w:rPr>
        <w:t xml:space="preserve"> que en la oportunidad, en respuesta a lo solicitado por este Tribunal, se remiten actuaciones donde constan: </w:t>
      </w:r>
    </w:p>
    <w:p w:rsidR="00D71BE1" w:rsidRDefault="00743494" w:rsidP="00D71BE1">
      <w:pPr>
        <w:spacing w:line="360" w:lineRule="auto"/>
        <w:ind w:firstLine="2835"/>
        <w:jc w:val="both"/>
        <w:rPr>
          <w:rFonts w:ascii="Arial" w:hAnsi="Arial" w:cs="Arial"/>
        </w:rPr>
      </w:pPr>
      <w:r>
        <w:rPr>
          <w:rFonts w:ascii="Arial" w:hAnsi="Arial" w:cs="Arial"/>
          <w:b/>
          <w:bCs/>
        </w:rPr>
        <w:t>10.1)</w:t>
      </w:r>
      <w:r>
        <w:rPr>
          <w:rFonts w:ascii="Arial" w:hAnsi="Arial" w:cs="Arial"/>
        </w:rPr>
        <w:t xml:space="preserve"> Resolución N° 2646 del Ministerio de Economía y Finanzas, adoptada el 22.01.16, disponiéndose que la contratación directa de referencia se encuentra comprendida en las causales de exc</w:t>
      </w:r>
      <w:r w:rsidR="00D71BE1">
        <w:rPr>
          <w:rFonts w:ascii="Arial" w:hAnsi="Arial" w:cs="Arial"/>
        </w:rPr>
        <w:t>epción dispuestas por el Artículo 33 Literal C) Numeral 9) Inciso 2)</w:t>
      </w:r>
      <w:r>
        <w:rPr>
          <w:rFonts w:ascii="Arial" w:hAnsi="Arial" w:cs="Arial"/>
        </w:rPr>
        <w:t xml:space="preserve"> del TOCAF y que los precios y cond</w:t>
      </w:r>
      <w:r w:rsidR="00D71BE1">
        <w:rPr>
          <w:rFonts w:ascii="Arial" w:hAnsi="Arial" w:cs="Arial"/>
        </w:rPr>
        <w:t>iciones corresponden a mercado;</w:t>
      </w:r>
    </w:p>
    <w:p w:rsidR="00D71BE1" w:rsidRDefault="00743494" w:rsidP="00D71BE1">
      <w:pPr>
        <w:spacing w:line="360" w:lineRule="auto"/>
        <w:ind w:firstLine="2835"/>
        <w:jc w:val="both"/>
        <w:rPr>
          <w:rFonts w:ascii="Arial" w:hAnsi="Arial" w:cs="Arial"/>
        </w:rPr>
      </w:pPr>
      <w:r>
        <w:rPr>
          <w:rFonts w:ascii="Arial" w:hAnsi="Arial" w:cs="Arial"/>
          <w:b/>
          <w:bCs/>
        </w:rPr>
        <w:t>10.2)</w:t>
      </w:r>
      <w:r>
        <w:rPr>
          <w:rFonts w:ascii="Arial" w:hAnsi="Arial" w:cs="Arial"/>
        </w:rPr>
        <w:t xml:space="preserve"> Complemento d</w:t>
      </w:r>
      <w:r w:rsidR="00D71BE1">
        <w:rPr>
          <w:rFonts w:ascii="Arial" w:hAnsi="Arial" w:cs="Arial"/>
        </w:rPr>
        <w:t>e la oferta de la firma INGENER:</w:t>
      </w:r>
    </w:p>
    <w:p w:rsidR="00D71BE1" w:rsidRDefault="00743494" w:rsidP="00D71BE1">
      <w:pPr>
        <w:spacing w:line="360" w:lineRule="auto"/>
        <w:ind w:firstLine="2835"/>
        <w:jc w:val="both"/>
        <w:rPr>
          <w:rFonts w:ascii="Arial" w:hAnsi="Arial" w:cs="Arial"/>
        </w:rPr>
      </w:pPr>
      <w:r>
        <w:rPr>
          <w:rFonts w:ascii="Arial" w:hAnsi="Arial" w:cs="Arial"/>
          <w:b/>
          <w:bCs/>
        </w:rPr>
        <w:lastRenderedPageBreak/>
        <w:t>10.3)</w:t>
      </w:r>
      <w:r>
        <w:rPr>
          <w:rFonts w:ascii="Arial" w:hAnsi="Arial" w:cs="Arial"/>
        </w:rPr>
        <w:t xml:space="preserve"> Informe de fecha 26.01.16, de la Gerencia Abastecimiento, expresándose  que se verificó que  las ofertas de CIEMSA y SACEEM se encuentran completas en el Expediente, adjuntándose como documentación física el CD de la oferta de CIEMSA y la oferta original de SACEEM a sus efectos; y establece además, que al momento del estudio de las cotizaciones se tomaron en cuenta las ofertas físicas originales presentadas en la apertura;</w:t>
      </w:r>
    </w:p>
    <w:p w:rsidR="00D71BE1" w:rsidRDefault="00743494" w:rsidP="00D71BE1">
      <w:pPr>
        <w:spacing w:line="360" w:lineRule="auto"/>
        <w:ind w:firstLine="851"/>
        <w:jc w:val="both"/>
        <w:rPr>
          <w:rFonts w:ascii="Arial" w:hAnsi="Arial" w:cs="Arial"/>
        </w:rPr>
      </w:pPr>
      <w:r>
        <w:rPr>
          <w:rFonts w:ascii="Arial" w:hAnsi="Arial" w:cs="Arial"/>
          <w:b/>
          <w:bCs/>
        </w:rPr>
        <w:t>CONSIDERANDO:</w:t>
      </w:r>
      <w:r>
        <w:rPr>
          <w:rFonts w:ascii="Arial" w:hAnsi="Arial" w:cs="Arial"/>
        </w:rPr>
        <w:t xml:space="preserve"> </w:t>
      </w:r>
      <w:r>
        <w:rPr>
          <w:rFonts w:ascii="Arial" w:hAnsi="Arial" w:cs="Arial"/>
          <w:b/>
          <w:bCs/>
        </w:rPr>
        <w:t>1)</w:t>
      </w:r>
      <w:r w:rsidR="00D71BE1">
        <w:rPr>
          <w:rFonts w:ascii="Arial" w:hAnsi="Arial" w:cs="Arial"/>
        </w:rPr>
        <w:t xml:space="preserve"> que el Artículo 33 L</w:t>
      </w:r>
      <w:r>
        <w:rPr>
          <w:rFonts w:ascii="Arial" w:hAnsi="Arial" w:cs="Arial"/>
        </w:rPr>
        <w:t>iteral C</w:t>
      </w:r>
      <w:r w:rsidR="00D71BE1">
        <w:rPr>
          <w:rFonts w:ascii="Arial" w:hAnsi="Arial" w:cs="Arial"/>
        </w:rPr>
        <w:t>) N</w:t>
      </w:r>
      <w:r>
        <w:rPr>
          <w:rFonts w:ascii="Arial" w:hAnsi="Arial" w:cs="Arial"/>
        </w:rPr>
        <w:t>umeral 9) del TOCAF prevé la contratación directa</w:t>
      </w:r>
      <w:r w:rsidR="00D71BE1">
        <w:rPr>
          <w:rFonts w:ascii="Arial" w:hAnsi="Arial" w:cs="Arial"/>
        </w:rPr>
        <w:t xml:space="preserve"> o por el procedimiento que el O</w:t>
      </w:r>
      <w:r>
        <w:rPr>
          <w:rFonts w:ascii="Arial" w:hAnsi="Arial" w:cs="Arial"/>
        </w:rPr>
        <w:t>rdenador determine por razones de buena administración “cuando medien probadas razones de urgencia no previsibles o no sea posible la licitación o remate público o su realización resienta el servicio”, debiendo contar estas contrataciones con la certificación del Ministerio de Economía y Finanzas, tanto de la configuración de los extremos que habilitan la causal, como los precios y condiciones que corresponden al mercado;</w:t>
      </w:r>
    </w:p>
    <w:p w:rsidR="00D71BE1" w:rsidRDefault="00743494" w:rsidP="00D71BE1">
      <w:pPr>
        <w:spacing w:line="360" w:lineRule="auto"/>
        <w:ind w:firstLine="3119"/>
        <w:jc w:val="both"/>
        <w:rPr>
          <w:rFonts w:ascii="Arial" w:hAnsi="Arial" w:cs="Arial"/>
        </w:rPr>
      </w:pPr>
      <w:r>
        <w:rPr>
          <w:rFonts w:ascii="Arial" w:hAnsi="Arial" w:cs="Arial"/>
          <w:b/>
          <w:bCs/>
        </w:rPr>
        <w:t>2)</w:t>
      </w:r>
      <w:r w:rsidR="00D71BE1">
        <w:rPr>
          <w:rFonts w:ascii="Arial" w:hAnsi="Arial" w:cs="Arial"/>
        </w:rPr>
        <w:t xml:space="preserve"> que por otra parte, el A</w:t>
      </w:r>
      <w:r>
        <w:rPr>
          <w:rFonts w:ascii="Arial" w:hAnsi="Arial" w:cs="Arial"/>
        </w:rPr>
        <w:t>rtículo 157 del TOCAF dispone que “cuando se invoquen razones de urgencia o imprevistos de carácter excepcional deberán fundarse adecuadamente, y en el primer caso informar sobre la imposibilidad de previsión en  tiempo”;</w:t>
      </w:r>
    </w:p>
    <w:p w:rsidR="00743494" w:rsidRDefault="00743494" w:rsidP="00D71BE1">
      <w:pPr>
        <w:spacing w:line="360" w:lineRule="auto"/>
        <w:ind w:firstLine="3119"/>
        <w:jc w:val="both"/>
        <w:rPr>
          <w:rFonts w:ascii="Arial" w:hAnsi="Arial" w:cs="Arial"/>
        </w:rPr>
      </w:pPr>
      <w:r>
        <w:rPr>
          <w:rFonts w:ascii="Arial" w:hAnsi="Arial" w:cs="Arial"/>
          <w:b/>
          <w:bCs/>
        </w:rPr>
        <w:t>3)</w:t>
      </w:r>
      <w:r>
        <w:rPr>
          <w:rFonts w:ascii="Arial" w:hAnsi="Arial" w:cs="Arial"/>
        </w:rPr>
        <w:t xml:space="preserve"> que la presente contratación se encuentra comprendida dentro de las previsiones establecidas </w:t>
      </w:r>
      <w:r w:rsidR="00D71BE1">
        <w:rPr>
          <w:rFonts w:ascii="Arial" w:hAnsi="Arial" w:cs="Arial"/>
        </w:rPr>
        <w:t>en las normas antes invocadas (R</w:t>
      </w:r>
      <w:r>
        <w:rPr>
          <w:rFonts w:ascii="Arial" w:hAnsi="Arial" w:cs="Arial"/>
        </w:rPr>
        <w:t xml:space="preserve">esultando 4); </w:t>
      </w:r>
    </w:p>
    <w:p w:rsidR="00743494" w:rsidRDefault="00743494" w:rsidP="00D71BE1">
      <w:pPr>
        <w:spacing w:line="360" w:lineRule="auto"/>
        <w:ind w:firstLine="851"/>
        <w:jc w:val="both"/>
        <w:rPr>
          <w:rFonts w:ascii="Arial" w:hAnsi="Arial" w:cs="Arial"/>
        </w:rPr>
      </w:pPr>
      <w:r>
        <w:rPr>
          <w:rFonts w:ascii="Arial" w:hAnsi="Arial" w:cs="Arial"/>
          <w:b/>
          <w:bCs/>
        </w:rPr>
        <w:t>ATENTO:</w:t>
      </w:r>
      <w:r>
        <w:rPr>
          <w:rFonts w:ascii="Arial" w:hAnsi="Arial" w:cs="Arial"/>
        </w:rPr>
        <w:t xml:space="preserve"> a lo ex</w:t>
      </w:r>
      <w:r w:rsidR="00D71BE1">
        <w:rPr>
          <w:rFonts w:ascii="Arial" w:hAnsi="Arial" w:cs="Arial"/>
        </w:rPr>
        <w:t>puesto y a lo dispuesto por el A</w:t>
      </w:r>
      <w:r>
        <w:rPr>
          <w:rFonts w:ascii="Arial" w:hAnsi="Arial" w:cs="Arial"/>
        </w:rPr>
        <w:t>rt</w:t>
      </w:r>
      <w:r w:rsidR="00D71BE1">
        <w:rPr>
          <w:rFonts w:ascii="Arial" w:hAnsi="Arial" w:cs="Arial"/>
        </w:rPr>
        <w:t>ículo 211 L</w:t>
      </w:r>
      <w:r>
        <w:rPr>
          <w:rFonts w:ascii="Arial" w:hAnsi="Arial" w:cs="Arial"/>
        </w:rPr>
        <w:t>iteral B) de la Constitución</w:t>
      </w:r>
      <w:r w:rsidR="00D71BE1">
        <w:rPr>
          <w:rFonts w:ascii="Arial" w:hAnsi="Arial" w:cs="Arial"/>
        </w:rPr>
        <w:t xml:space="preserve"> de la República</w:t>
      </w:r>
      <w:r>
        <w:rPr>
          <w:rFonts w:ascii="Arial" w:hAnsi="Arial" w:cs="Arial"/>
        </w:rPr>
        <w:t>;</w:t>
      </w:r>
    </w:p>
    <w:p w:rsidR="00743494" w:rsidRDefault="00743494" w:rsidP="00D71BE1">
      <w:pPr>
        <w:spacing w:line="360" w:lineRule="auto"/>
        <w:jc w:val="center"/>
        <w:rPr>
          <w:rFonts w:ascii="Arial" w:hAnsi="Arial" w:cs="Arial"/>
          <w:b/>
          <w:bCs/>
        </w:rPr>
      </w:pPr>
      <w:r>
        <w:rPr>
          <w:rFonts w:ascii="Arial" w:hAnsi="Arial" w:cs="Arial"/>
          <w:b/>
          <w:bCs/>
        </w:rPr>
        <w:t xml:space="preserve">EL TRIBUNAL </w:t>
      </w:r>
      <w:r w:rsidR="00D71BE1">
        <w:rPr>
          <w:rFonts w:ascii="Arial" w:hAnsi="Arial" w:cs="Arial"/>
          <w:b/>
          <w:bCs/>
        </w:rPr>
        <w:t xml:space="preserve"> POR MAYORIA </w:t>
      </w:r>
      <w:r>
        <w:rPr>
          <w:rFonts w:ascii="Arial" w:hAnsi="Arial" w:cs="Arial"/>
          <w:b/>
          <w:bCs/>
        </w:rPr>
        <w:t>ACUERDA</w:t>
      </w:r>
    </w:p>
    <w:p w:rsidR="00743494" w:rsidRDefault="00743494" w:rsidP="00D71BE1">
      <w:pPr>
        <w:spacing w:line="360" w:lineRule="auto"/>
        <w:ind w:left="284" w:hanging="284"/>
        <w:jc w:val="both"/>
        <w:rPr>
          <w:rFonts w:ascii="Arial" w:hAnsi="Arial" w:cs="Arial"/>
        </w:rPr>
      </w:pPr>
      <w:r>
        <w:rPr>
          <w:rFonts w:ascii="Arial" w:hAnsi="Arial" w:cs="Arial"/>
          <w:b/>
          <w:bCs/>
        </w:rPr>
        <w:t>1)</w:t>
      </w:r>
      <w:r w:rsidR="00D71BE1">
        <w:rPr>
          <w:rFonts w:ascii="Arial" w:hAnsi="Arial" w:cs="Arial"/>
        </w:rPr>
        <w:t xml:space="preserve"> </w:t>
      </w:r>
      <w:r>
        <w:rPr>
          <w:rFonts w:ascii="Arial" w:hAnsi="Arial" w:cs="Arial"/>
        </w:rPr>
        <w:t xml:space="preserve">Una vez recabado el pronunciamiento del Ministerio de Economía y Finanzas (Considerando 1), </w:t>
      </w:r>
      <w:proofErr w:type="spellStart"/>
      <w:r>
        <w:rPr>
          <w:rFonts w:ascii="Arial" w:hAnsi="Arial" w:cs="Arial"/>
        </w:rPr>
        <w:t>cométese</w:t>
      </w:r>
      <w:proofErr w:type="spellEnd"/>
      <w:r>
        <w:rPr>
          <w:rFonts w:ascii="Arial" w:hAnsi="Arial" w:cs="Arial"/>
        </w:rPr>
        <w:t xml:space="preserve"> al Contador Delegado la intervención preventiva del gasto, una vez imputado el mismo a rubro adecuado con disponibilidad suficiente;</w:t>
      </w:r>
    </w:p>
    <w:p w:rsidR="00743494" w:rsidRDefault="00743494">
      <w:pPr>
        <w:spacing w:after="200"/>
        <w:jc w:val="both"/>
        <w:rPr>
          <w:rFonts w:ascii="Arial" w:hAnsi="Arial" w:cs="Arial"/>
        </w:rPr>
      </w:pPr>
      <w:r>
        <w:rPr>
          <w:rFonts w:ascii="Arial" w:hAnsi="Arial" w:cs="Arial"/>
          <w:b/>
          <w:bCs/>
        </w:rPr>
        <w:lastRenderedPageBreak/>
        <w:t>2)</w:t>
      </w:r>
      <w:r w:rsidR="0007475B">
        <w:rPr>
          <w:rFonts w:ascii="Arial" w:hAnsi="Arial" w:cs="Arial"/>
        </w:rPr>
        <w:t xml:space="preserve"> </w:t>
      </w:r>
      <w:r>
        <w:rPr>
          <w:rFonts w:ascii="Arial" w:hAnsi="Arial" w:cs="Arial"/>
        </w:rPr>
        <w:t>Comunicar al Contador Delegado; y</w:t>
      </w:r>
    </w:p>
    <w:p w:rsidR="00743494" w:rsidRDefault="0007475B">
      <w:pPr>
        <w:spacing w:after="200"/>
        <w:jc w:val="both"/>
        <w:rPr>
          <w:rFonts w:ascii="Arial" w:hAnsi="Arial" w:cs="Arial"/>
        </w:rPr>
      </w:pPr>
      <w:r>
        <w:rPr>
          <w:rFonts w:ascii="Arial" w:hAnsi="Arial" w:cs="Arial"/>
          <w:b/>
          <w:bCs/>
        </w:rPr>
        <w:t xml:space="preserve">3) </w:t>
      </w:r>
      <w:r w:rsidR="00743494">
        <w:rPr>
          <w:rFonts w:ascii="Arial" w:hAnsi="Arial" w:cs="Arial"/>
        </w:rPr>
        <w:t>Devolver las actuaciones.</w:t>
      </w:r>
    </w:p>
    <w:p w:rsidR="0007475B" w:rsidRDefault="0007475B">
      <w:pPr>
        <w:spacing w:after="200"/>
        <w:jc w:val="both"/>
        <w:rPr>
          <w:rFonts w:ascii="Arial" w:hAnsi="Arial" w:cs="Arial"/>
        </w:rPr>
      </w:pPr>
    </w:p>
    <w:p w:rsidR="0007475B" w:rsidRDefault="0007475B">
      <w:pPr>
        <w:spacing w:after="200"/>
        <w:jc w:val="both"/>
        <w:rPr>
          <w:rFonts w:ascii="Arial" w:hAnsi="Arial" w:cs="Arial"/>
        </w:rPr>
      </w:pPr>
    </w:p>
    <w:p w:rsidR="0007475B" w:rsidRDefault="0007475B">
      <w:pPr>
        <w:spacing w:after="200"/>
        <w:jc w:val="both"/>
        <w:rPr>
          <w:rFonts w:ascii="Arial" w:hAnsi="Arial" w:cs="Arial"/>
        </w:rPr>
      </w:pPr>
    </w:p>
    <w:p w:rsidR="0007475B" w:rsidRDefault="0007475B">
      <w:pPr>
        <w:spacing w:after="200"/>
        <w:jc w:val="both"/>
        <w:rPr>
          <w:rFonts w:ascii="Arial" w:hAnsi="Arial" w:cs="Arial"/>
        </w:rPr>
      </w:pPr>
    </w:p>
    <w:p w:rsidR="0007475B" w:rsidRDefault="0007475B">
      <w:pPr>
        <w:spacing w:after="200"/>
        <w:jc w:val="both"/>
        <w:rPr>
          <w:rFonts w:ascii="Arial" w:hAnsi="Arial" w:cs="Arial"/>
        </w:rPr>
      </w:pPr>
    </w:p>
    <w:p w:rsidR="0007475B" w:rsidRDefault="0007475B" w:rsidP="00BF5137">
      <w:pPr>
        <w:spacing w:line="360" w:lineRule="auto"/>
        <w:jc w:val="both"/>
        <w:rPr>
          <w:rFonts w:ascii="Arial" w:hAnsi="Arial" w:cs="Arial"/>
        </w:rPr>
      </w:pPr>
    </w:p>
    <w:p w:rsidR="0007475B" w:rsidRPr="0007475B" w:rsidRDefault="0007475B">
      <w:pPr>
        <w:spacing w:line="360" w:lineRule="auto"/>
        <w:jc w:val="both"/>
        <w:rPr>
          <w:rFonts w:ascii="Arial" w:hAnsi="Arial" w:cs="Arial"/>
        </w:rPr>
      </w:pPr>
      <w:r w:rsidRPr="00E9382D">
        <w:rPr>
          <w:rFonts w:ascii="Arial" w:hAnsi="Arial" w:cs="Arial"/>
          <w:b/>
        </w:rPr>
        <w:t>CON</w:t>
      </w:r>
      <w:r>
        <w:rPr>
          <w:rFonts w:ascii="Arial" w:hAnsi="Arial" w:cs="Arial"/>
          <w:b/>
        </w:rPr>
        <w:t>S</w:t>
      </w:r>
      <w:r w:rsidRPr="00E9382D">
        <w:rPr>
          <w:rFonts w:ascii="Arial" w:hAnsi="Arial" w:cs="Arial"/>
          <w:b/>
        </w:rPr>
        <w:t xml:space="preserve">TANCIA DE FUNDAMENTO DE VOTO </w:t>
      </w:r>
      <w:r>
        <w:rPr>
          <w:rFonts w:ascii="Arial" w:hAnsi="Arial" w:cs="Arial"/>
          <w:b/>
        </w:rPr>
        <w:t>DISCORDE</w:t>
      </w:r>
      <w:r w:rsidRPr="00E9382D">
        <w:rPr>
          <w:rFonts w:ascii="Arial" w:hAnsi="Arial" w:cs="Arial"/>
          <w:b/>
        </w:rPr>
        <w:t xml:space="preserve"> DE</w:t>
      </w:r>
      <w:r>
        <w:rPr>
          <w:rFonts w:ascii="Arial" w:hAnsi="Arial" w:cs="Arial"/>
          <w:b/>
        </w:rPr>
        <w:t xml:space="preserve"> </w:t>
      </w:r>
      <w:r w:rsidRPr="00E9382D">
        <w:rPr>
          <w:rFonts w:ascii="Arial" w:hAnsi="Arial" w:cs="Arial"/>
          <w:b/>
        </w:rPr>
        <w:t>L</w:t>
      </w:r>
      <w:r>
        <w:rPr>
          <w:rFonts w:ascii="Arial" w:hAnsi="Arial" w:cs="Arial"/>
          <w:b/>
        </w:rPr>
        <w:t>A</w:t>
      </w:r>
      <w:r w:rsidRPr="00E9382D">
        <w:rPr>
          <w:rFonts w:ascii="Arial" w:hAnsi="Arial" w:cs="Arial"/>
          <w:b/>
        </w:rPr>
        <w:t xml:space="preserve"> </w:t>
      </w:r>
      <w:r w:rsidRPr="005C0AC0">
        <w:rPr>
          <w:rFonts w:ascii="Arial" w:hAnsi="Arial" w:cs="Arial"/>
          <w:b/>
        </w:rPr>
        <w:t>MINISTRA</w:t>
      </w:r>
      <w:r>
        <w:rPr>
          <w:rFonts w:ascii="Arial" w:hAnsi="Arial" w:cs="Arial"/>
        </w:rPr>
        <w:t xml:space="preserve">             </w:t>
      </w:r>
      <w:r>
        <w:rPr>
          <w:rFonts w:ascii="Arial" w:hAnsi="Arial" w:cs="Arial"/>
          <w:b/>
        </w:rPr>
        <w:t>CRA. BEATRIZ MARTINEZ</w:t>
      </w:r>
      <w:r w:rsidRPr="005C0AC0">
        <w:rPr>
          <w:rFonts w:ascii="Arial" w:hAnsi="Arial" w:cs="Arial"/>
          <w:b/>
        </w:rPr>
        <w:t>:</w:t>
      </w:r>
      <w:r w:rsidRPr="00FB4277">
        <w:rPr>
          <w:rFonts w:ascii="Arial" w:hAnsi="Arial" w:cs="Arial"/>
        </w:rPr>
        <w:t xml:space="preserve"> </w:t>
      </w:r>
      <w:r>
        <w:rPr>
          <w:rFonts w:ascii="Arial" w:hAnsi="Arial" w:cs="Arial"/>
        </w:rPr>
        <w:t>“</w:t>
      </w:r>
      <w:r w:rsidRPr="0007475B">
        <w:rPr>
          <w:rFonts w:ascii="Arial" w:hAnsi="Arial" w:cs="Arial"/>
        </w:rPr>
        <w:t>Esta Carpeta trata de una contratación directa que se fundamenta en el art. 33, literal C numeral 9 del TOCAF, razones de urgencia.</w:t>
      </w:r>
    </w:p>
    <w:p w:rsidR="0007475B" w:rsidRPr="0007475B" w:rsidRDefault="0007475B">
      <w:pPr>
        <w:spacing w:line="360" w:lineRule="auto"/>
        <w:jc w:val="both"/>
        <w:rPr>
          <w:rFonts w:ascii="Arial" w:hAnsi="Arial" w:cs="Arial"/>
        </w:rPr>
      </w:pPr>
      <w:r w:rsidRPr="0007475B">
        <w:rPr>
          <w:rFonts w:ascii="Arial" w:hAnsi="Arial" w:cs="Arial"/>
        </w:rPr>
        <w:t xml:space="preserve">Se trata de una contratación para continuar una obra no fue terminada por la empresa </w:t>
      </w:r>
      <w:proofErr w:type="spellStart"/>
      <w:r w:rsidRPr="0007475B">
        <w:rPr>
          <w:rFonts w:ascii="Arial" w:hAnsi="Arial" w:cs="Arial"/>
        </w:rPr>
        <w:t>Mantiba</w:t>
      </w:r>
      <w:proofErr w:type="spellEnd"/>
      <w:r w:rsidRPr="0007475B">
        <w:rPr>
          <w:rFonts w:ascii="Arial" w:hAnsi="Arial" w:cs="Arial"/>
        </w:rPr>
        <w:t xml:space="preserve"> S.A., inicialmente contratada para el suministro e instalación de un sistema de  tratamiento de efluentes. El plazo de ejecución del contrato y su ampliación venció en agosto de 2013.</w:t>
      </w:r>
    </w:p>
    <w:p w:rsidR="0007475B" w:rsidRPr="0007475B" w:rsidRDefault="0007475B">
      <w:pPr>
        <w:spacing w:line="360" w:lineRule="auto"/>
        <w:jc w:val="both"/>
        <w:rPr>
          <w:rFonts w:ascii="Arial" w:hAnsi="Arial" w:cs="Arial"/>
        </w:rPr>
      </w:pPr>
      <w:r w:rsidRPr="0007475B">
        <w:rPr>
          <w:rFonts w:ascii="Arial" w:hAnsi="Arial" w:cs="Arial"/>
        </w:rPr>
        <w:t>El Directorio de ANCAP decidió rescindir el contrato, lo  que se logró mediante transacción a la que se llegó en marzo de 2015.</w:t>
      </w:r>
    </w:p>
    <w:p w:rsidR="0007475B" w:rsidRPr="0007475B" w:rsidRDefault="0007475B">
      <w:pPr>
        <w:spacing w:line="360" w:lineRule="auto"/>
        <w:jc w:val="both"/>
        <w:rPr>
          <w:rFonts w:ascii="Arial" w:hAnsi="Arial" w:cs="Arial"/>
        </w:rPr>
      </w:pPr>
      <w:r w:rsidRPr="0007475B">
        <w:rPr>
          <w:rFonts w:ascii="Arial" w:hAnsi="Arial" w:cs="Arial"/>
        </w:rPr>
        <w:t xml:space="preserve">Con fecha 11 de agosto de 2015 se formula informe de la Gerencia de Medio Ambiente, Seguridad y Calidad – </w:t>
      </w:r>
      <w:proofErr w:type="spellStart"/>
      <w:r w:rsidRPr="0007475B">
        <w:rPr>
          <w:rFonts w:ascii="Arial" w:hAnsi="Arial" w:cs="Arial"/>
        </w:rPr>
        <w:t>Area</w:t>
      </w:r>
      <w:proofErr w:type="spellEnd"/>
      <w:r w:rsidRPr="0007475B">
        <w:rPr>
          <w:rFonts w:ascii="Arial" w:hAnsi="Arial" w:cs="Arial"/>
        </w:rPr>
        <w:t xml:space="preserve"> Medio Ambiente que fundamenta la urgencia por razones ambientales.</w:t>
      </w:r>
    </w:p>
    <w:p w:rsidR="0007475B" w:rsidRPr="0007475B" w:rsidRDefault="0007475B">
      <w:pPr>
        <w:spacing w:line="360" w:lineRule="auto"/>
        <w:jc w:val="both"/>
        <w:rPr>
          <w:rFonts w:ascii="Arial" w:hAnsi="Arial" w:cs="Arial"/>
        </w:rPr>
      </w:pPr>
      <w:r w:rsidRPr="0007475B">
        <w:rPr>
          <w:rFonts w:ascii="Arial" w:hAnsi="Arial" w:cs="Arial"/>
        </w:rPr>
        <w:t xml:space="preserve">Ahora bien, los problemas ambientales seguramente fueron el motivo de la contratación con </w:t>
      </w:r>
      <w:proofErr w:type="spellStart"/>
      <w:r w:rsidRPr="0007475B">
        <w:rPr>
          <w:rFonts w:ascii="Arial" w:hAnsi="Arial" w:cs="Arial"/>
        </w:rPr>
        <w:t>Mantiba</w:t>
      </w:r>
      <w:proofErr w:type="spellEnd"/>
      <w:r w:rsidRPr="0007475B">
        <w:rPr>
          <w:rFonts w:ascii="Arial" w:hAnsi="Arial" w:cs="Arial"/>
        </w:rPr>
        <w:t xml:space="preserve"> S.A. efectuada en el año 2010.</w:t>
      </w:r>
    </w:p>
    <w:p w:rsidR="0007475B" w:rsidRPr="0007475B" w:rsidRDefault="0007475B">
      <w:pPr>
        <w:spacing w:line="360" w:lineRule="auto"/>
        <w:jc w:val="both"/>
        <w:rPr>
          <w:rFonts w:ascii="Arial" w:hAnsi="Arial" w:cs="Arial"/>
        </w:rPr>
      </w:pPr>
      <w:r w:rsidRPr="0007475B">
        <w:rPr>
          <w:rFonts w:ascii="Arial" w:hAnsi="Arial" w:cs="Arial"/>
        </w:rPr>
        <w:t>Se demoró un año y meses en llegar a la transacción y una vez efectuada ésta, se demoraron cinco meses en informar de la urgencia de una nueva contratación.</w:t>
      </w:r>
    </w:p>
    <w:p w:rsidR="0007475B" w:rsidRPr="0007475B" w:rsidRDefault="0007475B">
      <w:pPr>
        <w:spacing w:line="360" w:lineRule="auto"/>
        <w:jc w:val="both"/>
        <w:rPr>
          <w:rFonts w:ascii="Arial" w:hAnsi="Arial" w:cs="Arial"/>
        </w:rPr>
      </w:pPr>
      <w:r w:rsidRPr="0007475B">
        <w:rPr>
          <w:rFonts w:ascii="Arial" w:hAnsi="Arial" w:cs="Arial"/>
        </w:rPr>
        <w:lastRenderedPageBreak/>
        <w:t>La apertura de ofertas se fijó para setiembre y se prorrogó para octubre, o sea que no se trataba, por cierto, de ofertas que requerían una elaboración muy trabajosa.</w:t>
      </w:r>
    </w:p>
    <w:p w:rsidR="0007475B" w:rsidRPr="0007475B" w:rsidRDefault="0007475B">
      <w:pPr>
        <w:spacing w:line="360" w:lineRule="auto"/>
        <w:jc w:val="both"/>
        <w:rPr>
          <w:rFonts w:ascii="Arial" w:hAnsi="Arial" w:cs="Arial"/>
        </w:rPr>
      </w:pPr>
      <w:r w:rsidRPr="0007475B">
        <w:rPr>
          <w:rFonts w:ascii="Arial" w:hAnsi="Arial" w:cs="Arial"/>
        </w:rPr>
        <w:t xml:space="preserve">Entonces, tratándose de un problema que ha existido por años, por qué no se preparó una licitación mientras se procesaba la </w:t>
      </w:r>
      <w:proofErr w:type="spellStart"/>
      <w:r w:rsidRPr="0007475B">
        <w:rPr>
          <w:rFonts w:ascii="Arial" w:hAnsi="Arial" w:cs="Arial"/>
        </w:rPr>
        <w:t>rescición</w:t>
      </w:r>
      <w:proofErr w:type="spellEnd"/>
      <w:r w:rsidRPr="0007475B">
        <w:rPr>
          <w:rFonts w:ascii="Arial" w:hAnsi="Arial" w:cs="Arial"/>
        </w:rPr>
        <w:t xml:space="preserve"> con </w:t>
      </w:r>
      <w:proofErr w:type="spellStart"/>
      <w:r w:rsidRPr="0007475B">
        <w:rPr>
          <w:rFonts w:ascii="Arial" w:hAnsi="Arial" w:cs="Arial"/>
        </w:rPr>
        <w:t>Mantba</w:t>
      </w:r>
      <w:proofErr w:type="spellEnd"/>
      <w:r w:rsidRPr="0007475B">
        <w:rPr>
          <w:rFonts w:ascii="Arial" w:hAnsi="Arial" w:cs="Arial"/>
        </w:rPr>
        <w:t xml:space="preserve"> y se procedió a informar de la urgencia cinco meses después de la misma</w:t>
      </w:r>
      <w:proofErr w:type="gramStart"/>
      <w:r w:rsidRPr="0007475B">
        <w:rPr>
          <w:rFonts w:ascii="Arial" w:hAnsi="Arial" w:cs="Arial"/>
        </w:rPr>
        <w:t>?</w:t>
      </w:r>
      <w:proofErr w:type="gramEnd"/>
    </w:p>
    <w:p w:rsidR="0007475B" w:rsidRPr="0007475B" w:rsidRDefault="0007475B">
      <w:pPr>
        <w:spacing w:line="360" w:lineRule="auto"/>
        <w:jc w:val="both"/>
        <w:rPr>
          <w:rFonts w:ascii="Arial" w:hAnsi="Arial" w:cs="Arial"/>
        </w:rPr>
      </w:pPr>
      <w:r w:rsidRPr="0007475B">
        <w:rPr>
          <w:rFonts w:ascii="Arial" w:hAnsi="Arial" w:cs="Arial"/>
        </w:rPr>
        <w:t>En razón de lo expuesto, considero que no existen  las “probadas razones de urgencia no previsibles” que justifiquen la contratación directa.</w:t>
      </w:r>
    </w:p>
    <w:p w:rsidR="0007475B" w:rsidRDefault="0007475B" w:rsidP="0007475B">
      <w:pPr>
        <w:spacing w:line="360" w:lineRule="auto"/>
        <w:jc w:val="both"/>
        <w:rPr>
          <w:rFonts w:ascii="Arial" w:hAnsi="Arial" w:cs="Arial"/>
        </w:rPr>
      </w:pPr>
      <w:r w:rsidRPr="0007475B">
        <w:rPr>
          <w:rFonts w:ascii="Arial" w:hAnsi="Arial" w:cs="Arial"/>
        </w:rPr>
        <w:t>Por eso mi voto discorde</w:t>
      </w:r>
      <w:r>
        <w:rPr>
          <w:rFonts w:ascii="Arial" w:hAnsi="Arial" w:cs="Arial"/>
        </w:rPr>
        <w:t>”</w:t>
      </w:r>
    </w:p>
    <w:p w:rsidR="0007475B" w:rsidRDefault="0007475B" w:rsidP="0007475B">
      <w:pPr>
        <w:spacing w:line="360" w:lineRule="auto"/>
        <w:jc w:val="both"/>
        <w:rPr>
          <w:rFonts w:ascii="Arial" w:hAnsi="Arial" w:cs="Arial"/>
        </w:rPr>
      </w:pPr>
    </w:p>
    <w:p w:rsidR="0007475B" w:rsidRPr="0007475B" w:rsidRDefault="0007475B" w:rsidP="0007475B">
      <w:pPr>
        <w:pStyle w:val="Textoindependiente"/>
        <w:spacing w:line="360" w:lineRule="auto"/>
        <w:jc w:val="both"/>
        <w:rPr>
          <w:rFonts w:ascii="Arial" w:hAnsi="Arial" w:cs="Arial"/>
          <w:b w:val="0"/>
          <w:u w:val="none"/>
        </w:rPr>
      </w:pPr>
      <w:r w:rsidRPr="0007475B">
        <w:rPr>
          <w:rFonts w:ascii="Arial" w:hAnsi="Arial" w:cs="Arial"/>
          <w:u w:val="none"/>
        </w:rPr>
        <w:t xml:space="preserve">CONSTANCIA DE FUNDAMENTO DE VOTO DISCORDE DEL MINISTRO                ING. RUPERTO LONG: </w:t>
      </w:r>
      <w:r>
        <w:rPr>
          <w:rFonts w:ascii="Arial" w:hAnsi="Arial" w:cs="Arial"/>
          <w:u w:val="none"/>
        </w:rPr>
        <w:t>“</w:t>
      </w:r>
      <w:r w:rsidRPr="0007475B">
        <w:rPr>
          <w:rFonts w:ascii="Arial" w:hAnsi="Arial" w:cs="Arial"/>
          <w:b w:val="0"/>
          <w:u w:val="none"/>
        </w:rPr>
        <w:t xml:space="preserve">Según se nos informa, el plazo de ejecución del contrato oportunamente adjudicado por ANCAP a la firma </w:t>
      </w:r>
      <w:proofErr w:type="spellStart"/>
      <w:r w:rsidRPr="0007475B">
        <w:rPr>
          <w:rFonts w:ascii="Arial" w:hAnsi="Arial" w:cs="Arial"/>
          <w:b w:val="0"/>
          <w:u w:val="none"/>
        </w:rPr>
        <w:t>Mantiba</w:t>
      </w:r>
      <w:proofErr w:type="spellEnd"/>
      <w:r w:rsidRPr="0007475B">
        <w:rPr>
          <w:rFonts w:ascii="Arial" w:hAnsi="Arial" w:cs="Arial"/>
          <w:b w:val="0"/>
          <w:u w:val="none"/>
        </w:rPr>
        <w:t xml:space="preserve"> finalizó en marzo de 2013. Por tanto, la contratación directa por razones de urgencia se somete a nuestra consideración cerca de tres años después del momento en que la Administración constatara en forma fehaciente el incumplimiento de la referida firma.</w:t>
      </w:r>
    </w:p>
    <w:p w:rsidR="0007475B" w:rsidRPr="0007475B" w:rsidRDefault="0007475B">
      <w:pPr>
        <w:spacing w:line="360" w:lineRule="auto"/>
        <w:jc w:val="both"/>
        <w:rPr>
          <w:rFonts w:ascii="Arial" w:hAnsi="Arial" w:cs="Arial"/>
        </w:rPr>
      </w:pPr>
      <w:r w:rsidRPr="0007475B">
        <w:rPr>
          <w:rFonts w:ascii="Arial" w:hAnsi="Arial" w:cs="Arial"/>
        </w:rPr>
        <w:tab/>
        <w:t xml:space="preserve">Por otra parte, si bien la Administración debió alcanzar un acuerdo transaccional para la rescisión del contrato con dicha firma, lo que insumió aproximadamente un año y medio, no se comprende por qué luego la Administración requirió de un año más para realizar la contratación directa que ahora estamos considerando, si es que la misma revestía un carácter urgente.       </w:t>
      </w:r>
    </w:p>
    <w:p w:rsidR="0007475B" w:rsidRDefault="0007475B">
      <w:pPr>
        <w:spacing w:line="360" w:lineRule="auto"/>
        <w:jc w:val="both"/>
        <w:rPr>
          <w:rFonts w:ascii="Arial" w:hAnsi="Arial" w:cs="Arial"/>
        </w:rPr>
      </w:pPr>
      <w:r w:rsidRPr="0007475B">
        <w:rPr>
          <w:rFonts w:ascii="Arial" w:hAnsi="Arial" w:cs="Arial"/>
        </w:rPr>
        <w:tab/>
        <w:t>Por todo lo que antecede, a juicio del suscrito, la razón de urgencia invocada no se encuentra debidamente fundada</w:t>
      </w:r>
      <w:r>
        <w:rPr>
          <w:rFonts w:ascii="Arial" w:hAnsi="Arial" w:cs="Arial"/>
        </w:rPr>
        <w:t>”</w:t>
      </w:r>
      <w:r w:rsidRPr="0007475B">
        <w:rPr>
          <w:rFonts w:ascii="Arial" w:hAnsi="Arial" w:cs="Arial"/>
        </w:rPr>
        <w:t>.</w:t>
      </w:r>
    </w:p>
    <w:p w:rsidR="0007475B" w:rsidRDefault="0007475B">
      <w:pPr>
        <w:spacing w:line="360" w:lineRule="auto"/>
        <w:jc w:val="both"/>
        <w:rPr>
          <w:rFonts w:ascii="Arial" w:hAnsi="Arial" w:cs="Arial"/>
        </w:rPr>
      </w:pPr>
    </w:p>
    <w:p w:rsidR="0007475B" w:rsidRDefault="0007475B">
      <w:pPr>
        <w:spacing w:line="360" w:lineRule="auto"/>
        <w:jc w:val="both"/>
        <w:rPr>
          <w:rFonts w:ascii="Arial" w:hAnsi="Arial" w:cs="Arial"/>
        </w:rPr>
      </w:pPr>
    </w:p>
    <w:p w:rsidR="0007475B" w:rsidRDefault="0007475B">
      <w:pPr>
        <w:spacing w:line="360" w:lineRule="auto"/>
        <w:jc w:val="both"/>
        <w:rPr>
          <w:rFonts w:ascii="Arial" w:hAnsi="Arial" w:cs="Arial"/>
        </w:rPr>
      </w:pPr>
    </w:p>
    <w:p w:rsidR="0007475B" w:rsidRDefault="0007475B">
      <w:pPr>
        <w:spacing w:line="360" w:lineRule="auto"/>
        <w:jc w:val="both"/>
        <w:rPr>
          <w:rFonts w:ascii="Arial" w:hAnsi="Arial" w:cs="Arial"/>
        </w:rPr>
      </w:pPr>
    </w:p>
    <w:p w:rsidR="0007475B" w:rsidRPr="0007475B" w:rsidRDefault="0007475B" w:rsidP="0007475B">
      <w:pPr>
        <w:spacing w:line="360" w:lineRule="auto"/>
        <w:ind w:hanging="709"/>
        <w:jc w:val="both"/>
        <w:rPr>
          <w:rFonts w:ascii="Arial" w:hAnsi="Arial" w:cs="Arial"/>
        </w:rPr>
      </w:pPr>
      <w:proofErr w:type="gramStart"/>
      <w:r>
        <w:rPr>
          <w:rFonts w:ascii="Arial" w:hAnsi="Arial" w:cs="Arial"/>
        </w:rPr>
        <w:t>dc</w:t>
      </w:r>
      <w:bookmarkStart w:id="0" w:name="_GoBack"/>
      <w:bookmarkEnd w:id="0"/>
      <w:proofErr w:type="gramEnd"/>
    </w:p>
    <w:sectPr w:rsidR="0007475B" w:rsidRPr="0007475B" w:rsidSect="0007475B">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94"/>
    <w:rsid w:val="0007475B"/>
    <w:rsid w:val="0071239D"/>
    <w:rsid w:val="00743494"/>
    <w:rsid w:val="00D7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UY"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eastAsia="es-ES"/>
    </w:rPr>
  </w:style>
  <w:style w:type="paragraph" w:styleId="Textoindependiente">
    <w:name w:val="Body Text"/>
    <w:basedOn w:val="Normal"/>
    <w:link w:val="TextoindependienteCar"/>
    <w:semiHidden/>
    <w:rsid w:val="0007475B"/>
    <w:rPr>
      <w:rFonts w:eastAsia="Times New Roman" w:cs="Times New Roman"/>
      <w:b/>
      <w:bCs/>
      <w:u w:val="single"/>
      <w:lang w:val="es-ES"/>
    </w:rPr>
  </w:style>
  <w:style w:type="character" w:customStyle="1" w:styleId="TextoindependienteCar">
    <w:name w:val="Texto independiente Car"/>
    <w:basedOn w:val="Fuentedeprrafopredeter"/>
    <w:link w:val="Textoindependiente"/>
    <w:semiHidden/>
    <w:rsid w:val="0007475B"/>
    <w:rPr>
      <w:rFonts w:ascii="Times New Roman" w:eastAsia="Times New Roman" w:hAnsi="Times New Roman" w:cs="Times New Roman"/>
      <w:b/>
      <w:bCs/>
      <w:sz w:val="24"/>
      <w:szCs w:val="24"/>
      <w:u w:val="single"/>
      <w:lang w:val="es-ES" w:eastAsia="es-ES"/>
    </w:rPr>
  </w:style>
  <w:style w:type="paragraph" w:styleId="Textoindependiente2">
    <w:name w:val="Body Text 2"/>
    <w:basedOn w:val="Normal"/>
    <w:link w:val="Textoindependiente2Car"/>
    <w:semiHidden/>
    <w:rsid w:val="0007475B"/>
    <w:pPr>
      <w:spacing w:line="360" w:lineRule="auto"/>
      <w:jc w:val="both"/>
    </w:pPr>
    <w:rPr>
      <w:rFonts w:eastAsia="Times New Roman" w:cs="Times New Roman"/>
      <w:lang w:val="es-ES"/>
    </w:rPr>
  </w:style>
  <w:style w:type="character" w:customStyle="1" w:styleId="Textoindependiente2Car">
    <w:name w:val="Texto independiente 2 Car"/>
    <w:basedOn w:val="Fuentedeprrafopredeter"/>
    <w:link w:val="Textoindependiente2"/>
    <w:semiHidden/>
    <w:rsid w:val="0007475B"/>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UY"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eastAsia="es-ES"/>
    </w:rPr>
  </w:style>
  <w:style w:type="paragraph" w:styleId="Textoindependiente">
    <w:name w:val="Body Text"/>
    <w:basedOn w:val="Normal"/>
    <w:link w:val="TextoindependienteCar"/>
    <w:semiHidden/>
    <w:rsid w:val="0007475B"/>
    <w:rPr>
      <w:rFonts w:eastAsia="Times New Roman" w:cs="Times New Roman"/>
      <w:b/>
      <w:bCs/>
      <w:u w:val="single"/>
      <w:lang w:val="es-ES"/>
    </w:rPr>
  </w:style>
  <w:style w:type="character" w:customStyle="1" w:styleId="TextoindependienteCar">
    <w:name w:val="Texto independiente Car"/>
    <w:basedOn w:val="Fuentedeprrafopredeter"/>
    <w:link w:val="Textoindependiente"/>
    <w:semiHidden/>
    <w:rsid w:val="0007475B"/>
    <w:rPr>
      <w:rFonts w:ascii="Times New Roman" w:eastAsia="Times New Roman" w:hAnsi="Times New Roman" w:cs="Times New Roman"/>
      <w:b/>
      <w:bCs/>
      <w:sz w:val="24"/>
      <w:szCs w:val="24"/>
      <w:u w:val="single"/>
      <w:lang w:val="es-ES" w:eastAsia="es-ES"/>
    </w:rPr>
  </w:style>
  <w:style w:type="paragraph" w:styleId="Textoindependiente2">
    <w:name w:val="Body Text 2"/>
    <w:basedOn w:val="Normal"/>
    <w:link w:val="Textoindependiente2Car"/>
    <w:semiHidden/>
    <w:rsid w:val="0007475B"/>
    <w:pPr>
      <w:spacing w:line="360" w:lineRule="auto"/>
      <w:jc w:val="both"/>
    </w:pPr>
    <w:rPr>
      <w:rFonts w:eastAsia="Times New Roman" w:cs="Times New Roman"/>
      <w:lang w:val="es-ES"/>
    </w:rPr>
  </w:style>
  <w:style w:type="character" w:customStyle="1" w:styleId="Textoindependiente2Car">
    <w:name w:val="Texto independiente 2 Car"/>
    <w:basedOn w:val="Fuentedeprrafopredeter"/>
    <w:link w:val="Textoindependiente2"/>
    <w:semiHidden/>
    <w:rsid w:val="0007475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1450</Words>
  <Characters>7975</Characters>
  <Application>Microsoft Office Word</Application>
  <DocSecurity>4</DocSecurity>
  <Lines>66</Lines>
  <Paragraphs>18</Paragraphs>
  <ScaleCrop>false</ScaleCrop>
  <HeadingPairs>
    <vt:vector size="2" baseType="variant">
      <vt:variant>
        <vt:lpstr>Título</vt:lpstr>
      </vt:variant>
      <vt:variant>
        <vt:i4>1</vt:i4>
      </vt:variant>
    </vt:vector>
  </HeadingPairs>
  <TitlesOfParts>
    <vt:vector size="1" baseType="lpstr">
      <vt:lpstr>CARPETA Nº: 2015-17-1-0009275</vt:lpstr>
    </vt:vector>
  </TitlesOfParts>
  <Company>Tribunal de Cuentas</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2015-17-1-0009275</dc:title>
  <dc:creator>MARIA ALEJANDRA ALVAREZ LOPEZ</dc:creator>
  <cp:lastModifiedBy>Tribunal1</cp:lastModifiedBy>
  <cp:revision>2</cp:revision>
  <cp:lastPrinted>2016-03-11T13:43:00Z</cp:lastPrinted>
  <dcterms:created xsi:type="dcterms:W3CDTF">2016-03-11T13:44:00Z</dcterms:created>
  <dcterms:modified xsi:type="dcterms:W3CDTF">2016-03-11T13:44:00Z</dcterms:modified>
</cp:coreProperties>
</file>