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E43" w:rsidRDefault="00171E43">
      <w:pPr>
        <w:spacing w:after="0" w:line="360" w:lineRule="auto"/>
        <w:jc w:val="both"/>
        <w:rPr>
          <w:rFonts w:ascii="Arial" w:hAnsi="Arial" w:cs="Arial"/>
          <w:b/>
          <w:bCs/>
          <w:sz w:val="24"/>
          <w:szCs w:val="24"/>
          <w:lang w:val="es-MX" w:eastAsia="es-ES"/>
        </w:rPr>
      </w:pPr>
    </w:p>
    <w:p w:rsidR="00680578" w:rsidRPr="00786EEB" w:rsidRDefault="00680578" w:rsidP="00786EEB">
      <w:pPr>
        <w:tabs>
          <w:tab w:val="center" w:pos="4253"/>
        </w:tabs>
        <w:suppressAutoHyphens/>
        <w:jc w:val="right"/>
        <w:rPr>
          <w:rFonts w:ascii="Arial" w:hAnsi="Arial" w:cs="Arial"/>
          <w:b/>
          <w:sz w:val="28"/>
          <w:szCs w:val="28"/>
          <w:lang w:val="es-ES_tradnl"/>
        </w:rPr>
      </w:pPr>
      <w:r w:rsidRPr="00786EEB">
        <w:rPr>
          <w:rFonts w:ascii="Arial" w:hAnsi="Arial" w:cs="Arial"/>
          <w:b/>
          <w:sz w:val="28"/>
          <w:szCs w:val="28"/>
          <w:lang w:val="es-ES_tradnl"/>
        </w:rPr>
        <w:t xml:space="preserve">RES. </w:t>
      </w:r>
      <w:r>
        <w:rPr>
          <w:rFonts w:ascii="Arial" w:hAnsi="Arial" w:cs="Arial"/>
          <w:b/>
          <w:sz w:val="28"/>
          <w:szCs w:val="28"/>
          <w:lang w:val="es-ES_tradnl"/>
        </w:rPr>
        <w:t>636</w:t>
      </w:r>
      <w:r w:rsidRPr="00786EEB">
        <w:rPr>
          <w:rFonts w:ascii="Arial" w:hAnsi="Arial" w:cs="Arial"/>
          <w:b/>
          <w:sz w:val="28"/>
          <w:szCs w:val="28"/>
          <w:lang w:val="es-ES_tradnl"/>
        </w:rPr>
        <w:t>/16</w:t>
      </w:r>
    </w:p>
    <w:p w:rsidR="00680578" w:rsidRDefault="00680578" w:rsidP="00786EEB">
      <w:pPr>
        <w:tabs>
          <w:tab w:val="center" w:pos="4253"/>
        </w:tabs>
        <w:suppressAutoHyphens/>
        <w:jc w:val="right"/>
        <w:rPr>
          <w:rFonts w:ascii="Arial" w:hAnsi="Arial" w:cs="Arial"/>
          <w:b/>
          <w:lang w:val="es-ES_tradnl"/>
        </w:rPr>
      </w:pPr>
    </w:p>
    <w:p w:rsidR="00680578" w:rsidRPr="00680578" w:rsidRDefault="00680578" w:rsidP="00680578">
      <w:pPr>
        <w:tabs>
          <w:tab w:val="center" w:pos="4253"/>
        </w:tabs>
        <w:suppressAutoHyphens/>
        <w:spacing w:after="0" w:line="240" w:lineRule="auto"/>
        <w:jc w:val="center"/>
        <w:rPr>
          <w:rFonts w:ascii="Arial" w:hAnsi="Arial" w:cs="Arial"/>
          <w:b/>
          <w:sz w:val="24"/>
          <w:szCs w:val="24"/>
          <w:lang w:val="es-ES_tradnl"/>
        </w:rPr>
      </w:pPr>
      <w:r w:rsidRPr="00680578">
        <w:rPr>
          <w:rFonts w:ascii="Arial" w:hAnsi="Arial" w:cs="Arial"/>
          <w:b/>
          <w:sz w:val="24"/>
          <w:szCs w:val="24"/>
          <w:lang w:val="es-ES_tradnl"/>
        </w:rPr>
        <w:t>RESOLUCION ADOPTADA POR EL</w:t>
      </w:r>
    </w:p>
    <w:p w:rsidR="00680578" w:rsidRPr="00680578" w:rsidRDefault="00680578" w:rsidP="00680578">
      <w:pPr>
        <w:tabs>
          <w:tab w:val="left" w:pos="-720"/>
        </w:tabs>
        <w:suppressAutoHyphens/>
        <w:spacing w:after="0" w:line="240" w:lineRule="auto"/>
        <w:jc w:val="center"/>
        <w:rPr>
          <w:rFonts w:ascii="Arial" w:hAnsi="Arial" w:cs="Arial"/>
          <w:b/>
          <w:sz w:val="24"/>
          <w:szCs w:val="24"/>
          <w:lang w:val="es-ES_tradnl"/>
        </w:rPr>
      </w:pPr>
    </w:p>
    <w:p w:rsidR="00680578" w:rsidRPr="00680578" w:rsidRDefault="00680578" w:rsidP="00680578">
      <w:pPr>
        <w:tabs>
          <w:tab w:val="center" w:pos="4253"/>
        </w:tabs>
        <w:suppressAutoHyphens/>
        <w:spacing w:after="0" w:line="240" w:lineRule="auto"/>
        <w:jc w:val="center"/>
        <w:rPr>
          <w:rFonts w:ascii="Arial" w:hAnsi="Arial" w:cs="Arial"/>
          <w:b/>
          <w:sz w:val="24"/>
          <w:szCs w:val="24"/>
          <w:lang w:val="es-ES_tradnl"/>
        </w:rPr>
      </w:pPr>
      <w:r w:rsidRPr="00680578">
        <w:rPr>
          <w:rFonts w:ascii="Arial" w:hAnsi="Arial" w:cs="Arial"/>
          <w:b/>
          <w:sz w:val="24"/>
          <w:szCs w:val="24"/>
          <w:lang w:val="es-ES_tradnl"/>
        </w:rPr>
        <w:t>TRIBUNAL DE CUENTAS</w:t>
      </w:r>
    </w:p>
    <w:p w:rsidR="00680578" w:rsidRPr="00680578" w:rsidRDefault="00680578" w:rsidP="00680578">
      <w:pPr>
        <w:tabs>
          <w:tab w:val="left" w:pos="-720"/>
        </w:tabs>
        <w:suppressAutoHyphens/>
        <w:spacing w:after="0" w:line="240" w:lineRule="auto"/>
        <w:jc w:val="center"/>
        <w:rPr>
          <w:rFonts w:ascii="Arial" w:hAnsi="Arial" w:cs="Arial"/>
          <w:b/>
          <w:sz w:val="24"/>
          <w:szCs w:val="24"/>
          <w:lang w:val="es-ES_tradnl"/>
        </w:rPr>
      </w:pPr>
    </w:p>
    <w:p w:rsidR="00680578" w:rsidRPr="00680578" w:rsidRDefault="00680578" w:rsidP="00680578">
      <w:pPr>
        <w:tabs>
          <w:tab w:val="center" w:pos="4253"/>
        </w:tabs>
        <w:suppressAutoHyphens/>
        <w:spacing w:after="0" w:line="240" w:lineRule="auto"/>
        <w:jc w:val="center"/>
        <w:rPr>
          <w:rFonts w:ascii="Arial" w:hAnsi="Arial" w:cs="Arial"/>
          <w:b/>
          <w:sz w:val="24"/>
          <w:szCs w:val="24"/>
          <w:lang w:val="es-ES_tradnl"/>
        </w:rPr>
      </w:pPr>
      <w:r w:rsidRPr="00680578">
        <w:rPr>
          <w:rFonts w:ascii="Arial" w:hAnsi="Arial" w:cs="Arial"/>
          <w:b/>
          <w:sz w:val="24"/>
          <w:szCs w:val="24"/>
          <w:lang w:val="es-ES_tradnl"/>
        </w:rPr>
        <w:t>EN SESION DE FECHA 24 DE FEBRERO DE 2016</w:t>
      </w:r>
    </w:p>
    <w:p w:rsidR="00680578" w:rsidRPr="00680578" w:rsidRDefault="00680578" w:rsidP="00680578">
      <w:pPr>
        <w:tabs>
          <w:tab w:val="center" w:pos="4253"/>
        </w:tabs>
        <w:suppressAutoHyphens/>
        <w:spacing w:after="0" w:line="240" w:lineRule="auto"/>
        <w:jc w:val="center"/>
        <w:rPr>
          <w:rFonts w:ascii="Arial" w:hAnsi="Arial" w:cs="Arial"/>
          <w:b/>
          <w:sz w:val="24"/>
          <w:szCs w:val="24"/>
          <w:lang w:val="es-ES_tradnl"/>
        </w:rPr>
      </w:pPr>
    </w:p>
    <w:p w:rsidR="00680578" w:rsidRPr="0080538E" w:rsidRDefault="00680578" w:rsidP="00680578">
      <w:pPr>
        <w:tabs>
          <w:tab w:val="center" w:pos="4253"/>
        </w:tabs>
        <w:suppressAutoHyphens/>
        <w:spacing w:after="0" w:line="240" w:lineRule="auto"/>
        <w:jc w:val="center"/>
        <w:rPr>
          <w:rFonts w:ascii="Arial" w:hAnsi="Arial" w:cs="Arial"/>
          <w:b/>
          <w:sz w:val="24"/>
          <w:szCs w:val="24"/>
        </w:rPr>
      </w:pPr>
      <w:r w:rsidRPr="0080538E">
        <w:rPr>
          <w:rFonts w:ascii="Arial" w:hAnsi="Arial" w:cs="Arial"/>
          <w:b/>
          <w:sz w:val="24"/>
          <w:szCs w:val="24"/>
        </w:rPr>
        <w:t xml:space="preserve">(E. E. Nº </w:t>
      </w:r>
      <w:r w:rsidRPr="00680578">
        <w:rPr>
          <w:rFonts w:ascii="Arial" w:hAnsi="Arial" w:cs="Arial"/>
          <w:b/>
          <w:sz w:val="24"/>
          <w:szCs w:val="24"/>
          <w:lang w:val="es-MX" w:eastAsia="es-ES"/>
        </w:rPr>
        <w:t>2016-17-1-0000537</w:t>
      </w:r>
      <w:r w:rsidRPr="0080538E">
        <w:rPr>
          <w:rFonts w:ascii="Arial" w:hAnsi="Arial" w:cs="Arial"/>
          <w:b/>
          <w:sz w:val="24"/>
          <w:szCs w:val="24"/>
        </w:rPr>
        <w:t xml:space="preserve">, </w:t>
      </w:r>
      <w:proofErr w:type="spellStart"/>
      <w:r w:rsidRPr="0080538E">
        <w:rPr>
          <w:rFonts w:ascii="Arial" w:hAnsi="Arial" w:cs="Arial"/>
          <w:b/>
          <w:sz w:val="24"/>
          <w:szCs w:val="24"/>
        </w:rPr>
        <w:t>Ent</w:t>
      </w:r>
      <w:proofErr w:type="spellEnd"/>
      <w:r w:rsidRPr="0080538E">
        <w:rPr>
          <w:rFonts w:ascii="Arial" w:hAnsi="Arial" w:cs="Arial"/>
          <w:b/>
          <w:sz w:val="24"/>
          <w:szCs w:val="24"/>
        </w:rPr>
        <w:t>. N°</w:t>
      </w:r>
      <w:r w:rsidRPr="00680578">
        <w:rPr>
          <w:rFonts w:ascii="Arial" w:hAnsi="Arial" w:cs="Arial"/>
          <w:b/>
          <w:sz w:val="24"/>
          <w:szCs w:val="24"/>
          <w:lang w:val="es-MX" w:eastAsia="es-ES"/>
        </w:rPr>
        <w:t>383/16</w:t>
      </w:r>
      <w:r w:rsidRPr="0080538E">
        <w:rPr>
          <w:rFonts w:ascii="Arial" w:hAnsi="Arial" w:cs="Arial"/>
          <w:b/>
          <w:sz w:val="24"/>
          <w:szCs w:val="24"/>
        </w:rPr>
        <w:t>)</w:t>
      </w:r>
    </w:p>
    <w:p w:rsidR="00680578" w:rsidRPr="0080538E" w:rsidRDefault="00680578" w:rsidP="00DB457D">
      <w:pPr>
        <w:tabs>
          <w:tab w:val="center" w:pos="4253"/>
        </w:tabs>
        <w:suppressAutoHyphens/>
        <w:rPr>
          <w:rFonts w:ascii="Arial" w:hAnsi="Arial"/>
          <w:spacing w:val="-3"/>
        </w:rPr>
      </w:pPr>
    </w:p>
    <w:p w:rsidR="00171E43" w:rsidRDefault="00171E43" w:rsidP="00680578">
      <w:pPr>
        <w:spacing w:after="0" w:line="360" w:lineRule="auto"/>
        <w:ind w:firstLine="851"/>
        <w:jc w:val="both"/>
        <w:rPr>
          <w:rFonts w:ascii="Arial" w:hAnsi="Arial" w:cs="Arial"/>
          <w:sz w:val="24"/>
          <w:szCs w:val="24"/>
          <w:lang w:val="es-MX" w:eastAsia="es-ES"/>
        </w:rPr>
      </w:pPr>
      <w:r>
        <w:rPr>
          <w:rFonts w:ascii="Arial" w:hAnsi="Arial" w:cs="Arial"/>
          <w:b/>
          <w:bCs/>
          <w:sz w:val="24"/>
          <w:szCs w:val="24"/>
          <w:lang w:val="es-MX" w:eastAsia="es-ES"/>
        </w:rPr>
        <w:t>VISTO:</w:t>
      </w:r>
      <w:r>
        <w:rPr>
          <w:rFonts w:ascii="Arial" w:hAnsi="Arial" w:cs="Arial"/>
          <w:sz w:val="24"/>
          <w:szCs w:val="24"/>
          <w:lang w:val="es-MX" w:eastAsia="es-ES"/>
        </w:rPr>
        <w:t xml:space="preserve"> las actuaciones remitidas por la Administración Nacional de Usinas y Transmisiones Eléctricas relacionadas con la Licitación Pública P46133 para el suministro de seleccionadores de 550, 170 y 72,5 KV;</w:t>
      </w:r>
    </w:p>
    <w:p w:rsidR="00171E43" w:rsidRDefault="00171E43" w:rsidP="00680578">
      <w:pPr>
        <w:spacing w:after="0" w:line="360" w:lineRule="auto"/>
        <w:ind w:firstLine="851"/>
        <w:jc w:val="both"/>
        <w:rPr>
          <w:rFonts w:ascii="Arial" w:hAnsi="Arial" w:cs="Arial"/>
          <w:sz w:val="24"/>
          <w:szCs w:val="24"/>
          <w:lang w:val="es-MX" w:eastAsia="es-ES"/>
        </w:rPr>
      </w:pPr>
      <w:r>
        <w:rPr>
          <w:rFonts w:ascii="Arial" w:hAnsi="Arial" w:cs="Arial"/>
          <w:b/>
          <w:bCs/>
          <w:sz w:val="24"/>
          <w:szCs w:val="24"/>
          <w:lang w:val="es-MX" w:eastAsia="es-ES"/>
        </w:rPr>
        <w:t xml:space="preserve">RESULTANDO:   1) </w:t>
      </w:r>
      <w:r>
        <w:rPr>
          <w:rFonts w:ascii="Arial" w:hAnsi="Arial" w:cs="Arial"/>
          <w:sz w:val="24"/>
          <w:szCs w:val="24"/>
          <w:lang w:val="es-MX" w:eastAsia="es-ES"/>
        </w:rPr>
        <w:t>que cumplido el requisito legal de publicidad, con fecha 27</w:t>
      </w:r>
      <w:r w:rsidR="00DB457D">
        <w:rPr>
          <w:rFonts w:ascii="Arial" w:hAnsi="Arial" w:cs="Arial"/>
          <w:sz w:val="24"/>
          <w:szCs w:val="24"/>
          <w:lang w:val="es-MX" w:eastAsia="es-ES"/>
        </w:rPr>
        <w:t>/</w:t>
      </w:r>
      <w:r>
        <w:rPr>
          <w:rFonts w:ascii="Arial" w:hAnsi="Arial" w:cs="Arial"/>
          <w:sz w:val="24"/>
          <w:szCs w:val="24"/>
          <w:lang w:val="es-MX" w:eastAsia="es-ES"/>
        </w:rPr>
        <w:t>03</w:t>
      </w:r>
      <w:r w:rsidR="00DB457D">
        <w:rPr>
          <w:rFonts w:ascii="Arial" w:hAnsi="Arial" w:cs="Arial"/>
          <w:sz w:val="24"/>
          <w:szCs w:val="24"/>
          <w:lang w:val="es-MX" w:eastAsia="es-ES"/>
        </w:rPr>
        <w:t>/</w:t>
      </w:r>
      <w:r>
        <w:rPr>
          <w:rFonts w:ascii="Arial" w:hAnsi="Arial" w:cs="Arial"/>
          <w:sz w:val="24"/>
          <w:szCs w:val="24"/>
          <w:lang w:val="es-MX" w:eastAsia="es-ES"/>
        </w:rPr>
        <w:t xml:space="preserve">15, se procedió al acto de apertura de las propuestas al que se presentaron cuatro oferentes: </w:t>
      </w:r>
      <w:proofErr w:type="spellStart"/>
      <w:r>
        <w:rPr>
          <w:rFonts w:ascii="Arial" w:hAnsi="Arial" w:cs="Arial"/>
          <w:sz w:val="24"/>
          <w:szCs w:val="24"/>
          <w:lang w:val="es-MX" w:eastAsia="es-ES"/>
        </w:rPr>
        <w:t>Alstom</w:t>
      </w:r>
      <w:proofErr w:type="spellEnd"/>
      <w:r>
        <w:rPr>
          <w:rFonts w:ascii="Arial" w:hAnsi="Arial" w:cs="Arial"/>
          <w:sz w:val="24"/>
          <w:szCs w:val="24"/>
          <w:lang w:val="es-MX" w:eastAsia="es-ES"/>
        </w:rPr>
        <w:t xml:space="preserve"> </w:t>
      </w:r>
      <w:proofErr w:type="spellStart"/>
      <w:r>
        <w:rPr>
          <w:rFonts w:ascii="Arial" w:hAnsi="Arial" w:cs="Arial"/>
          <w:sz w:val="24"/>
          <w:szCs w:val="24"/>
          <w:lang w:val="es-MX" w:eastAsia="es-ES"/>
        </w:rPr>
        <w:t>Grid</w:t>
      </w:r>
      <w:proofErr w:type="spellEnd"/>
      <w:r>
        <w:rPr>
          <w:rFonts w:ascii="Arial" w:hAnsi="Arial" w:cs="Arial"/>
          <w:sz w:val="24"/>
          <w:szCs w:val="24"/>
          <w:lang w:val="es-MX" w:eastAsia="es-ES"/>
        </w:rPr>
        <w:t xml:space="preserve"> SPA; Siemens </w:t>
      </w:r>
      <w:proofErr w:type="spellStart"/>
      <w:r>
        <w:rPr>
          <w:rFonts w:ascii="Arial" w:hAnsi="Arial" w:cs="Arial"/>
          <w:sz w:val="24"/>
          <w:szCs w:val="24"/>
          <w:lang w:val="es-MX" w:eastAsia="es-ES"/>
        </w:rPr>
        <w:t>Ltda</w:t>
      </w:r>
      <w:proofErr w:type="spellEnd"/>
      <w:r>
        <w:rPr>
          <w:rFonts w:ascii="Arial" w:hAnsi="Arial" w:cs="Arial"/>
          <w:sz w:val="24"/>
          <w:szCs w:val="24"/>
          <w:lang w:val="es-MX" w:eastAsia="es-ES"/>
        </w:rPr>
        <w:t xml:space="preserve">; </w:t>
      </w:r>
      <w:proofErr w:type="spellStart"/>
      <w:r>
        <w:rPr>
          <w:rFonts w:ascii="Arial" w:hAnsi="Arial" w:cs="Arial"/>
          <w:sz w:val="24"/>
          <w:szCs w:val="24"/>
          <w:lang w:val="es-MX" w:eastAsia="es-ES"/>
        </w:rPr>
        <w:t>Efacec</w:t>
      </w:r>
      <w:proofErr w:type="spellEnd"/>
      <w:r>
        <w:rPr>
          <w:rFonts w:ascii="Arial" w:hAnsi="Arial" w:cs="Arial"/>
          <w:sz w:val="24"/>
          <w:szCs w:val="24"/>
          <w:lang w:val="es-MX" w:eastAsia="es-ES"/>
        </w:rPr>
        <w:t xml:space="preserve"> </w:t>
      </w:r>
      <w:proofErr w:type="spellStart"/>
      <w:r>
        <w:rPr>
          <w:rFonts w:ascii="Arial" w:hAnsi="Arial" w:cs="Arial"/>
          <w:sz w:val="24"/>
          <w:szCs w:val="24"/>
          <w:lang w:val="es-MX" w:eastAsia="es-ES"/>
        </w:rPr>
        <w:t>Energia</w:t>
      </w:r>
      <w:proofErr w:type="spellEnd"/>
      <w:r>
        <w:rPr>
          <w:rFonts w:ascii="Arial" w:hAnsi="Arial" w:cs="Arial"/>
          <w:sz w:val="24"/>
          <w:szCs w:val="24"/>
          <w:lang w:val="es-MX" w:eastAsia="es-ES"/>
        </w:rPr>
        <w:t xml:space="preserve">, Maquinas e </w:t>
      </w:r>
      <w:proofErr w:type="spellStart"/>
      <w:r>
        <w:rPr>
          <w:rFonts w:ascii="Arial" w:hAnsi="Arial" w:cs="Arial"/>
          <w:sz w:val="24"/>
          <w:szCs w:val="24"/>
          <w:lang w:val="es-MX" w:eastAsia="es-ES"/>
        </w:rPr>
        <w:t>Equipamentos</w:t>
      </w:r>
      <w:proofErr w:type="spellEnd"/>
      <w:r>
        <w:rPr>
          <w:rFonts w:ascii="Arial" w:hAnsi="Arial" w:cs="Arial"/>
          <w:sz w:val="24"/>
          <w:szCs w:val="24"/>
          <w:lang w:val="es-MX" w:eastAsia="es-ES"/>
        </w:rPr>
        <w:t xml:space="preserve"> </w:t>
      </w:r>
      <w:proofErr w:type="spellStart"/>
      <w:r>
        <w:rPr>
          <w:rFonts w:ascii="Arial" w:hAnsi="Arial" w:cs="Arial"/>
          <w:sz w:val="24"/>
          <w:szCs w:val="24"/>
          <w:lang w:val="es-MX" w:eastAsia="es-ES"/>
        </w:rPr>
        <w:t>Electricos</w:t>
      </w:r>
      <w:proofErr w:type="spellEnd"/>
      <w:r>
        <w:rPr>
          <w:rFonts w:ascii="Arial" w:hAnsi="Arial" w:cs="Arial"/>
          <w:sz w:val="24"/>
          <w:szCs w:val="24"/>
          <w:lang w:val="es-MX" w:eastAsia="es-ES"/>
        </w:rPr>
        <w:t xml:space="preserve"> S.A;</w:t>
      </w:r>
      <w:r>
        <w:rPr>
          <w:rFonts w:ascii="Arial" w:hAnsi="Arial" w:cs="Arial"/>
          <w:sz w:val="24"/>
          <w:szCs w:val="24"/>
          <w:lang w:eastAsia="es-ES"/>
        </w:rPr>
        <w:t xml:space="preserve"> Shandong </w:t>
      </w:r>
      <w:proofErr w:type="spellStart"/>
      <w:r>
        <w:rPr>
          <w:rFonts w:ascii="Arial" w:hAnsi="Arial" w:cs="Arial"/>
          <w:sz w:val="24"/>
          <w:szCs w:val="24"/>
          <w:lang w:eastAsia="es-ES"/>
        </w:rPr>
        <w:t>Taikai</w:t>
      </w:r>
      <w:proofErr w:type="spellEnd"/>
      <w:r>
        <w:rPr>
          <w:rFonts w:ascii="Arial" w:hAnsi="Arial" w:cs="Arial"/>
          <w:sz w:val="24"/>
          <w:szCs w:val="24"/>
          <w:lang w:eastAsia="es-ES"/>
        </w:rPr>
        <w:t xml:space="preserve"> </w:t>
      </w:r>
      <w:proofErr w:type="spellStart"/>
      <w:r>
        <w:rPr>
          <w:rFonts w:ascii="Arial" w:hAnsi="Arial" w:cs="Arial"/>
          <w:sz w:val="24"/>
          <w:szCs w:val="24"/>
          <w:lang w:eastAsia="es-ES"/>
        </w:rPr>
        <w:t>Disconnector</w:t>
      </w:r>
      <w:proofErr w:type="spellEnd"/>
      <w:r>
        <w:rPr>
          <w:rFonts w:ascii="Arial" w:hAnsi="Arial" w:cs="Arial"/>
          <w:sz w:val="24"/>
          <w:szCs w:val="24"/>
          <w:lang w:eastAsia="es-ES"/>
        </w:rPr>
        <w:t xml:space="preserve"> Co. </w:t>
      </w:r>
      <w:proofErr w:type="spellStart"/>
      <w:r>
        <w:rPr>
          <w:rFonts w:ascii="Arial" w:hAnsi="Arial" w:cs="Arial"/>
          <w:sz w:val="24"/>
          <w:szCs w:val="24"/>
          <w:lang w:eastAsia="es-ES"/>
        </w:rPr>
        <w:t>Ltd</w:t>
      </w:r>
      <w:proofErr w:type="spellEnd"/>
      <w:r>
        <w:rPr>
          <w:rFonts w:ascii="Arial" w:hAnsi="Arial" w:cs="Arial"/>
          <w:sz w:val="24"/>
          <w:szCs w:val="24"/>
          <w:lang w:eastAsia="es-ES"/>
        </w:rPr>
        <w:t>;</w:t>
      </w:r>
    </w:p>
    <w:p w:rsidR="00171E43" w:rsidRPr="00DB457D" w:rsidRDefault="00171E43" w:rsidP="00DB457D">
      <w:pPr>
        <w:spacing w:after="0" w:line="360" w:lineRule="auto"/>
        <w:ind w:firstLine="2977"/>
        <w:jc w:val="both"/>
        <w:rPr>
          <w:rFonts w:ascii="Arial" w:hAnsi="Arial" w:cs="Arial"/>
          <w:sz w:val="24"/>
          <w:szCs w:val="24"/>
          <w:lang w:eastAsia="es-ES"/>
        </w:rPr>
      </w:pPr>
      <w:r>
        <w:rPr>
          <w:rFonts w:ascii="Arial" w:hAnsi="Arial" w:cs="Arial"/>
          <w:b/>
          <w:bCs/>
          <w:sz w:val="24"/>
          <w:szCs w:val="24"/>
          <w:lang w:val="es-MX" w:eastAsia="es-ES"/>
        </w:rPr>
        <w:t xml:space="preserve">2) </w:t>
      </w:r>
      <w:r>
        <w:rPr>
          <w:rFonts w:ascii="Arial" w:hAnsi="Arial" w:cs="Arial"/>
          <w:sz w:val="24"/>
          <w:szCs w:val="24"/>
          <w:lang w:val="es-MX" w:eastAsia="es-ES"/>
        </w:rPr>
        <w:t>que</w:t>
      </w:r>
      <w:r>
        <w:rPr>
          <w:rFonts w:ascii="Arial" w:hAnsi="Arial" w:cs="Arial"/>
          <w:b/>
          <w:bCs/>
          <w:sz w:val="24"/>
          <w:szCs w:val="24"/>
          <w:lang w:val="es-MX" w:eastAsia="es-ES"/>
        </w:rPr>
        <w:t xml:space="preserve"> </w:t>
      </w:r>
      <w:r>
        <w:rPr>
          <w:rFonts w:ascii="Arial" w:hAnsi="Arial" w:cs="Arial"/>
          <w:sz w:val="24"/>
          <w:szCs w:val="24"/>
          <w:lang w:val="es-MX" w:eastAsia="es-ES"/>
        </w:rPr>
        <w:t>el 11</w:t>
      </w:r>
      <w:r w:rsidR="00DB457D">
        <w:rPr>
          <w:rFonts w:ascii="Arial" w:hAnsi="Arial" w:cs="Arial"/>
          <w:sz w:val="24"/>
          <w:szCs w:val="24"/>
          <w:lang w:val="es-MX" w:eastAsia="es-ES"/>
        </w:rPr>
        <w:t>/</w:t>
      </w:r>
      <w:r>
        <w:rPr>
          <w:rFonts w:ascii="Arial" w:hAnsi="Arial" w:cs="Arial"/>
          <w:sz w:val="24"/>
          <w:szCs w:val="24"/>
          <w:lang w:val="es-MX" w:eastAsia="es-ES"/>
        </w:rPr>
        <w:t>01</w:t>
      </w:r>
      <w:r w:rsidR="00DB457D">
        <w:rPr>
          <w:rFonts w:ascii="Arial" w:hAnsi="Arial" w:cs="Arial"/>
          <w:sz w:val="24"/>
          <w:szCs w:val="24"/>
          <w:lang w:val="es-MX" w:eastAsia="es-ES"/>
        </w:rPr>
        <w:t>/</w:t>
      </w:r>
      <w:r>
        <w:rPr>
          <w:rFonts w:ascii="Arial" w:hAnsi="Arial" w:cs="Arial"/>
          <w:sz w:val="24"/>
          <w:szCs w:val="24"/>
          <w:lang w:val="es-MX" w:eastAsia="es-ES"/>
        </w:rPr>
        <w:t xml:space="preserve">16, la Comisión Asesora de Adjudicaciones  efectuó una exposición del orden creciente de precios, de donde surge que la oferta básica de Shandong </w:t>
      </w:r>
      <w:proofErr w:type="spellStart"/>
      <w:r>
        <w:rPr>
          <w:rFonts w:ascii="Arial" w:hAnsi="Arial" w:cs="Arial"/>
          <w:sz w:val="24"/>
          <w:szCs w:val="24"/>
          <w:lang w:val="es-MX" w:eastAsia="es-ES"/>
        </w:rPr>
        <w:t>Taikai</w:t>
      </w:r>
      <w:proofErr w:type="spellEnd"/>
      <w:r>
        <w:rPr>
          <w:rFonts w:ascii="Arial" w:hAnsi="Arial" w:cs="Arial"/>
          <w:sz w:val="24"/>
          <w:szCs w:val="24"/>
          <w:lang w:val="es-MX" w:eastAsia="es-ES"/>
        </w:rPr>
        <w:t xml:space="preserve"> </w:t>
      </w:r>
      <w:proofErr w:type="spellStart"/>
      <w:r>
        <w:rPr>
          <w:rFonts w:ascii="Arial" w:hAnsi="Arial" w:cs="Arial"/>
          <w:sz w:val="24"/>
          <w:szCs w:val="24"/>
          <w:lang w:val="es-MX" w:eastAsia="es-ES"/>
        </w:rPr>
        <w:t>Disconnector</w:t>
      </w:r>
      <w:proofErr w:type="spellEnd"/>
      <w:r>
        <w:rPr>
          <w:rFonts w:ascii="Arial" w:hAnsi="Arial" w:cs="Arial"/>
          <w:sz w:val="24"/>
          <w:szCs w:val="24"/>
          <w:lang w:val="es-MX" w:eastAsia="es-ES"/>
        </w:rPr>
        <w:t xml:space="preserve"> Co. </w:t>
      </w:r>
      <w:proofErr w:type="spellStart"/>
      <w:r>
        <w:rPr>
          <w:rFonts w:ascii="Arial" w:hAnsi="Arial" w:cs="Arial"/>
          <w:sz w:val="24"/>
          <w:szCs w:val="24"/>
          <w:lang w:val="es-MX" w:eastAsia="es-ES"/>
        </w:rPr>
        <w:t>Ltd</w:t>
      </w:r>
      <w:proofErr w:type="spellEnd"/>
      <w:r>
        <w:rPr>
          <w:rFonts w:ascii="Arial" w:hAnsi="Arial" w:cs="Arial"/>
          <w:sz w:val="24"/>
          <w:szCs w:val="24"/>
          <w:lang w:val="es-MX" w:eastAsia="es-ES"/>
        </w:rPr>
        <w:t xml:space="preserve"> es la de menor valor,  y es técnicamente aceptable cumpliendo el oferente  sustancialmente con los requerimientos establecidos en el Pliego de Condiciones Particulares por lo que  propuso adjudicarle la licitación de referencia, </w:t>
      </w:r>
      <w:r>
        <w:rPr>
          <w:rFonts w:ascii="Arial" w:hAnsi="Arial" w:cs="Arial"/>
          <w:sz w:val="24"/>
          <w:szCs w:val="24"/>
          <w:lang w:eastAsia="es-ES"/>
        </w:rPr>
        <w:t xml:space="preserve">por un monto total de $ 53:579.718,34, equivalente a </w:t>
      </w:r>
      <w:r w:rsidR="00DB457D">
        <w:rPr>
          <w:rFonts w:ascii="Arial" w:hAnsi="Arial" w:cs="Arial"/>
          <w:sz w:val="24"/>
          <w:szCs w:val="24"/>
          <w:lang w:eastAsia="es-ES"/>
        </w:rPr>
        <w:t xml:space="preserve">                   </w:t>
      </w:r>
      <w:r>
        <w:rPr>
          <w:rFonts w:ascii="Arial" w:hAnsi="Arial" w:cs="Arial"/>
          <w:sz w:val="24"/>
          <w:szCs w:val="24"/>
          <w:lang w:eastAsia="es-ES"/>
        </w:rPr>
        <w:t>U$S 2:086.437,63</w:t>
      </w:r>
      <w:r>
        <w:rPr>
          <w:rFonts w:ascii="Arial" w:hAnsi="Arial" w:cs="Arial"/>
          <w:sz w:val="24"/>
          <w:szCs w:val="24"/>
          <w:lang w:val="es-MX" w:eastAsia="es-ES"/>
        </w:rPr>
        <w:t>;</w:t>
      </w:r>
    </w:p>
    <w:p w:rsidR="00171E43" w:rsidRDefault="00171E43" w:rsidP="00DB457D">
      <w:pPr>
        <w:spacing w:after="0" w:line="360" w:lineRule="auto"/>
        <w:ind w:firstLine="2977"/>
        <w:jc w:val="both"/>
        <w:rPr>
          <w:rFonts w:ascii="Arial" w:hAnsi="Arial" w:cs="Arial"/>
          <w:sz w:val="24"/>
          <w:szCs w:val="24"/>
          <w:lang w:eastAsia="es-ES"/>
        </w:rPr>
      </w:pPr>
      <w:r>
        <w:rPr>
          <w:rFonts w:ascii="Arial" w:hAnsi="Arial" w:cs="Arial"/>
          <w:b/>
          <w:bCs/>
          <w:sz w:val="24"/>
          <w:szCs w:val="24"/>
          <w:lang w:val="es-MX" w:eastAsia="es-ES"/>
        </w:rPr>
        <w:t xml:space="preserve">3) </w:t>
      </w:r>
      <w:r>
        <w:rPr>
          <w:rFonts w:ascii="Arial" w:hAnsi="Arial" w:cs="Arial"/>
          <w:sz w:val="24"/>
          <w:szCs w:val="24"/>
          <w:lang w:val="es-MX" w:eastAsia="es-ES"/>
        </w:rPr>
        <w:t>que con</w:t>
      </w:r>
      <w:r>
        <w:rPr>
          <w:rFonts w:ascii="Arial" w:hAnsi="Arial" w:cs="Arial"/>
          <w:b/>
          <w:bCs/>
          <w:sz w:val="24"/>
          <w:szCs w:val="24"/>
          <w:lang w:val="es-MX" w:eastAsia="es-ES"/>
        </w:rPr>
        <w:t xml:space="preserve"> </w:t>
      </w:r>
      <w:r>
        <w:rPr>
          <w:rFonts w:ascii="Arial" w:hAnsi="Arial" w:cs="Arial"/>
          <w:sz w:val="24"/>
          <w:szCs w:val="24"/>
          <w:lang w:val="es-MX" w:eastAsia="es-ES"/>
        </w:rPr>
        <w:t>fecha 11</w:t>
      </w:r>
      <w:r w:rsidR="00DB457D">
        <w:rPr>
          <w:rFonts w:ascii="Arial" w:hAnsi="Arial" w:cs="Arial"/>
          <w:sz w:val="24"/>
          <w:szCs w:val="24"/>
          <w:lang w:val="es-MX" w:eastAsia="es-ES"/>
        </w:rPr>
        <w:t>/</w:t>
      </w:r>
      <w:r>
        <w:rPr>
          <w:rFonts w:ascii="Arial" w:hAnsi="Arial" w:cs="Arial"/>
          <w:sz w:val="24"/>
          <w:szCs w:val="24"/>
          <w:lang w:val="es-MX" w:eastAsia="es-ES"/>
        </w:rPr>
        <w:t>01</w:t>
      </w:r>
      <w:r w:rsidR="00DB457D">
        <w:rPr>
          <w:rFonts w:ascii="Arial" w:hAnsi="Arial" w:cs="Arial"/>
          <w:sz w:val="24"/>
          <w:szCs w:val="24"/>
          <w:lang w:val="es-MX" w:eastAsia="es-ES"/>
        </w:rPr>
        <w:t>/</w:t>
      </w:r>
      <w:r>
        <w:rPr>
          <w:rFonts w:ascii="Arial" w:hAnsi="Arial" w:cs="Arial"/>
          <w:sz w:val="24"/>
          <w:szCs w:val="24"/>
          <w:lang w:val="es-MX" w:eastAsia="es-ES"/>
        </w:rPr>
        <w:t>16, el Departamento de Registro y Control Presupuestal informó que p</w:t>
      </w:r>
      <w:r>
        <w:rPr>
          <w:rFonts w:ascii="Arial" w:hAnsi="Arial" w:cs="Arial"/>
          <w:sz w:val="24"/>
          <w:szCs w:val="24"/>
          <w:lang w:eastAsia="es-ES"/>
        </w:rPr>
        <w:t xml:space="preserve">ara el Presupuesto 2015, adecuado a precios correspondientes a los meses de enero-junio 2015, vigente por prórroga automática, el Grupo 1 ha sido imputado con disponibilidad </w:t>
      </w:r>
      <w:r>
        <w:rPr>
          <w:rFonts w:ascii="Arial" w:hAnsi="Arial" w:cs="Arial"/>
          <w:sz w:val="24"/>
          <w:szCs w:val="24"/>
          <w:lang w:eastAsia="es-ES"/>
        </w:rPr>
        <w:lastRenderedPageBreak/>
        <w:t xml:space="preserve">presupuestal suficiente, para comprometer el monto de U$S 164.452,23 (neto de impuestos) en el Ejercicio 2016, que  el  Grupo 3 ha sido imputado sin disponibilidad presupuestal suficiente para comprometer el monto de </w:t>
      </w:r>
      <w:r w:rsidR="00DB457D">
        <w:rPr>
          <w:rFonts w:ascii="Arial" w:hAnsi="Arial" w:cs="Arial"/>
          <w:sz w:val="24"/>
          <w:szCs w:val="24"/>
          <w:lang w:eastAsia="es-ES"/>
        </w:rPr>
        <w:t xml:space="preserve">            </w:t>
      </w:r>
      <w:r>
        <w:rPr>
          <w:rFonts w:ascii="Arial" w:hAnsi="Arial" w:cs="Arial"/>
          <w:sz w:val="24"/>
          <w:szCs w:val="24"/>
          <w:lang w:eastAsia="es-ES"/>
        </w:rPr>
        <w:t>U$S 17.677,46 (neto de impuestos) en el Ejercicio 2016;  y que los Grupos 1 y  3 han sido imputados, con disponibilidad presupuestal suficiente, para comprometer los montos de U$S 1.385.403,38 y U$S 159.097,42 respectivamente (ambos netos de impuestos) en el Ejercicio 2016 e incorporar en el Ejercicio 2017;</w:t>
      </w:r>
    </w:p>
    <w:p w:rsidR="00171E43" w:rsidRDefault="00171E43" w:rsidP="00DB457D">
      <w:pPr>
        <w:spacing w:after="0" w:line="360" w:lineRule="auto"/>
        <w:ind w:firstLine="2977"/>
        <w:jc w:val="both"/>
        <w:rPr>
          <w:rFonts w:ascii="Arial" w:hAnsi="Arial" w:cs="Arial"/>
          <w:sz w:val="24"/>
          <w:szCs w:val="24"/>
          <w:lang w:eastAsia="es-ES"/>
        </w:rPr>
      </w:pPr>
      <w:r>
        <w:rPr>
          <w:rFonts w:ascii="Arial" w:hAnsi="Arial" w:cs="Arial"/>
          <w:b/>
          <w:bCs/>
          <w:sz w:val="24"/>
          <w:szCs w:val="24"/>
          <w:lang w:val="es-MX" w:eastAsia="es-ES"/>
        </w:rPr>
        <w:t>4)</w:t>
      </w:r>
      <w:r>
        <w:rPr>
          <w:rFonts w:ascii="Arial" w:hAnsi="Arial" w:cs="Arial"/>
          <w:sz w:val="24"/>
          <w:szCs w:val="24"/>
          <w:lang w:val="es-MX" w:eastAsia="es-ES"/>
        </w:rPr>
        <w:t xml:space="preserve"> </w:t>
      </w:r>
      <w:proofErr w:type="gramStart"/>
      <w:r>
        <w:rPr>
          <w:rFonts w:ascii="Arial" w:hAnsi="Arial" w:cs="Arial"/>
          <w:sz w:val="24"/>
          <w:szCs w:val="24"/>
          <w:lang w:val="es-MX" w:eastAsia="es-ES"/>
        </w:rPr>
        <w:t>que</w:t>
      </w:r>
      <w:proofErr w:type="gramEnd"/>
      <w:r>
        <w:rPr>
          <w:rFonts w:ascii="Arial" w:hAnsi="Arial" w:cs="Arial"/>
          <w:sz w:val="24"/>
          <w:szCs w:val="24"/>
          <w:lang w:val="es-MX" w:eastAsia="es-ES"/>
        </w:rPr>
        <w:t xml:space="preserve"> por Resolución N° 003/16 de fecha 19</w:t>
      </w:r>
      <w:r w:rsidR="00DB457D">
        <w:rPr>
          <w:rFonts w:ascii="Arial" w:hAnsi="Arial" w:cs="Arial"/>
          <w:sz w:val="24"/>
          <w:szCs w:val="24"/>
          <w:lang w:val="es-MX" w:eastAsia="es-ES"/>
        </w:rPr>
        <w:t>/</w:t>
      </w:r>
      <w:r w:rsidR="0080538E">
        <w:rPr>
          <w:rFonts w:ascii="Arial" w:hAnsi="Arial" w:cs="Arial"/>
          <w:sz w:val="24"/>
          <w:szCs w:val="24"/>
          <w:lang w:val="es-MX" w:eastAsia="es-ES"/>
        </w:rPr>
        <w:t>01</w:t>
      </w:r>
      <w:r w:rsidR="00DB457D">
        <w:rPr>
          <w:rFonts w:ascii="Arial" w:hAnsi="Arial" w:cs="Arial"/>
          <w:sz w:val="24"/>
          <w:szCs w:val="24"/>
          <w:lang w:val="es-MX" w:eastAsia="es-ES"/>
        </w:rPr>
        <w:t>/</w:t>
      </w:r>
      <w:r>
        <w:rPr>
          <w:rFonts w:ascii="Arial" w:hAnsi="Arial" w:cs="Arial"/>
          <w:sz w:val="24"/>
          <w:szCs w:val="24"/>
          <w:lang w:val="es-MX" w:eastAsia="es-ES"/>
        </w:rPr>
        <w:t>6, la Gerencia General dispuso adjudicar, en la forma propuesta</w:t>
      </w:r>
      <w:r>
        <w:rPr>
          <w:rFonts w:ascii="Arial" w:hAnsi="Arial" w:cs="Arial"/>
          <w:sz w:val="24"/>
          <w:szCs w:val="24"/>
          <w:lang w:eastAsia="es-ES"/>
        </w:rPr>
        <w:t xml:space="preserve"> , una suma de </w:t>
      </w:r>
      <w:r w:rsidR="0080538E">
        <w:rPr>
          <w:rFonts w:ascii="Arial" w:hAnsi="Arial" w:cs="Arial"/>
          <w:sz w:val="24"/>
          <w:szCs w:val="24"/>
          <w:lang w:eastAsia="es-ES"/>
        </w:rPr>
        <w:t xml:space="preserve">    </w:t>
      </w:r>
      <w:r>
        <w:rPr>
          <w:rFonts w:ascii="Arial" w:hAnsi="Arial" w:cs="Arial"/>
          <w:sz w:val="24"/>
          <w:szCs w:val="24"/>
          <w:lang w:eastAsia="es-ES"/>
        </w:rPr>
        <w:t>$ 53:579.718,34, equivalente a U$S 2:086.437,63;</w:t>
      </w:r>
    </w:p>
    <w:p w:rsidR="00171E43" w:rsidRDefault="00171E43" w:rsidP="00680578">
      <w:pPr>
        <w:spacing w:after="0" w:line="360" w:lineRule="auto"/>
        <w:ind w:firstLine="851"/>
        <w:jc w:val="both"/>
        <w:rPr>
          <w:rFonts w:ascii="Arial" w:hAnsi="Arial" w:cs="Arial"/>
          <w:sz w:val="24"/>
          <w:szCs w:val="24"/>
          <w:lang w:eastAsia="es-ES"/>
        </w:rPr>
      </w:pPr>
      <w:r>
        <w:rPr>
          <w:rFonts w:ascii="Arial" w:hAnsi="Arial" w:cs="Arial"/>
          <w:b/>
          <w:bCs/>
          <w:sz w:val="24"/>
          <w:szCs w:val="24"/>
          <w:lang w:eastAsia="es-ES"/>
        </w:rPr>
        <w:t>CONSIDERANDO: 1)</w:t>
      </w:r>
      <w:r>
        <w:rPr>
          <w:rFonts w:ascii="Arial" w:hAnsi="Arial" w:cs="Arial"/>
          <w:sz w:val="24"/>
          <w:szCs w:val="24"/>
          <w:lang w:eastAsia="es-ES"/>
        </w:rPr>
        <w:t xml:space="preserve"> que con fecha </w:t>
      </w:r>
      <w:r>
        <w:rPr>
          <w:rFonts w:ascii="Arial" w:hAnsi="Arial" w:cs="Arial"/>
          <w:sz w:val="24"/>
          <w:szCs w:val="24"/>
          <w:lang w:val="es-MX" w:eastAsia="es-ES"/>
        </w:rPr>
        <w:t>11</w:t>
      </w:r>
      <w:r w:rsidR="00DB457D">
        <w:rPr>
          <w:rFonts w:ascii="Arial" w:hAnsi="Arial" w:cs="Arial"/>
          <w:sz w:val="24"/>
          <w:szCs w:val="24"/>
          <w:lang w:val="es-MX" w:eastAsia="es-ES"/>
        </w:rPr>
        <w:t>/</w:t>
      </w:r>
      <w:r>
        <w:rPr>
          <w:rFonts w:ascii="Arial" w:hAnsi="Arial" w:cs="Arial"/>
          <w:sz w:val="24"/>
          <w:szCs w:val="24"/>
          <w:lang w:val="es-MX" w:eastAsia="es-ES"/>
        </w:rPr>
        <w:t>01</w:t>
      </w:r>
      <w:r w:rsidR="00DB457D">
        <w:rPr>
          <w:rFonts w:ascii="Arial" w:hAnsi="Arial" w:cs="Arial"/>
          <w:sz w:val="24"/>
          <w:szCs w:val="24"/>
          <w:lang w:val="es-MX" w:eastAsia="es-ES"/>
        </w:rPr>
        <w:t>/</w:t>
      </w:r>
      <w:r>
        <w:rPr>
          <w:rFonts w:ascii="Arial" w:hAnsi="Arial" w:cs="Arial"/>
          <w:sz w:val="24"/>
          <w:szCs w:val="24"/>
          <w:lang w:val="es-MX" w:eastAsia="es-ES"/>
        </w:rPr>
        <w:t xml:space="preserve">16, </w:t>
      </w:r>
      <w:r>
        <w:rPr>
          <w:rFonts w:ascii="Arial" w:hAnsi="Arial" w:cs="Arial"/>
          <w:sz w:val="24"/>
          <w:szCs w:val="24"/>
          <w:lang w:eastAsia="es-ES"/>
        </w:rPr>
        <w:t xml:space="preserve">la Comisión Asesora realizó un cuadro comparativo de precios de las ofertas presentadas, no obstante, en la etapa de  admisibilidad de las mismas, se expidió únicamente sobre la propuesta de  precio más bajo correspondiente a Shandong </w:t>
      </w:r>
      <w:r w:rsidR="00DB457D">
        <w:rPr>
          <w:rFonts w:ascii="Arial" w:hAnsi="Arial" w:cs="Arial"/>
          <w:sz w:val="24"/>
          <w:szCs w:val="24"/>
          <w:lang w:eastAsia="es-ES"/>
        </w:rPr>
        <w:t xml:space="preserve">               </w:t>
      </w:r>
      <w:r>
        <w:rPr>
          <w:rFonts w:ascii="Arial" w:hAnsi="Arial" w:cs="Arial"/>
          <w:sz w:val="24"/>
          <w:szCs w:val="24"/>
          <w:lang w:eastAsia="es-ES"/>
        </w:rPr>
        <w:t xml:space="preserve">T. </w:t>
      </w:r>
      <w:proofErr w:type="spellStart"/>
      <w:r>
        <w:rPr>
          <w:rFonts w:ascii="Arial" w:hAnsi="Arial" w:cs="Arial"/>
          <w:sz w:val="24"/>
          <w:szCs w:val="24"/>
          <w:lang w:eastAsia="es-ES"/>
        </w:rPr>
        <w:t>Disconnector</w:t>
      </w:r>
      <w:proofErr w:type="spellEnd"/>
      <w:r>
        <w:rPr>
          <w:rFonts w:ascii="Arial" w:hAnsi="Arial" w:cs="Arial"/>
          <w:sz w:val="24"/>
          <w:szCs w:val="24"/>
          <w:lang w:eastAsia="es-ES"/>
        </w:rPr>
        <w:t xml:space="preserve"> Co. </w:t>
      </w:r>
      <w:proofErr w:type="spellStart"/>
      <w:r>
        <w:rPr>
          <w:rFonts w:ascii="Arial" w:hAnsi="Arial" w:cs="Arial"/>
          <w:sz w:val="24"/>
          <w:szCs w:val="24"/>
          <w:lang w:eastAsia="es-ES"/>
        </w:rPr>
        <w:t>Ltd</w:t>
      </w:r>
      <w:proofErr w:type="spellEnd"/>
      <w:r>
        <w:rPr>
          <w:rFonts w:ascii="Arial" w:hAnsi="Arial" w:cs="Arial"/>
          <w:sz w:val="24"/>
          <w:szCs w:val="24"/>
          <w:lang w:eastAsia="es-ES"/>
        </w:rPr>
        <w:t xml:space="preserve">, aconsejando su  adjudicación. La comparación de precios corresponde a una etapa posterior al estudio de admisibilidad de las ofertas y conforme con el principio de preclusión, no puede continuarse con la evaluación de las mismas en cuanto no se produzca el agotamiento de la etapa inicial, en consecuencia, se contravino el orden dispuesto en el </w:t>
      </w:r>
      <w:r w:rsidR="00DB457D">
        <w:rPr>
          <w:rFonts w:ascii="Arial" w:hAnsi="Arial" w:cs="Arial"/>
          <w:sz w:val="24"/>
          <w:szCs w:val="24"/>
          <w:lang w:eastAsia="es-ES"/>
        </w:rPr>
        <w:t>A</w:t>
      </w:r>
      <w:r>
        <w:rPr>
          <w:rFonts w:ascii="Arial" w:hAnsi="Arial" w:cs="Arial"/>
          <w:sz w:val="24"/>
          <w:szCs w:val="24"/>
          <w:lang w:eastAsia="es-ES"/>
        </w:rPr>
        <w:t>rtículo 66 del TOCAF;</w:t>
      </w:r>
    </w:p>
    <w:p w:rsidR="00171E43" w:rsidRDefault="00171E43" w:rsidP="00DB457D">
      <w:pPr>
        <w:spacing w:after="0" w:line="360" w:lineRule="auto"/>
        <w:ind w:firstLine="3119"/>
        <w:jc w:val="both"/>
        <w:rPr>
          <w:rFonts w:ascii="Arial" w:hAnsi="Arial" w:cs="Arial"/>
          <w:sz w:val="24"/>
          <w:szCs w:val="24"/>
          <w:lang w:eastAsia="es-ES"/>
        </w:rPr>
      </w:pPr>
      <w:r>
        <w:rPr>
          <w:rFonts w:ascii="Arial" w:hAnsi="Arial" w:cs="Arial"/>
          <w:b/>
          <w:bCs/>
          <w:sz w:val="24"/>
          <w:szCs w:val="24"/>
          <w:lang w:eastAsia="es-ES"/>
        </w:rPr>
        <w:t>2)</w:t>
      </w:r>
      <w:r>
        <w:rPr>
          <w:rFonts w:ascii="Arial" w:hAnsi="Arial" w:cs="Arial"/>
          <w:sz w:val="24"/>
          <w:szCs w:val="24"/>
          <w:lang w:eastAsia="es-ES"/>
        </w:rPr>
        <w:t xml:space="preserve"> que las bases del llamado contradicen los </w:t>
      </w:r>
      <w:r w:rsidR="00DB457D">
        <w:rPr>
          <w:rFonts w:ascii="Arial" w:hAnsi="Arial" w:cs="Arial"/>
          <w:sz w:val="24"/>
          <w:szCs w:val="24"/>
          <w:lang w:eastAsia="es-ES"/>
        </w:rPr>
        <w:t>A</w:t>
      </w:r>
      <w:r>
        <w:rPr>
          <w:rFonts w:ascii="Arial" w:hAnsi="Arial" w:cs="Arial"/>
          <w:sz w:val="24"/>
          <w:szCs w:val="24"/>
          <w:lang w:eastAsia="es-ES"/>
        </w:rPr>
        <w:t xml:space="preserve">rtículos 46 </w:t>
      </w:r>
      <w:r w:rsidR="00DB457D">
        <w:rPr>
          <w:rFonts w:ascii="Arial" w:hAnsi="Arial" w:cs="Arial"/>
          <w:sz w:val="24"/>
          <w:szCs w:val="24"/>
          <w:lang w:eastAsia="es-ES"/>
        </w:rPr>
        <w:t>N</w:t>
      </w:r>
      <w:r>
        <w:rPr>
          <w:rFonts w:ascii="Arial" w:hAnsi="Arial" w:cs="Arial"/>
          <w:sz w:val="24"/>
          <w:szCs w:val="24"/>
          <w:lang w:eastAsia="es-ES"/>
        </w:rPr>
        <w:t>umeral</w:t>
      </w:r>
      <w:r w:rsidR="0080538E">
        <w:rPr>
          <w:rFonts w:ascii="Arial" w:hAnsi="Arial" w:cs="Arial"/>
          <w:sz w:val="24"/>
          <w:szCs w:val="24"/>
          <w:lang w:eastAsia="es-ES"/>
        </w:rPr>
        <w:t>es</w:t>
      </w:r>
      <w:bookmarkStart w:id="0" w:name="_GoBack"/>
      <w:bookmarkEnd w:id="0"/>
      <w:r>
        <w:rPr>
          <w:rFonts w:ascii="Arial" w:hAnsi="Arial" w:cs="Arial"/>
          <w:sz w:val="24"/>
          <w:szCs w:val="24"/>
          <w:lang w:eastAsia="es-ES"/>
        </w:rPr>
        <w:t xml:space="preserve"> 3) y 76 del TOCAF relativos a la inscripción de los proveedores del Estado en el RUPE. En efecto, el </w:t>
      </w:r>
      <w:r w:rsidR="00DB457D">
        <w:rPr>
          <w:rFonts w:ascii="Arial" w:hAnsi="Arial" w:cs="Arial"/>
          <w:sz w:val="24"/>
          <w:szCs w:val="24"/>
          <w:lang w:eastAsia="es-ES"/>
        </w:rPr>
        <w:t>N</w:t>
      </w:r>
      <w:r>
        <w:rPr>
          <w:rFonts w:ascii="Arial" w:hAnsi="Arial" w:cs="Arial"/>
          <w:sz w:val="24"/>
          <w:szCs w:val="24"/>
          <w:lang w:eastAsia="es-ES"/>
        </w:rPr>
        <w:t xml:space="preserve">umeral 7.1 Parte II del Pliego de Condiciones  Particulares establece bajo el acápite “Apertura de ofertas” que “se controlará que las empresas oferentes se encuentren inscriptas en el Registro Único de  Proveedores del Estado. En caso de que los oferentes no se encuentren inscriptos en dicho Registro, la Administración otorgará un plazo de 2 días hábiles a fin de regularizar la situación. En caso de tratarse de proveedores del exterior, el plazo a dicho efecto, será de 5 días </w:t>
      </w:r>
      <w:r>
        <w:rPr>
          <w:rFonts w:ascii="Arial" w:hAnsi="Arial" w:cs="Arial"/>
          <w:sz w:val="24"/>
          <w:szCs w:val="24"/>
          <w:lang w:eastAsia="es-ES"/>
        </w:rPr>
        <w:lastRenderedPageBreak/>
        <w:t>hábiles”. Conforme con lo establecido en el TOCAF, los proveedores deben encontrarse inscriptos en RUPE al momento de la apertura de las ofertas y no después, por lo tanto, no corresponde el otorgamiento del plazo previsto en el Pliego de Condiciones Particulares para regularizar la situación;</w:t>
      </w:r>
    </w:p>
    <w:p w:rsidR="00171E43" w:rsidRDefault="00171E43" w:rsidP="00DB457D">
      <w:pPr>
        <w:spacing w:after="0" w:line="360" w:lineRule="auto"/>
        <w:ind w:firstLine="3119"/>
        <w:jc w:val="both"/>
        <w:rPr>
          <w:rFonts w:ascii="Arial" w:hAnsi="Arial" w:cs="Arial"/>
          <w:sz w:val="24"/>
          <w:szCs w:val="24"/>
          <w:lang w:eastAsia="es-ES"/>
        </w:rPr>
      </w:pPr>
      <w:r>
        <w:rPr>
          <w:rFonts w:ascii="Arial" w:hAnsi="Arial" w:cs="Arial"/>
          <w:b/>
          <w:bCs/>
          <w:sz w:val="24"/>
          <w:szCs w:val="24"/>
          <w:lang w:eastAsia="es-ES"/>
        </w:rPr>
        <w:t>3)</w:t>
      </w:r>
      <w:r>
        <w:rPr>
          <w:rFonts w:ascii="Arial" w:hAnsi="Arial" w:cs="Arial"/>
          <w:sz w:val="24"/>
          <w:szCs w:val="24"/>
          <w:lang w:eastAsia="es-ES"/>
        </w:rPr>
        <w:t xml:space="preserve"> que el </w:t>
      </w:r>
      <w:r w:rsidR="00DB457D">
        <w:rPr>
          <w:rFonts w:ascii="Arial" w:hAnsi="Arial" w:cs="Arial"/>
          <w:sz w:val="24"/>
          <w:szCs w:val="24"/>
          <w:lang w:eastAsia="es-ES"/>
        </w:rPr>
        <w:t>N</w:t>
      </w:r>
      <w:r>
        <w:rPr>
          <w:rFonts w:ascii="Arial" w:hAnsi="Arial" w:cs="Arial"/>
          <w:sz w:val="24"/>
          <w:szCs w:val="24"/>
          <w:lang w:eastAsia="es-ES"/>
        </w:rPr>
        <w:t xml:space="preserve">umeral 6.1 Parte II del Pliego de Condiciones Particulares, bajo el acápite “Mantenimiento de Oferta” dispone: “No se podrán establecer cláusulas que condicionen el mantenimiento de la oferta en forma alguna o que indiquen otros plazos. Si esto ocurriera, esta Administración a su exclusivo juicio, podrá desestimar la oferta”. Esta norma faculta a la Administración a desestimar ofertas en casos en los que debería rechazarlas en forma preceptiva; </w:t>
      </w:r>
    </w:p>
    <w:p w:rsidR="00171E43" w:rsidRDefault="00171E43" w:rsidP="00DB457D">
      <w:pPr>
        <w:spacing w:after="0" w:line="360" w:lineRule="auto"/>
        <w:ind w:firstLine="3119"/>
        <w:jc w:val="both"/>
        <w:rPr>
          <w:rFonts w:ascii="Arial" w:hAnsi="Arial" w:cs="Arial"/>
          <w:sz w:val="24"/>
          <w:szCs w:val="24"/>
          <w:lang w:val="es-MX" w:eastAsia="es-ES"/>
        </w:rPr>
      </w:pPr>
      <w:r>
        <w:rPr>
          <w:rFonts w:ascii="Arial" w:hAnsi="Arial" w:cs="Arial"/>
          <w:b/>
          <w:bCs/>
          <w:sz w:val="24"/>
          <w:szCs w:val="24"/>
          <w:lang w:eastAsia="es-ES"/>
        </w:rPr>
        <w:t>4)</w:t>
      </w:r>
      <w:r>
        <w:rPr>
          <w:rFonts w:ascii="Arial" w:hAnsi="Arial" w:cs="Arial"/>
          <w:sz w:val="24"/>
          <w:szCs w:val="24"/>
          <w:lang w:eastAsia="es-ES"/>
        </w:rPr>
        <w:t xml:space="preserve"> que se contravino lo dispuesto en el </w:t>
      </w:r>
      <w:r w:rsidR="00DB457D">
        <w:rPr>
          <w:rFonts w:ascii="Arial" w:hAnsi="Arial" w:cs="Arial"/>
          <w:sz w:val="24"/>
          <w:szCs w:val="24"/>
          <w:lang w:eastAsia="es-ES"/>
        </w:rPr>
        <w:t>A</w:t>
      </w:r>
      <w:r>
        <w:rPr>
          <w:rFonts w:ascii="Arial" w:hAnsi="Arial" w:cs="Arial"/>
          <w:sz w:val="24"/>
          <w:szCs w:val="24"/>
          <w:lang w:eastAsia="es-ES"/>
        </w:rPr>
        <w:t>rtículo 15 del TOCAF al comprometerse un gasto sin contar con disponibilidad suficiente el rubro de imputación;</w:t>
      </w:r>
    </w:p>
    <w:p w:rsidR="00171E43" w:rsidRDefault="00171E43" w:rsidP="00DB457D">
      <w:pPr>
        <w:spacing w:after="0" w:line="360" w:lineRule="auto"/>
        <w:ind w:firstLine="851"/>
        <w:jc w:val="both"/>
        <w:rPr>
          <w:rFonts w:ascii="Arial" w:hAnsi="Arial" w:cs="Arial"/>
          <w:sz w:val="24"/>
          <w:szCs w:val="24"/>
          <w:lang w:val="es-ES" w:eastAsia="es-ES"/>
        </w:rPr>
      </w:pPr>
      <w:r>
        <w:rPr>
          <w:rFonts w:ascii="Arial" w:hAnsi="Arial" w:cs="Arial"/>
          <w:b/>
          <w:bCs/>
          <w:sz w:val="24"/>
          <w:szCs w:val="24"/>
          <w:lang w:val="es-ES" w:eastAsia="es-ES"/>
        </w:rPr>
        <w:t xml:space="preserve">ATENTO: </w:t>
      </w:r>
      <w:r>
        <w:rPr>
          <w:rFonts w:ascii="Arial" w:hAnsi="Arial" w:cs="Arial"/>
          <w:sz w:val="24"/>
          <w:szCs w:val="24"/>
          <w:lang w:val="es-ES" w:eastAsia="es-ES"/>
        </w:rPr>
        <w:t xml:space="preserve">a lo expuesto y a lo dispuesto por el  </w:t>
      </w:r>
      <w:r w:rsidR="00DB457D">
        <w:rPr>
          <w:rFonts w:ascii="Arial" w:hAnsi="Arial" w:cs="Arial"/>
          <w:sz w:val="24"/>
          <w:szCs w:val="24"/>
          <w:lang w:val="es-ES" w:eastAsia="es-ES"/>
        </w:rPr>
        <w:t>A</w:t>
      </w:r>
      <w:r>
        <w:rPr>
          <w:rFonts w:ascii="Arial" w:hAnsi="Arial" w:cs="Arial"/>
          <w:sz w:val="24"/>
          <w:szCs w:val="24"/>
          <w:lang w:val="es-ES" w:eastAsia="es-ES"/>
        </w:rPr>
        <w:t xml:space="preserve">rtículo 211 </w:t>
      </w:r>
      <w:r w:rsidR="00DB457D">
        <w:rPr>
          <w:rFonts w:ascii="Arial" w:hAnsi="Arial" w:cs="Arial"/>
          <w:sz w:val="24"/>
          <w:szCs w:val="24"/>
          <w:lang w:val="es-ES" w:eastAsia="es-ES"/>
        </w:rPr>
        <w:t>L</w:t>
      </w:r>
      <w:r>
        <w:rPr>
          <w:rFonts w:ascii="Arial" w:hAnsi="Arial" w:cs="Arial"/>
          <w:sz w:val="24"/>
          <w:szCs w:val="24"/>
          <w:lang w:val="es-ES" w:eastAsia="es-ES"/>
        </w:rPr>
        <w:t>iteral B) de la Constitución de la República;</w:t>
      </w:r>
    </w:p>
    <w:p w:rsidR="00171E43" w:rsidRPr="00680578" w:rsidRDefault="00171E43" w:rsidP="00680578">
      <w:pPr>
        <w:keepNext/>
        <w:spacing w:after="0" w:line="360" w:lineRule="auto"/>
        <w:jc w:val="center"/>
        <w:outlineLvl w:val="0"/>
        <w:rPr>
          <w:rFonts w:ascii="Arial" w:hAnsi="Arial" w:cs="Arial"/>
          <w:b/>
          <w:bCs/>
          <w:sz w:val="24"/>
          <w:szCs w:val="24"/>
          <w:lang w:val="es-MX" w:eastAsia="es-ES"/>
        </w:rPr>
      </w:pPr>
      <w:r>
        <w:rPr>
          <w:rFonts w:ascii="Arial" w:hAnsi="Arial" w:cs="Arial"/>
          <w:b/>
          <w:bCs/>
          <w:sz w:val="24"/>
          <w:szCs w:val="24"/>
          <w:lang w:val="es-MX" w:eastAsia="es-ES"/>
        </w:rPr>
        <w:t>EL TRIBUNAL ACUERDA</w:t>
      </w:r>
    </w:p>
    <w:p w:rsidR="00171E43" w:rsidRDefault="00171E43">
      <w:pPr>
        <w:spacing w:after="0" w:line="240" w:lineRule="auto"/>
        <w:rPr>
          <w:rFonts w:ascii="Arial" w:hAnsi="Arial" w:cs="Arial"/>
          <w:sz w:val="24"/>
          <w:szCs w:val="24"/>
          <w:lang w:val="es-ES" w:eastAsia="es-ES"/>
        </w:rPr>
      </w:pPr>
    </w:p>
    <w:p w:rsidR="00171E43" w:rsidRDefault="00171E43" w:rsidP="00680578">
      <w:pPr>
        <w:numPr>
          <w:ilvl w:val="0"/>
          <w:numId w:val="1"/>
        </w:numPr>
        <w:tabs>
          <w:tab w:val="clear" w:pos="720"/>
          <w:tab w:val="num" w:pos="284"/>
        </w:tabs>
        <w:spacing w:after="0" w:line="360" w:lineRule="auto"/>
        <w:ind w:left="0" w:firstLine="0"/>
        <w:jc w:val="both"/>
        <w:rPr>
          <w:rFonts w:ascii="Arial" w:hAnsi="Arial" w:cs="Arial"/>
          <w:sz w:val="24"/>
          <w:szCs w:val="24"/>
          <w:lang w:val="es-MX" w:eastAsia="es-ES"/>
        </w:rPr>
      </w:pPr>
      <w:r>
        <w:rPr>
          <w:rFonts w:ascii="Arial" w:hAnsi="Arial" w:cs="Arial"/>
          <w:sz w:val="24"/>
          <w:szCs w:val="24"/>
          <w:lang w:val="es-MX" w:eastAsia="es-ES"/>
        </w:rPr>
        <w:t>Observar el gasto; y</w:t>
      </w:r>
    </w:p>
    <w:p w:rsidR="00171E43" w:rsidRDefault="00171E43" w:rsidP="00680578">
      <w:pPr>
        <w:numPr>
          <w:ilvl w:val="0"/>
          <w:numId w:val="1"/>
        </w:numPr>
        <w:tabs>
          <w:tab w:val="clear" w:pos="720"/>
          <w:tab w:val="num" w:pos="284"/>
        </w:tabs>
        <w:spacing w:after="0" w:line="360" w:lineRule="auto"/>
        <w:ind w:left="0" w:firstLine="0"/>
        <w:jc w:val="both"/>
        <w:rPr>
          <w:rFonts w:ascii="Arial" w:hAnsi="Arial" w:cs="Arial"/>
          <w:sz w:val="24"/>
          <w:szCs w:val="24"/>
          <w:lang w:val="es-MX" w:eastAsia="es-ES"/>
        </w:rPr>
      </w:pPr>
      <w:r>
        <w:rPr>
          <w:rFonts w:ascii="Arial" w:hAnsi="Arial" w:cs="Arial"/>
          <w:sz w:val="24"/>
          <w:szCs w:val="24"/>
          <w:lang w:val="es-MX" w:eastAsia="es-ES"/>
        </w:rPr>
        <w:t>Devolver las actuaciones;</w:t>
      </w:r>
    </w:p>
    <w:p w:rsidR="00171E43" w:rsidRDefault="00171E43">
      <w:pPr>
        <w:spacing w:after="0" w:line="360" w:lineRule="auto"/>
        <w:jc w:val="both"/>
        <w:rPr>
          <w:rFonts w:ascii="Arial" w:hAnsi="Arial" w:cs="Arial"/>
          <w:sz w:val="24"/>
          <w:szCs w:val="24"/>
          <w:lang w:val="es-MX" w:eastAsia="es-ES"/>
        </w:rPr>
      </w:pPr>
    </w:p>
    <w:p w:rsidR="00680578" w:rsidRDefault="00680578">
      <w:pPr>
        <w:spacing w:after="0" w:line="360" w:lineRule="auto"/>
        <w:jc w:val="both"/>
        <w:rPr>
          <w:rFonts w:ascii="Arial" w:hAnsi="Arial" w:cs="Arial"/>
          <w:sz w:val="24"/>
          <w:szCs w:val="24"/>
          <w:lang w:val="es-MX" w:eastAsia="es-ES"/>
        </w:rPr>
      </w:pPr>
    </w:p>
    <w:p w:rsidR="00680578" w:rsidRDefault="00680578">
      <w:pPr>
        <w:spacing w:after="0" w:line="360" w:lineRule="auto"/>
        <w:jc w:val="both"/>
        <w:rPr>
          <w:rFonts w:ascii="Arial" w:hAnsi="Arial" w:cs="Arial"/>
          <w:sz w:val="24"/>
          <w:szCs w:val="24"/>
          <w:lang w:val="es-MX" w:eastAsia="es-ES"/>
        </w:rPr>
      </w:pPr>
    </w:p>
    <w:p w:rsidR="00171E43" w:rsidRDefault="00680578">
      <w:pPr>
        <w:spacing w:after="0" w:line="360" w:lineRule="auto"/>
        <w:jc w:val="both"/>
        <w:rPr>
          <w:rFonts w:ascii="Arial" w:hAnsi="Arial" w:cs="Arial"/>
          <w:sz w:val="24"/>
          <w:szCs w:val="24"/>
          <w:lang w:val="es-MX" w:eastAsia="es-ES"/>
        </w:rPr>
      </w:pPr>
      <w:proofErr w:type="spellStart"/>
      <w:proofErr w:type="gramStart"/>
      <w:r>
        <w:rPr>
          <w:rFonts w:ascii="Arial" w:hAnsi="Arial" w:cs="Arial"/>
          <w:sz w:val="24"/>
          <w:szCs w:val="24"/>
          <w:lang w:val="es-MX" w:eastAsia="es-ES"/>
        </w:rPr>
        <w:t>bf</w:t>
      </w:r>
      <w:proofErr w:type="spellEnd"/>
      <w:proofErr w:type="gramEnd"/>
      <w:r w:rsidR="00171E43">
        <w:rPr>
          <w:rFonts w:ascii="Arial" w:hAnsi="Arial" w:cs="Arial"/>
          <w:sz w:val="24"/>
          <w:szCs w:val="24"/>
          <w:lang w:val="es-MX" w:eastAsia="es-ES"/>
        </w:rPr>
        <w:tab/>
      </w:r>
      <w:r w:rsidR="00171E43">
        <w:rPr>
          <w:rFonts w:ascii="Arial" w:hAnsi="Arial" w:cs="Arial"/>
          <w:sz w:val="24"/>
          <w:szCs w:val="24"/>
          <w:lang w:val="es-MX" w:eastAsia="es-ES"/>
        </w:rPr>
        <w:tab/>
      </w:r>
      <w:r w:rsidR="00171E43">
        <w:rPr>
          <w:rFonts w:ascii="Arial" w:hAnsi="Arial" w:cs="Arial"/>
          <w:sz w:val="24"/>
          <w:szCs w:val="24"/>
          <w:lang w:val="es-MX" w:eastAsia="es-ES"/>
        </w:rPr>
        <w:tab/>
      </w:r>
      <w:r w:rsidR="00171E43">
        <w:rPr>
          <w:rFonts w:ascii="Arial" w:hAnsi="Arial" w:cs="Arial"/>
          <w:sz w:val="24"/>
          <w:szCs w:val="24"/>
          <w:lang w:val="es-MX" w:eastAsia="es-ES"/>
        </w:rPr>
        <w:tab/>
      </w:r>
      <w:r w:rsidR="00171E43">
        <w:rPr>
          <w:rFonts w:ascii="Arial" w:hAnsi="Arial" w:cs="Arial"/>
          <w:sz w:val="24"/>
          <w:szCs w:val="24"/>
          <w:lang w:val="es-MX" w:eastAsia="es-ES"/>
        </w:rPr>
        <w:tab/>
      </w:r>
      <w:r w:rsidR="00171E43">
        <w:rPr>
          <w:rFonts w:ascii="Arial" w:hAnsi="Arial" w:cs="Arial"/>
          <w:sz w:val="24"/>
          <w:szCs w:val="24"/>
          <w:lang w:val="es-MX" w:eastAsia="es-ES"/>
        </w:rPr>
        <w:tab/>
      </w:r>
      <w:r w:rsidR="00171E43">
        <w:rPr>
          <w:rFonts w:ascii="Arial" w:hAnsi="Arial" w:cs="Arial"/>
          <w:sz w:val="24"/>
          <w:szCs w:val="24"/>
          <w:lang w:val="es-MX" w:eastAsia="es-ES"/>
        </w:rPr>
        <w:tab/>
        <w:t xml:space="preserve"> </w:t>
      </w:r>
    </w:p>
    <w:p w:rsidR="00171E43" w:rsidRDefault="00171E43">
      <w:pPr>
        <w:spacing w:after="0" w:line="360" w:lineRule="auto"/>
        <w:jc w:val="both"/>
        <w:rPr>
          <w:rFonts w:ascii="Arial" w:hAnsi="Arial" w:cs="Arial"/>
          <w:sz w:val="24"/>
          <w:szCs w:val="24"/>
          <w:lang w:val="es-MX" w:eastAsia="es-ES"/>
        </w:rPr>
      </w:pPr>
    </w:p>
    <w:p w:rsidR="00171E43" w:rsidRDefault="00171E43">
      <w:pPr>
        <w:spacing w:after="0" w:line="360" w:lineRule="auto"/>
        <w:jc w:val="both"/>
        <w:rPr>
          <w:rFonts w:ascii="Arial" w:hAnsi="Arial" w:cs="Arial"/>
          <w:sz w:val="24"/>
          <w:szCs w:val="24"/>
          <w:lang w:val="es-MX" w:eastAsia="es-ES"/>
        </w:rPr>
      </w:pPr>
    </w:p>
    <w:p w:rsidR="00171E43" w:rsidRDefault="00171E43">
      <w:pPr>
        <w:spacing w:after="0" w:line="360" w:lineRule="auto"/>
        <w:jc w:val="both"/>
        <w:rPr>
          <w:rFonts w:ascii="Arial" w:hAnsi="Arial" w:cs="Arial"/>
          <w:sz w:val="24"/>
          <w:szCs w:val="24"/>
          <w:lang w:val="es-MX" w:eastAsia="es-ES"/>
        </w:rPr>
      </w:pPr>
    </w:p>
    <w:p w:rsidR="00171E43" w:rsidRDefault="00171E43">
      <w:pPr>
        <w:rPr>
          <w:rFonts w:ascii="Times New Roman" w:hAnsi="Times New Roman" w:cs="Times New Roman"/>
        </w:rPr>
      </w:pPr>
    </w:p>
    <w:p w:rsidR="00171E43" w:rsidRDefault="00171E43">
      <w:pPr>
        <w:rPr>
          <w:rFonts w:ascii="Times New Roman" w:hAnsi="Times New Roman" w:cs="Times New Roman"/>
        </w:rPr>
      </w:pPr>
    </w:p>
    <w:p w:rsidR="00171E43" w:rsidRDefault="00171E43">
      <w:pPr>
        <w:rPr>
          <w:rFonts w:ascii="Times New Roman" w:hAnsi="Times New Roman" w:cs="Times New Roman"/>
        </w:rPr>
      </w:pPr>
    </w:p>
    <w:sectPr w:rsidR="00171E43" w:rsidSect="00680578">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F629D"/>
    <w:multiLevelType w:val="hybridMultilevel"/>
    <w:tmpl w:val="080AE346"/>
    <w:lvl w:ilvl="0" w:tplc="7D28035C">
      <w:start w:val="1"/>
      <w:numFmt w:val="decimal"/>
      <w:lvlText w:val="%1)"/>
      <w:lvlJc w:val="left"/>
      <w:pPr>
        <w:tabs>
          <w:tab w:val="num" w:pos="720"/>
        </w:tabs>
        <w:ind w:left="720" w:hanging="360"/>
      </w:pPr>
      <w:rPr>
        <w:rFonts w:ascii="Arial" w:hAnsi="Arial" w:cs="Arial" w:hint="default"/>
        <w:b/>
        <w:bCs/>
      </w:rPr>
    </w:lvl>
    <w:lvl w:ilvl="1" w:tplc="0C0A0019">
      <w:start w:val="1"/>
      <w:numFmt w:val="lowerLetter"/>
      <w:lvlText w:val="%2."/>
      <w:lvlJc w:val="left"/>
      <w:pPr>
        <w:tabs>
          <w:tab w:val="num" w:pos="1440"/>
        </w:tabs>
        <w:ind w:left="1440" w:hanging="360"/>
      </w:pPr>
      <w:rPr>
        <w:rFonts w:ascii="Times New Roman" w:hAnsi="Times New Roman"/>
      </w:rPr>
    </w:lvl>
    <w:lvl w:ilvl="2" w:tplc="0C0A001B">
      <w:start w:val="1"/>
      <w:numFmt w:val="lowerRoman"/>
      <w:lvlText w:val="%3."/>
      <w:lvlJc w:val="right"/>
      <w:pPr>
        <w:tabs>
          <w:tab w:val="num" w:pos="2160"/>
        </w:tabs>
        <w:ind w:left="2160" w:hanging="180"/>
      </w:pPr>
      <w:rPr>
        <w:rFonts w:ascii="Times New Roman" w:hAnsi="Times New Roman"/>
      </w:rPr>
    </w:lvl>
    <w:lvl w:ilvl="3" w:tplc="0C0A000F">
      <w:start w:val="1"/>
      <w:numFmt w:val="decimal"/>
      <w:lvlText w:val="%4."/>
      <w:lvlJc w:val="left"/>
      <w:pPr>
        <w:tabs>
          <w:tab w:val="num" w:pos="2880"/>
        </w:tabs>
        <w:ind w:left="2880" w:hanging="360"/>
      </w:pPr>
      <w:rPr>
        <w:rFonts w:ascii="Times New Roman" w:hAnsi="Times New Roman"/>
      </w:rPr>
    </w:lvl>
    <w:lvl w:ilvl="4" w:tplc="0C0A0019">
      <w:start w:val="1"/>
      <w:numFmt w:val="lowerLetter"/>
      <w:lvlText w:val="%5."/>
      <w:lvlJc w:val="left"/>
      <w:pPr>
        <w:tabs>
          <w:tab w:val="num" w:pos="3600"/>
        </w:tabs>
        <w:ind w:left="3600" w:hanging="360"/>
      </w:pPr>
      <w:rPr>
        <w:rFonts w:ascii="Times New Roman" w:hAnsi="Times New Roman"/>
      </w:rPr>
    </w:lvl>
    <w:lvl w:ilvl="5" w:tplc="0C0A001B">
      <w:start w:val="1"/>
      <w:numFmt w:val="lowerRoman"/>
      <w:lvlText w:val="%6."/>
      <w:lvlJc w:val="right"/>
      <w:pPr>
        <w:tabs>
          <w:tab w:val="num" w:pos="4320"/>
        </w:tabs>
        <w:ind w:left="4320" w:hanging="180"/>
      </w:pPr>
      <w:rPr>
        <w:rFonts w:ascii="Times New Roman" w:hAnsi="Times New Roman"/>
      </w:rPr>
    </w:lvl>
    <w:lvl w:ilvl="6" w:tplc="0C0A000F">
      <w:start w:val="1"/>
      <w:numFmt w:val="decimal"/>
      <w:lvlText w:val="%7."/>
      <w:lvlJc w:val="left"/>
      <w:pPr>
        <w:tabs>
          <w:tab w:val="num" w:pos="5040"/>
        </w:tabs>
        <w:ind w:left="5040" w:hanging="360"/>
      </w:pPr>
      <w:rPr>
        <w:rFonts w:ascii="Times New Roman" w:hAnsi="Times New Roman"/>
      </w:rPr>
    </w:lvl>
    <w:lvl w:ilvl="7" w:tplc="0C0A0019">
      <w:start w:val="1"/>
      <w:numFmt w:val="lowerLetter"/>
      <w:lvlText w:val="%8."/>
      <w:lvlJc w:val="left"/>
      <w:pPr>
        <w:tabs>
          <w:tab w:val="num" w:pos="5760"/>
        </w:tabs>
        <w:ind w:left="5760" w:hanging="360"/>
      </w:pPr>
      <w:rPr>
        <w:rFonts w:ascii="Times New Roman" w:hAnsi="Times New Roman"/>
      </w:rPr>
    </w:lvl>
    <w:lvl w:ilvl="8" w:tplc="0C0A001B">
      <w:start w:val="1"/>
      <w:numFmt w:val="lowerRoman"/>
      <w:lvlText w:val="%9."/>
      <w:lvlJc w:val="right"/>
      <w:pPr>
        <w:tabs>
          <w:tab w:val="num" w:pos="6480"/>
        </w:tabs>
        <w:ind w:left="6480" w:hanging="180"/>
      </w:pPr>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E43"/>
    <w:rsid w:val="00171E43"/>
    <w:rsid w:val="004A71D8"/>
    <w:rsid w:val="00680578"/>
    <w:rsid w:val="0080538E"/>
    <w:rsid w:val="00DB457D"/>
    <w:rsid w:val="00DF5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709</Words>
  <Characters>3879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Carpeta N°: 2016-17-1-0000537</vt:lpstr>
    </vt:vector>
  </TitlesOfParts>
  <Company>Tribunal de Cuentas</Company>
  <LinksUpToDate>false</LinksUpToDate>
  <CharactersWithSpaces>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2016-17-1-0000537</dc:title>
  <dc:creator>MARIA ALEJANDRA ALVAREZ LOPEZ</dc:creator>
  <cp:lastModifiedBy>tribunal1</cp:lastModifiedBy>
  <cp:revision>3</cp:revision>
  <dcterms:created xsi:type="dcterms:W3CDTF">2016-02-29T13:41:00Z</dcterms:created>
  <dcterms:modified xsi:type="dcterms:W3CDTF">2016-03-01T13:11:00Z</dcterms:modified>
</cp:coreProperties>
</file>