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44" w:rsidRDefault="008A7F44" w:rsidP="008A7F44">
      <w:pPr>
        <w:tabs>
          <w:tab w:val="center" w:pos="4253"/>
        </w:tabs>
        <w:suppressAutoHyphens/>
        <w:jc w:val="right"/>
        <w:rPr>
          <w:rFonts w:cs="Arial"/>
          <w:b/>
          <w:sz w:val="28"/>
          <w:szCs w:val="28"/>
          <w:lang w:val="es-ES_tradnl"/>
        </w:rPr>
      </w:pPr>
      <w:r>
        <w:rPr>
          <w:rFonts w:cs="Arial"/>
          <w:b/>
          <w:sz w:val="28"/>
          <w:szCs w:val="28"/>
          <w:lang w:val="es-ES_tradnl"/>
        </w:rPr>
        <w:t xml:space="preserve">RES. </w:t>
      </w:r>
      <w:r>
        <w:rPr>
          <w:rFonts w:cs="Arial"/>
          <w:b/>
          <w:sz w:val="28"/>
          <w:szCs w:val="28"/>
          <w:lang w:val="es-ES_tradnl"/>
        </w:rPr>
        <w:t>553/1</w:t>
      </w:r>
      <w:r>
        <w:rPr>
          <w:rFonts w:cs="Arial"/>
          <w:b/>
          <w:sz w:val="28"/>
          <w:szCs w:val="28"/>
          <w:lang w:val="es-ES_tradnl"/>
        </w:rPr>
        <w:t>6</w:t>
      </w:r>
    </w:p>
    <w:p w:rsidR="008A7F44" w:rsidRDefault="008A7F44" w:rsidP="008A7F44">
      <w:pPr>
        <w:tabs>
          <w:tab w:val="center" w:pos="4253"/>
        </w:tabs>
        <w:suppressAutoHyphens/>
        <w:jc w:val="center"/>
        <w:rPr>
          <w:rFonts w:cs="Arial"/>
          <w:b/>
          <w:szCs w:val="24"/>
          <w:lang w:val="es-ES_tradnl"/>
        </w:rPr>
      </w:pPr>
    </w:p>
    <w:p w:rsidR="008A7F44" w:rsidRDefault="008A7F44" w:rsidP="008A7F44">
      <w:pPr>
        <w:tabs>
          <w:tab w:val="center" w:pos="4253"/>
        </w:tabs>
        <w:suppressAutoHyphens/>
        <w:jc w:val="center"/>
        <w:rPr>
          <w:rFonts w:cs="Arial"/>
          <w:b/>
          <w:szCs w:val="24"/>
          <w:lang w:val="es-ES_tradnl"/>
        </w:rPr>
      </w:pPr>
      <w:r>
        <w:rPr>
          <w:rFonts w:cs="Arial"/>
          <w:b/>
          <w:szCs w:val="24"/>
          <w:lang w:val="es-ES_tradnl"/>
        </w:rPr>
        <w:t>RESOLUCION ADOPTADA POR EL</w:t>
      </w:r>
    </w:p>
    <w:p w:rsidR="008A7F44" w:rsidRDefault="008A7F44" w:rsidP="008A7F44">
      <w:pPr>
        <w:tabs>
          <w:tab w:val="left" w:pos="-720"/>
        </w:tabs>
        <w:suppressAutoHyphens/>
        <w:jc w:val="center"/>
        <w:rPr>
          <w:rFonts w:cs="Arial"/>
          <w:b/>
          <w:szCs w:val="24"/>
          <w:lang w:val="es-ES_tradnl"/>
        </w:rPr>
      </w:pPr>
    </w:p>
    <w:p w:rsidR="008A7F44" w:rsidRDefault="008A7F44" w:rsidP="008A7F44">
      <w:pPr>
        <w:tabs>
          <w:tab w:val="center" w:pos="4253"/>
        </w:tabs>
        <w:suppressAutoHyphens/>
        <w:jc w:val="center"/>
        <w:rPr>
          <w:rFonts w:cs="Arial"/>
          <w:b/>
          <w:szCs w:val="24"/>
          <w:lang w:val="es-ES_tradnl"/>
        </w:rPr>
      </w:pPr>
      <w:r>
        <w:rPr>
          <w:rFonts w:cs="Arial"/>
          <w:b/>
          <w:szCs w:val="24"/>
          <w:lang w:val="es-ES_tradnl"/>
        </w:rPr>
        <w:t>TRIBUNAL DE CUENTAS</w:t>
      </w:r>
    </w:p>
    <w:p w:rsidR="008A7F44" w:rsidRDefault="008A7F44" w:rsidP="008A7F44">
      <w:pPr>
        <w:tabs>
          <w:tab w:val="left" w:pos="-720"/>
        </w:tabs>
        <w:suppressAutoHyphens/>
        <w:jc w:val="center"/>
        <w:rPr>
          <w:rFonts w:cs="Arial"/>
          <w:b/>
          <w:szCs w:val="24"/>
          <w:lang w:val="es-ES_tradnl"/>
        </w:rPr>
      </w:pPr>
    </w:p>
    <w:p w:rsidR="008A7F44" w:rsidRDefault="008A7F44" w:rsidP="008A7F44">
      <w:pPr>
        <w:tabs>
          <w:tab w:val="center" w:pos="4253"/>
        </w:tabs>
        <w:suppressAutoHyphens/>
        <w:jc w:val="center"/>
        <w:rPr>
          <w:rFonts w:cs="Arial"/>
          <w:b/>
          <w:szCs w:val="24"/>
          <w:lang w:val="es-ES_tradnl"/>
        </w:rPr>
      </w:pPr>
      <w:r>
        <w:rPr>
          <w:rFonts w:cs="Arial"/>
          <w:b/>
          <w:szCs w:val="24"/>
          <w:lang w:val="es-ES_tradnl"/>
        </w:rPr>
        <w:t>EN SESION DE FECHA 17 DE FEBRERO DE 2016</w:t>
      </w:r>
    </w:p>
    <w:p w:rsidR="008A7F44" w:rsidRDefault="008A7F44" w:rsidP="008A7F44">
      <w:pPr>
        <w:tabs>
          <w:tab w:val="center" w:pos="4253"/>
        </w:tabs>
        <w:suppressAutoHyphens/>
        <w:jc w:val="center"/>
        <w:rPr>
          <w:rFonts w:cs="Arial"/>
          <w:b/>
          <w:szCs w:val="24"/>
          <w:lang w:val="es-ES_tradnl"/>
        </w:rPr>
      </w:pPr>
    </w:p>
    <w:p w:rsidR="008A7F44" w:rsidRDefault="008A7F44" w:rsidP="008A7F44">
      <w:pPr>
        <w:tabs>
          <w:tab w:val="center" w:pos="4253"/>
        </w:tabs>
        <w:suppressAutoHyphens/>
        <w:jc w:val="center"/>
        <w:rPr>
          <w:rFonts w:cs="Arial"/>
          <w:b/>
          <w:szCs w:val="24"/>
          <w:lang w:val="es-UY"/>
        </w:rPr>
      </w:pPr>
      <w:r>
        <w:rPr>
          <w:rFonts w:cs="Arial"/>
          <w:b/>
          <w:szCs w:val="24"/>
          <w:lang w:val="es-UY"/>
        </w:rPr>
        <w:t>(E. E. Nº 201</w:t>
      </w:r>
      <w:r>
        <w:rPr>
          <w:rFonts w:cs="Arial"/>
          <w:b/>
          <w:szCs w:val="24"/>
          <w:lang w:val="es-UY"/>
        </w:rPr>
        <w:t>5</w:t>
      </w:r>
      <w:r>
        <w:rPr>
          <w:rFonts w:cs="Arial"/>
          <w:b/>
          <w:szCs w:val="24"/>
          <w:lang w:val="es-UY"/>
        </w:rPr>
        <w:t>-17-1-000</w:t>
      </w:r>
      <w:r>
        <w:rPr>
          <w:rFonts w:cs="Arial"/>
          <w:b/>
          <w:szCs w:val="24"/>
          <w:lang w:val="es-UY"/>
        </w:rPr>
        <w:t>9278</w:t>
      </w:r>
      <w:r>
        <w:rPr>
          <w:rFonts w:cs="Arial"/>
          <w:b/>
          <w:szCs w:val="24"/>
          <w:lang w:val="es-UY"/>
        </w:rPr>
        <w:t xml:space="preserve">, </w:t>
      </w:r>
      <w:proofErr w:type="spellStart"/>
      <w:r>
        <w:rPr>
          <w:rFonts w:cs="Arial"/>
          <w:b/>
          <w:szCs w:val="24"/>
          <w:lang w:val="es-UY"/>
        </w:rPr>
        <w:t>Ent</w:t>
      </w:r>
      <w:proofErr w:type="spellEnd"/>
      <w:r>
        <w:rPr>
          <w:rFonts w:cs="Arial"/>
          <w:b/>
          <w:szCs w:val="24"/>
          <w:lang w:val="es-UY"/>
        </w:rPr>
        <w:t xml:space="preserve">. N° </w:t>
      </w:r>
      <w:r>
        <w:rPr>
          <w:rFonts w:cs="Arial"/>
          <w:b/>
          <w:szCs w:val="24"/>
          <w:lang w:val="es-UY"/>
        </w:rPr>
        <w:t>7304</w:t>
      </w:r>
      <w:r>
        <w:rPr>
          <w:rFonts w:cs="Arial"/>
          <w:b/>
          <w:szCs w:val="24"/>
          <w:lang w:val="es-UY"/>
        </w:rPr>
        <w:t>/1</w:t>
      </w:r>
      <w:r>
        <w:rPr>
          <w:rFonts w:cs="Arial"/>
          <w:b/>
          <w:szCs w:val="24"/>
          <w:lang w:val="es-UY"/>
        </w:rPr>
        <w:t>5</w:t>
      </w:r>
      <w:r>
        <w:rPr>
          <w:rFonts w:cs="Arial"/>
          <w:b/>
          <w:szCs w:val="24"/>
          <w:lang w:val="es-UY"/>
        </w:rPr>
        <w:t>)</w:t>
      </w:r>
    </w:p>
    <w:p w:rsidR="008A7F44" w:rsidRDefault="008A7F44" w:rsidP="00396CDB">
      <w:pPr>
        <w:spacing w:line="360" w:lineRule="auto"/>
        <w:jc w:val="both"/>
        <w:rPr>
          <w:b/>
          <w:bCs/>
          <w:lang w:val="es-MX"/>
        </w:rPr>
      </w:pPr>
    </w:p>
    <w:p w:rsidR="00D43C7D" w:rsidRDefault="00396CDB" w:rsidP="00540B5A">
      <w:pPr>
        <w:spacing w:line="360" w:lineRule="auto"/>
        <w:ind w:firstLine="851"/>
        <w:jc w:val="both"/>
        <w:rPr>
          <w:rFonts w:cs="Arial"/>
          <w:bCs/>
          <w:lang w:val="es-MX"/>
        </w:rPr>
      </w:pPr>
      <w:r w:rsidRPr="00771C8E">
        <w:rPr>
          <w:b/>
          <w:bCs/>
          <w:lang w:val="es-MX"/>
        </w:rPr>
        <w:t>VISTO:</w:t>
      </w:r>
      <w:r w:rsidRPr="00771C8E">
        <w:rPr>
          <w:lang w:val="es-MX"/>
        </w:rPr>
        <w:t xml:space="preserve"> las actuaciones remitidas por la Administración de las Obras Sanitarias del Estado, relacionadas con la Licitación Pública </w:t>
      </w:r>
      <w:r>
        <w:rPr>
          <w:rFonts w:cs="Arial"/>
          <w:lang w:val="es-MX"/>
        </w:rPr>
        <w:t>Nº</w:t>
      </w:r>
      <w:r w:rsidR="00D43C7D">
        <w:rPr>
          <w:rFonts w:cs="Arial"/>
          <w:lang w:val="es-MX"/>
        </w:rPr>
        <w:t xml:space="preserve"> </w:t>
      </w:r>
      <w:r w:rsidR="00D43C7D">
        <w:rPr>
          <w:rFonts w:cs="Arial"/>
          <w:bCs/>
          <w:lang w:val="es-MX"/>
        </w:rPr>
        <w:t>15163</w:t>
      </w:r>
      <w:r w:rsidR="00D43C7D" w:rsidRPr="001209BE">
        <w:rPr>
          <w:rFonts w:cs="Arial"/>
          <w:bCs/>
          <w:lang w:val="es-MX"/>
        </w:rPr>
        <w:t xml:space="preserve"> para la </w:t>
      </w:r>
      <w:r w:rsidR="00D43C7D">
        <w:rPr>
          <w:rFonts w:cs="Arial"/>
          <w:bCs/>
          <w:lang w:val="es-MX"/>
        </w:rPr>
        <w:t>contratación de una empresa suministradora de personal para desarrollar servicios de lectura de medidores en la ciudad de Montevideo;</w:t>
      </w:r>
    </w:p>
    <w:p w:rsidR="00D43C7D" w:rsidRDefault="00396CDB" w:rsidP="00540B5A">
      <w:pPr>
        <w:spacing w:line="360" w:lineRule="auto"/>
        <w:ind w:firstLine="851"/>
        <w:jc w:val="both"/>
        <w:rPr>
          <w:lang w:val="es-MX"/>
        </w:rPr>
      </w:pPr>
      <w:r>
        <w:rPr>
          <w:rFonts w:cs="Arial"/>
          <w:b/>
          <w:lang w:val="es-MX"/>
        </w:rPr>
        <w:t xml:space="preserve">RESULTANDO:   1) </w:t>
      </w:r>
      <w:r w:rsidRPr="00771C8E">
        <w:rPr>
          <w:rFonts w:cs="Arial"/>
          <w:lang w:val="es-MX"/>
        </w:rPr>
        <w:t>que</w:t>
      </w:r>
      <w:r w:rsidR="0073567B">
        <w:rPr>
          <w:rFonts w:cs="Arial"/>
          <w:lang w:val="es-MX"/>
        </w:rPr>
        <w:t>,</w:t>
      </w:r>
      <w:r w:rsidRPr="00771C8E">
        <w:rPr>
          <w:rFonts w:cs="Arial"/>
          <w:lang w:val="es-MX"/>
        </w:rPr>
        <w:t xml:space="preserve"> cumplido el requisito legal de publicidad, con fecha </w:t>
      </w:r>
      <w:r w:rsidR="00D43C7D">
        <w:rPr>
          <w:rFonts w:cs="Arial"/>
          <w:lang w:val="es-MX"/>
        </w:rPr>
        <w:t>8/9</w:t>
      </w:r>
      <w:r w:rsidR="005B6A6B">
        <w:rPr>
          <w:rFonts w:cs="Arial"/>
          <w:lang w:val="es-MX"/>
        </w:rPr>
        <w:t>/2015</w:t>
      </w:r>
      <w:r w:rsidRPr="00771C8E">
        <w:rPr>
          <w:rFonts w:cs="Arial"/>
          <w:lang w:val="es-MX"/>
        </w:rPr>
        <w:t xml:space="preserve">, se procedió al acto de apertura de las </w:t>
      </w:r>
      <w:r w:rsidR="00CF5504">
        <w:rPr>
          <w:rFonts w:cs="Arial"/>
          <w:lang w:val="es-MX"/>
        </w:rPr>
        <w:t>propuestas</w:t>
      </w:r>
      <w:r w:rsidRPr="00771C8E">
        <w:rPr>
          <w:rFonts w:cs="Arial"/>
          <w:lang w:val="es-MX"/>
        </w:rPr>
        <w:t xml:space="preserve"> al que se presentaron </w:t>
      </w:r>
      <w:r w:rsidR="00D43C7D">
        <w:rPr>
          <w:rFonts w:cs="Arial"/>
          <w:lang w:val="es-MX"/>
        </w:rPr>
        <w:t>tres</w:t>
      </w:r>
      <w:r w:rsidRPr="00771C8E">
        <w:rPr>
          <w:rFonts w:cs="Arial"/>
          <w:lang w:val="es-MX"/>
        </w:rPr>
        <w:t xml:space="preserve"> oferentes:</w:t>
      </w:r>
      <w:r w:rsidRPr="00771C8E">
        <w:t xml:space="preserve"> </w:t>
      </w:r>
      <w:r w:rsidR="00D43C7D">
        <w:rPr>
          <w:lang w:val="es-MX"/>
        </w:rPr>
        <w:t xml:space="preserve">UHY </w:t>
      </w:r>
      <w:proofErr w:type="spellStart"/>
      <w:r w:rsidR="00D43C7D">
        <w:rPr>
          <w:lang w:val="es-MX"/>
        </w:rPr>
        <w:t>Gubba</w:t>
      </w:r>
      <w:proofErr w:type="spellEnd"/>
      <w:r w:rsidR="00D43C7D">
        <w:rPr>
          <w:lang w:val="es-MX"/>
        </w:rPr>
        <w:t xml:space="preserve"> y asociados, </w:t>
      </w:r>
      <w:proofErr w:type="spellStart"/>
      <w:r w:rsidR="00D43C7D">
        <w:rPr>
          <w:lang w:val="es-MX"/>
        </w:rPr>
        <w:t>Teregal</w:t>
      </w:r>
      <w:proofErr w:type="spellEnd"/>
      <w:r w:rsidR="00D43C7D">
        <w:rPr>
          <w:lang w:val="es-MX"/>
        </w:rPr>
        <w:t xml:space="preserve"> SA y </w:t>
      </w:r>
      <w:proofErr w:type="spellStart"/>
      <w:r w:rsidR="00D43C7D">
        <w:rPr>
          <w:lang w:val="es-MX"/>
        </w:rPr>
        <w:t>Tecnocyl</w:t>
      </w:r>
      <w:proofErr w:type="spellEnd"/>
      <w:r w:rsidR="00D43C7D">
        <w:rPr>
          <w:lang w:val="es-MX"/>
        </w:rPr>
        <w:t xml:space="preserve"> SA. </w:t>
      </w:r>
      <w:r w:rsidR="00D43C7D" w:rsidRPr="00184F10">
        <w:rPr>
          <w:lang w:val="es-MX"/>
        </w:rPr>
        <w:t>Se deja</w:t>
      </w:r>
      <w:r w:rsidR="00D43C7D">
        <w:rPr>
          <w:lang w:val="es-MX"/>
        </w:rPr>
        <w:t xml:space="preserve"> constancia que </w:t>
      </w:r>
      <w:proofErr w:type="spellStart"/>
      <w:r w:rsidR="00D43C7D">
        <w:rPr>
          <w:lang w:val="es-MX"/>
        </w:rPr>
        <w:t>Tecnocyl</w:t>
      </w:r>
      <w:proofErr w:type="spellEnd"/>
      <w:r w:rsidR="00D43C7D">
        <w:rPr>
          <w:lang w:val="es-MX"/>
        </w:rPr>
        <w:t xml:space="preserve"> SA no presenta los currículums vitae de los recursos propuestos; </w:t>
      </w:r>
    </w:p>
    <w:p w:rsidR="00D43C7D" w:rsidRDefault="00D43C7D" w:rsidP="00540B5A">
      <w:pPr>
        <w:spacing w:line="360" w:lineRule="auto"/>
        <w:ind w:firstLine="2835"/>
        <w:jc w:val="both"/>
        <w:rPr>
          <w:bCs/>
          <w:lang w:val="es-MX"/>
        </w:rPr>
      </w:pPr>
      <w:r>
        <w:rPr>
          <w:b/>
          <w:lang w:val="es-MX"/>
        </w:rPr>
        <w:t>2)</w:t>
      </w:r>
      <w:r>
        <w:rPr>
          <w:lang w:val="es-MX"/>
        </w:rPr>
        <w:t xml:space="preserve"> que</w:t>
      </w:r>
      <w:r w:rsidR="0073567B">
        <w:rPr>
          <w:lang w:val="es-MX"/>
        </w:rPr>
        <w:t>,</w:t>
      </w:r>
      <w:r>
        <w:rPr>
          <w:lang w:val="es-MX"/>
        </w:rPr>
        <w:t xml:space="preserve"> c</w:t>
      </w:r>
      <w:r>
        <w:rPr>
          <w:bCs/>
          <w:lang w:val="es-MX"/>
        </w:rPr>
        <w:t>on fecha 5/10/15, la Comisión Asesora de Adjudicaciones efectúa un análisis primario de las ofertas presentadas, informando que:</w:t>
      </w:r>
    </w:p>
    <w:p w:rsidR="00D43C7D" w:rsidRDefault="00D43C7D" w:rsidP="00D43C7D">
      <w:pPr>
        <w:spacing w:line="360" w:lineRule="auto"/>
        <w:jc w:val="both"/>
        <w:rPr>
          <w:bCs/>
          <w:lang w:val="es-MX"/>
        </w:rPr>
      </w:pPr>
      <w:r w:rsidRPr="00D43C7D">
        <w:rPr>
          <w:b/>
          <w:bCs/>
          <w:lang w:val="es-MX"/>
        </w:rPr>
        <w:t>2.1)</w:t>
      </w:r>
      <w:r>
        <w:rPr>
          <w:bCs/>
          <w:lang w:val="es-MX"/>
        </w:rPr>
        <w:t xml:space="preserve"> la oferta de </w:t>
      </w:r>
      <w:r>
        <w:rPr>
          <w:lang w:val="es-MX"/>
        </w:rPr>
        <w:t xml:space="preserve">UHY </w:t>
      </w:r>
      <w:proofErr w:type="spellStart"/>
      <w:r>
        <w:rPr>
          <w:lang w:val="es-MX"/>
        </w:rPr>
        <w:t>Gubba</w:t>
      </w:r>
      <w:proofErr w:type="spellEnd"/>
      <w:r>
        <w:rPr>
          <w:lang w:val="es-MX"/>
        </w:rPr>
        <w:t xml:space="preserve"> y asociados se ajusta sustancialmente a los documentos licitatorios,</w:t>
      </w:r>
    </w:p>
    <w:p w:rsidR="00D43C7D" w:rsidRDefault="00D43C7D" w:rsidP="00D43C7D">
      <w:pPr>
        <w:spacing w:line="360" w:lineRule="auto"/>
        <w:jc w:val="both"/>
        <w:rPr>
          <w:bCs/>
          <w:lang w:val="es-MX"/>
        </w:rPr>
      </w:pPr>
      <w:r w:rsidRPr="00D43C7D">
        <w:rPr>
          <w:b/>
          <w:bCs/>
          <w:lang w:val="es-MX"/>
        </w:rPr>
        <w:t>2.2)</w:t>
      </w:r>
      <w:r>
        <w:rPr>
          <w:bCs/>
          <w:lang w:val="es-MX"/>
        </w:rPr>
        <w:t xml:space="preserve"> </w:t>
      </w:r>
      <w:proofErr w:type="spellStart"/>
      <w:r>
        <w:rPr>
          <w:bCs/>
          <w:lang w:val="es-MX"/>
        </w:rPr>
        <w:t>Teregal</w:t>
      </w:r>
      <w:proofErr w:type="spellEnd"/>
      <w:r>
        <w:rPr>
          <w:bCs/>
          <w:lang w:val="es-MX"/>
        </w:rPr>
        <w:t xml:space="preserve"> SA </w:t>
      </w:r>
      <w:r>
        <w:rPr>
          <w:lang w:val="es-MX"/>
        </w:rPr>
        <w:t>se ajusta sustancialmente a los documentos licitatorios. No obstante deberá requerirse al proponente</w:t>
      </w:r>
      <w:r w:rsidR="0073567B">
        <w:rPr>
          <w:lang w:val="es-MX"/>
        </w:rPr>
        <w:t>,</w:t>
      </w:r>
      <w:r>
        <w:rPr>
          <w:lang w:val="es-MX"/>
        </w:rPr>
        <w:t xml:space="preserve"> por la vía de solicitud de aclaración, copia completa del original de la habilitación de la Dirección Nacional de Empleo, en razón de que la presentada junto con la oferta secciona parte del documento reproducido, sin que pueda distinguirse el año de habilitación, </w:t>
      </w:r>
    </w:p>
    <w:p w:rsidR="00540B5A" w:rsidRDefault="00D43C7D" w:rsidP="00D43C7D">
      <w:pPr>
        <w:spacing w:line="360" w:lineRule="auto"/>
        <w:jc w:val="both"/>
        <w:rPr>
          <w:bCs/>
          <w:lang w:val="es-MX"/>
        </w:rPr>
      </w:pPr>
      <w:r w:rsidRPr="00D43C7D">
        <w:rPr>
          <w:b/>
          <w:bCs/>
          <w:lang w:val="es-MX"/>
        </w:rPr>
        <w:t>2.3)</w:t>
      </w:r>
      <w:r>
        <w:rPr>
          <w:bCs/>
          <w:lang w:val="es-MX"/>
        </w:rPr>
        <w:t xml:space="preserve"> </w:t>
      </w:r>
      <w:proofErr w:type="spellStart"/>
      <w:r>
        <w:rPr>
          <w:bCs/>
          <w:lang w:val="es-MX"/>
        </w:rPr>
        <w:t>Tecnocyl</w:t>
      </w:r>
      <w:proofErr w:type="spellEnd"/>
      <w:r>
        <w:rPr>
          <w:bCs/>
          <w:lang w:val="es-MX"/>
        </w:rPr>
        <w:t xml:space="preserve"> SA presenta apartamientos sustanciales: </w:t>
      </w:r>
    </w:p>
    <w:p w:rsidR="00540B5A" w:rsidRDefault="00D43C7D" w:rsidP="00D43C7D">
      <w:pPr>
        <w:spacing w:line="360" w:lineRule="auto"/>
        <w:jc w:val="both"/>
        <w:rPr>
          <w:bCs/>
          <w:lang w:val="es-MX"/>
        </w:rPr>
      </w:pPr>
      <w:r>
        <w:rPr>
          <w:bCs/>
          <w:lang w:val="es-MX"/>
        </w:rPr>
        <w:t xml:space="preserve">a) no acredita que en los últimos tres años haya suministrado personal para los servicios de la naturaleza a contratar por un tiempo mínimo de doce meses, tal como lo requiere el </w:t>
      </w:r>
      <w:r w:rsidR="00540B5A">
        <w:rPr>
          <w:bCs/>
          <w:lang w:val="es-MX"/>
        </w:rPr>
        <w:t>A</w:t>
      </w:r>
      <w:r>
        <w:rPr>
          <w:bCs/>
          <w:lang w:val="es-MX"/>
        </w:rPr>
        <w:t xml:space="preserve">rtículo 3.2 del capítulo II del Pliego, que preceptúa que la inexistencia de prueba documentada de la experiencia requerida descalifica al oferente, </w:t>
      </w:r>
    </w:p>
    <w:p w:rsidR="00540B5A" w:rsidRDefault="00D43C7D" w:rsidP="00D43C7D">
      <w:pPr>
        <w:spacing w:line="360" w:lineRule="auto"/>
        <w:jc w:val="both"/>
        <w:rPr>
          <w:bCs/>
          <w:lang w:val="es-MX"/>
        </w:rPr>
      </w:pPr>
      <w:r>
        <w:rPr>
          <w:bCs/>
          <w:lang w:val="es-MX"/>
        </w:rPr>
        <w:t xml:space="preserve">b) no presenta planilla de méritos de los postulantes, como lo requiere el </w:t>
      </w:r>
      <w:r w:rsidR="00540B5A">
        <w:rPr>
          <w:bCs/>
          <w:lang w:val="es-MX"/>
        </w:rPr>
        <w:t>A</w:t>
      </w:r>
      <w:r>
        <w:rPr>
          <w:bCs/>
          <w:lang w:val="es-MX"/>
        </w:rPr>
        <w:t xml:space="preserve">rtículo 4.1 del capítulo II del Pliego, </w:t>
      </w:r>
    </w:p>
    <w:p w:rsidR="00540B5A" w:rsidRDefault="00D43C7D" w:rsidP="00D43C7D">
      <w:pPr>
        <w:spacing w:line="360" w:lineRule="auto"/>
        <w:jc w:val="both"/>
        <w:rPr>
          <w:bCs/>
          <w:lang w:val="es-MX"/>
        </w:rPr>
      </w:pPr>
      <w:r>
        <w:rPr>
          <w:bCs/>
          <w:lang w:val="es-MX"/>
        </w:rPr>
        <w:t xml:space="preserve">c) no presenta garantía de </w:t>
      </w:r>
      <w:r>
        <w:rPr>
          <w:bCs/>
          <w:lang w:val="es-MX"/>
        </w:rPr>
        <w:lastRenderedPageBreak/>
        <w:t>mantenimiento de oferta (</w:t>
      </w:r>
      <w:r w:rsidR="00540B5A">
        <w:rPr>
          <w:bCs/>
          <w:lang w:val="es-MX"/>
        </w:rPr>
        <w:t>A</w:t>
      </w:r>
      <w:r>
        <w:rPr>
          <w:bCs/>
          <w:lang w:val="es-MX"/>
        </w:rPr>
        <w:t xml:space="preserve">rtículo 6.3 del Capítulos III del Pliego), y </w:t>
      </w:r>
    </w:p>
    <w:p w:rsidR="00D43C7D" w:rsidRDefault="00D43C7D" w:rsidP="00D43C7D">
      <w:pPr>
        <w:spacing w:line="360" w:lineRule="auto"/>
        <w:jc w:val="both"/>
        <w:rPr>
          <w:bCs/>
          <w:lang w:val="es-MX"/>
        </w:rPr>
      </w:pPr>
      <w:r>
        <w:rPr>
          <w:bCs/>
          <w:lang w:val="es-MX"/>
        </w:rPr>
        <w:t xml:space="preserve">d) no cumple con el </w:t>
      </w:r>
      <w:r w:rsidR="00540B5A">
        <w:rPr>
          <w:bCs/>
          <w:lang w:val="es-MX"/>
        </w:rPr>
        <w:t>A</w:t>
      </w:r>
      <w:r>
        <w:rPr>
          <w:bCs/>
          <w:lang w:val="es-MX"/>
        </w:rPr>
        <w:t xml:space="preserve">rtículo 2.1 de las bases del llamado, ya que si bien su cotización es por un año, solicita contrato a dos años, </w:t>
      </w:r>
    </w:p>
    <w:p w:rsidR="00D43C7D" w:rsidRDefault="002A3DD6" w:rsidP="00D43C7D">
      <w:pPr>
        <w:spacing w:line="360" w:lineRule="auto"/>
        <w:jc w:val="both"/>
        <w:rPr>
          <w:bCs/>
          <w:lang w:val="es-MX"/>
        </w:rPr>
      </w:pPr>
      <w:r w:rsidRPr="002A3DD6">
        <w:rPr>
          <w:b/>
          <w:bCs/>
          <w:lang w:val="es-MX"/>
        </w:rPr>
        <w:t>2.</w:t>
      </w:r>
      <w:r w:rsidR="00D43C7D" w:rsidRPr="002A3DD6">
        <w:rPr>
          <w:b/>
          <w:bCs/>
          <w:lang w:val="es-MX"/>
        </w:rPr>
        <w:t>4)</w:t>
      </w:r>
      <w:r w:rsidR="00D43C7D">
        <w:rPr>
          <w:bCs/>
          <w:lang w:val="es-MX"/>
        </w:rPr>
        <w:t xml:space="preserve"> por todo lo cual se rechaza la oferta de </w:t>
      </w:r>
      <w:proofErr w:type="spellStart"/>
      <w:r w:rsidR="00D43C7D">
        <w:rPr>
          <w:bCs/>
          <w:lang w:val="es-MX"/>
        </w:rPr>
        <w:t>Tecnocyl</w:t>
      </w:r>
      <w:proofErr w:type="spellEnd"/>
      <w:r w:rsidR="00D43C7D">
        <w:rPr>
          <w:bCs/>
          <w:lang w:val="es-MX"/>
        </w:rPr>
        <w:t xml:space="preserve"> SA y se solicita a </w:t>
      </w:r>
      <w:proofErr w:type="spellStart"/>
      <w:r w:rsidR="00D43C7D">
        <w:rPr>
          <w:bCs/>
          <w:lang w:val="es-MX"/>
        </w:rPr>
        <w:t>Teregal</w:t>
      </w:r>
      <w:proofErr w:type="spellEnd"/>
      <w:r w:rsidR="00D43C7D">
        <w:rPr>
          <w:bCs/>
          <w:lang w:val="es-MX"/>
        </w:rPr>
        <w:t xml:space="preserve"> SA la información referida;</w:t>
      </w:r>
    </w:p>
    <w:p w:rsidR="00D43C7D" w:rsidRDefault="002A3DD6" w:rsidP="007B067D">
      <w:pPr>
        <w:spacing w:line="360" w:lineRule="auto"/>
        <w:ind w:firstLine="2835"/>
        <w:jc w:val="both"/>
        <w:rPr>
          <w:bCs/>
          <w:lang w:val="es-MX"/>
        </w:rPr>
      </w:pPr>
      <w:r>
        <w:rPr>
          <w:b/>
          <w:bCs/>
          <w:lang w:val="es-MX"/>
        </w:rPr>
        <w:t>3)</w:t>
      </w:r>
      <w:r>
        <w:rPr>
          <w:bCs/>
          <w:lang w:val="es-MX"/>
        </w:rPr>
        <w:t xml:space="preserve"> que</w:t>
      </w:r>
      <w:r w:rsidR="0073567B">
        <w:rPr>
          <w:bCs/>
          <w:lang w:val="es-MX"/>
        </w:rPr>
        <w:t>,</w:t>
      </w:r>
      <w:r>
        <w:rPr>
          <w:bCs/>
          <w:lang w:val="es-MX"/>
        </w:rPr>
        <w:t xml:space="preserve"> e</w:t>
      </w:r>
      <w:r w:rsidR="00D43C7D">
        <w:rPr>
          <w:bCs/>
          <w:lang w:val="es-MX"/>
        </w:rPr>
        <w:t xml:space="preserve">n </w:t>
      </w:r>
      <w:r>
        <w:rPr>
          <w:bCs/>
          <w:lang w:val="es-MX"/>
        </w:rPr>
        <w:t xml:space="preserve">igual </w:t>
      </w:r>
      <w:r w:rsidR="00D43C7D">
        <w:rPr>
          <w:bCs/>
          <w:lang w:val="es-MX"/>
        </w:rPr>
        <w:t>fecha</w:t>
      </w:r>
      <w:r w:rsidR="0073567B">
        <w:rPr>
          <w:bCs/>
          <w:lang w:val="es-MX"/>
        </w:rPr>
        <w:t xml:space="preserve"> y</w:t>
      </w:r>
      <w:r w:rsidR="00D43C7D">
        <w:rPr>
          <w:bCs/>
          <w:lang w:val="es-MX"/>
        </w:rPr>
        <w:t>,</w:t>
      </w:r>
      <w:r>
        <w:rPr>
          <w:bCs/>
          <w:lang w:val="es-MX"/>
        </w:rPr>
        <w:t xml:space="preserve"> recibida la información complementaria solicitada a </w:t>
      </w:r>
      <w:proofErr w:type="spellStart"/>
      <w:r>
        <w:rPr>
          <w:bCs/>
          <w:lang w:val="es-MX"/>
        </w:rPr>
        <w:t>Teregal</w:t>
      </w:r>
      <w:proofErr w:type="spellEnd"/>
      <w:r>
        <w:rPr>
          <w:bCs/>
          <w:lang w:val="es-MX"/>
        </w:rPr>
        <w:t xml:space="preserve"> SA, la que se considera satisfactoria, </w:t>
      </w:r>
      <w:r w:rsidR="00D43C7D">
        <w:rPr>
          <w:bCs/>
          <w:lang w:val="es-MX"/>
        </w:rPr>
        <w:t xml:space="preserve"> la Comisión Asesora de Adjudicaciones, procede a realizar la Calificación Final de la Empresa conforme lo establecido en las bases del llamado, de la que surge el siguiente cuadro:</w:t>
      </w:r>
    </w:p>
    <w:p w:rsidR="00D43C7D" w:rsidRDefault="00D43C7D" w:rsidP="00D43C7D">
      <w:pPr>
        <w:spacing w:line="360" w:lineRule="auto"/>
        <w:jc w:val="both"/>
        <w:rPr>
          <w:bCs/>
          <w:lang w:val="es-MX"/>
        </w:rPr>
      </w:pPr>
    </w:p>
    <w:tbl>
      <w:tblPr>
        <w:tblStyle w:val="Tablaconcuadrcula"/>
        <w:tblW w:w="0" w:type="auto"/>
        <w:tblLook w:val="04A0" w:firstRow="1" w:lastRow="0" w:firstColumn="1" w:lastColumn="0" w:noHBand="0" w:noVBand="1"/>
      </w:tblPr>
      <w:tblGrid>
        <w:gridCol w:w="1578"/>
        <w:gridCol w:w="1444"/>
        <w:gridCol w:w="1444"/>
        <w:gridCol w:w="2031"/>
      </w:tblGrid>
      <w:tr w:rsidR="00D43C7D" w:rsidTr="00D43C7D">
        <w:tc>
          <w:tcPr>
            <w:tcW w:w="0" w:type="auto"/>
          </w:tcPr>
          <w:p w:rsidR="00D43C7D" w:rsidRDefault="00D43C7D" w:rsidP="00D43C7D">
            <w:pPr>
              <w:spacing w:line="360" w:lineRule="auto"/>
              <w:jc w:val="both"/>
              <w:rPr>
                <w:bCs/>
                <w:lang w:val="es-MX"/>
              </w:rPr>
            </w:pPr>
          </w:p>
        </w:tc>
        <w:tc>
          <w:tcPr>
            <w:tcW w:w="0" w:type="auto"/>
          </w:tcPr>
          <w:p w:rsidR="00D43C7D" w:rsidRDefault="00D43C7D" w:rsidP="00D43C7D">
            <w:pPr>
              <w:spacing w:line="360" w:lineRule="auto"/>
              <w:jc w:val="both"/>
              <w:rPr>
                <w:bCs/>
                <w:lang w:val="es-MX"/>
              </w:rPr>
            </w:pPr>
            <w:r>
              <w:rPr>
                <w:bCs/>
                <w:lang w:val="es-MX"/>
              </w:rPr>
              <w:t xml:space="preserve">Calificación </w:t>
            </w:r>
          </w:p>
          <w:p w:rsidR="00D43C7D" w:rsidRDefault="00D43C7D" w:rsidP="00D43C7D">
            <w:pPr>
              <w:spacing w:line="360" w:lineRule="auto"/>
              <w:jc w:val="both"/>
              <w:rPr>
                <w:bCs/>
                <w:lang w:val="es-MX"/>
              </w:rPr>
            </w:pPr>
            <w:r>
              <w:rPr>
                <w:bCs/>
                <w:lang w:val="es-MX"/>
              </w:rPr>
              <w:t>Técnica</w:t>
            </w:r>
          </w:p>
        </w:tc>
        <w:tc>
          <w:tcPr>
            <w:tcW w:w="0" w:type="auto"/>
          </w:tcPr>
          <w:p w:rsidR="00D43C7D" w:rsidRDefault="00D43C7D" w:rsidP="00D43C7D">
            <w:pPr>
              <w:spacing w:line="360" w:lineRule="auto"/>
              <w:jc w:val="both"/>
              <w:rPr>
                <w:bCs/>
                <w:lang w:val="es-MX"/>
              </w:rPr>
            </w:pPr>
            <w:r>
              <w:rPr>
                <w:bCs/>
                <w:lang w:val="es-MX"/>
              </w:rPr>
              <w:t>Calificación</w:t>
            </w:r>
          </w:p>
          <w:p w:rsidR="00D43C7D" w:rsidRDefault="00D43C7D" w:rsidP="00D43C7D">
            <w:pPr>
              <w:spacing w:line="360" w:lineRule="auto"/>
              <w:jc w:val="both"/>
              <w:rPr>
                <w:bCs/>
                <w:lang w:val="es-MX"/>
              </w:rPr>
            </w:pPr>
            <w:r>
              <w:rPr>
                <w:bCs/>
                <w:lang w:val="es-MX"/>
              </w:rPr>
              <w:t>Económica</w:t>
            </w:r>
          </w:p>
        </w:tc>
        <w:tc>
          <w:tcPr>
            <w:tcW w:w="0" w:type="auto"/>
          </w:tcPr>
          <w:p w:rsidR="00D43C7D" w:rsidRDefault="00D43C7D" w:rsidP="00D43C7D">
            <w:pPr>
              <w:spacing w:line="360" w:lineRule="auto"/>
              <w:jc w:val="both"/>
              <w:rPr>
                <w:bCs/>
                <w:lang w:val="es-MX"/>
              </w:rPr>
            </w:pPr>
            <w:r>
              <w:rPr>
                <w:bCs/>
                <w:lang w:val="es-MX"/>
              </w:rPr>
              <w:t>Calificación Final</w:t>
            </w:r>
          </w:p>
        </w:tc>
      </w:tr>
      <w:tr w:rsidR="00D43C7D" w:rsidTr="00D43C7D">
        <w:tc>
          <w:tcPr>
            <w:tcW w:w="0" w:type="auto"/>
          </w:tcPr>
          <w:p w:rsidR="00D43C7D" w:rsidRDefault="00D43C7D" w:rsidP="00D43C7D">
            <w:pPr>
              <w:spacing w:line="360" w:lineRule="auto"/>
              <w:jc w:val="both"/>
              <w:rPr>
                <w:bCs/>
                <w:lang w:val="es-MX"/>
              </w:rPr>
            </w:pPr>
            <w:r>
              <w:rPr>
                <w:bCs/>
                <w:lang w:val="es-MX"/>
              </w:rPr>
              <w:t xml:space="preserve">Hugo </w:t>
            </w:r>
            <w:proofErr w:type="spellStart"/>
            <w:r>
              <w:rPr>
                <w:bCs/>
                <w:lang w:val="es-MX"/>
              </w:rPr>
              <w:t>Gubba</w:t>
            </w:r>
            <w:proofErr w:type="spellEnd"/>
          </w:p>
        </w:tc>
        <w:tc>
          <w:tcPr>
            <w:tcW w:w="0" w:type="auto"/>
          </w:tcPr>
          <w:p w:rsidR="00D43C7D" w:rsidRDefault="00D43C7D" w:rsidP="00D43C7D">
            <w:pPr>
              <w:spacing w:line="360" w:lineRule="auto"/>
              <w:jc w:val="both"/>
              <w:rPr>
                <w:bCs/>
                <w:lang w:val="es-MX"/>
              </w:rPr>
            </w:pPr>
            <w:r>
              <w:rPr>
                <w:bCs/>
                <w:lang w:val="es-MX"/>
              </w:rPr>
              <w:t xml:space="preserve">  48</w:t>
            </w:r>
          </w:p>
        </w:tc>
        <w:tc>
          <w:tcPr>
            <w:tcW w:w="0" w:type="auto"/>
          </w:tcPr>
          <w:p w:rsidR="00D43C7D" w:rsidRDefault="00D43C7D" w:rsidP="00D43C7D">
            <w:pPr>
              <w:spacing w:line="360" w:lineRule="auto"/>
              <w:jc w:val="both"/>
              <w:rPr>
                <w:bCs/>
                <w:lang w:val="es-MX"/>
              </w:rPr>
            </w:pPr>
            <w:r>
              <w:rPr>
                <w:bCs/>
                <w:lang w:val="es-MX"/>
              </w:rPr>
              <w:t>100</w:t>
            </w:r>
          </w:p>
        </w:tc>
        <w:tc>
          <w:tcPr>
            <w:tcW w:w="0" w:type="auto"/>
          </w:tcPr>
          <w:p w:rsidR="00D43C7D" w:rsidRDefault="00D43C7D" w:rsidP="00D43C7D">
            <w:pPr>
              <w:spacing w:line="360" w:lineRule="auto"/>
              <w:jc w:val="both"/>
              <w:rPr>
                <w:bCs/>
                <w:lang w:val="es-MX"/>
              </w:rPr>
            </w:pPr>
            <w:r>
              <w:rPr>
                <w:bCs/>
                <w:lang w:val="es-MX"/>
              </w:rPr>
              <w:t>74</w:t>
            </w:r>
          </w:p>
        </w:tc>
      </w:tr>
      <w:tr w:rsidR="00D43C7D" w:rsidTr="00D43C7D">
        <w:tc>
          <w:tcPr>
            <w:tcW w:w="0" w:type="auto"/>
          </w:tcPr>
          <w:p w:rsidR="00D43C7D" w:rsidRDefault="00D43C7D" w:rsidP="00D43C7D">
            <w:pPr>
              <w:spacing w:line="360" w:lineRule="auto"/>
              <w:jc w:val="both"/>
              <w:rPr>
                <w:bCs/>
                <w:lang w:val="es-MX"/>
              </w:rPr>
            </w:pPr>
            <w:proofErr w:type="spellStart"/>
            <w:r>
              <w:rPr>
                <w:bCs/>
                <w:lang w:val="es-MX"/>
              </w:rPr>
              <w:t>Teregal</w:t>
            </w:r>
            <w:proofErr w:type="spellEnd"/>
            <w:r>
              <w:rPr>
                <w:bCs/>
                <w:lang w:val="es-MX"/>
              </w:rPr>
              <w:t xml:space="preserve"> SA</w:t>
            </w:r>
          </w:p>
        </w:tc>
        <w:tc>
          <w:tcPr>
            <w:tcW w:w="0" w:type="auto"/>
          </w:tcPr>
          <w:p w:rsidR="00D43C7D" w:rsidRDefault="00D43C7D" w:rsidP="00D43C7D">
            <w:pPr>
              <w:spacing w:line="360" w:lineRule="auto"/>
              <w:jc w:val="both"/>
              <w:rPr>
                <w:bCs/>
                <w:lang w:val="es-MX"/>
              </w:rPr>
            </w:pPr>
            <w:r>
              <w:rPr>
                <w:bCs/>
                <w:lang w:val="es-MX"/>
              </w:rPr>
              <w:t>100</w:t>
            </w:r>
          </w:p>
        </w:tc>
        <w:tc>
          <w:tcPr>
            <w:tcW w:w="0" w:type="auto"/>
          </w:tcPr>
          <w:p w:rsidR="00D43C7D" w:rsidRDefault="00D43C7D" w:rsidP="00D43C7D">
            <w:pPr>
              <w:spacing w:line="360" w:lineRule="auto"/>
              <w:jc w:val="both"/>
              <w:rPr>
                <w:bCs/>
                <w:lang w:val="es-MX"/>
              </w:rPr>
            </w:pPr>
            <w:r>
              <w:rPr>
                <w:bCs/>
                <w:lang w:val="es-MX"/>
              </w:rPr>
              <w:t xml:space="preserve">  94,3</w:t>
            </w:r>
          </w:p>
        </w:tc>
        <w:tc>
          <w:tcPr>
            <w:tcW w:w="0" w:type="auto"/>
          </w:tcPr>
          <w:p w:rsidR="00D43C7D" w:rsidRDefault="00D43C7D" w:rsidP="00D43C7D">
            <w:pPr>
              <w:spacing w:line="360" w:lineRule="auto"/>
              <w:jc w:val="both"/>
              <w:rPr>
                <w:bCs/>
                <w:lang w:val="es-MX"/>
              </w:rPr>
            </w:pPr>
            <w:r>
              <w:rPr>
                <w:bCs/>
                <w:lang w:val="es-MX"/>
              </w:rPr>
              <w:t>97,15</w:t>
            </w:r>
          </w:p>
        </w:tc>
      </w:tr>
    </w:tbl>
    <w:p w:rsidR="00D43C7D" w:rsidRDefault="00D43C7D" w:rsidP="00D43C7D">
      <w:pPr>
        <w:spacing w:line="360" w:lineRule="auto"/>
        <w:jc w:val="both"/>
        <w:rPr>
          <w:bCs/>
          <w:lang w:val="es-MX"/>
        </w:rPr>
      </w:pPr>
    </w:p>
    <w:p w:rsidR="00D43C7D" w:rsidRDefault="00D43C7D" w:rsidP="00D43C7D">
      <w:pPr>
        <w:spacing w:line="360" w:lineRule="auto"/>
        <w:jc w:val="both"/>
        <w:rPr>
          <w:bCs/>
          <w:lang w:val="es-MX"/>
        </w:rPr>
      </w:pPr>
      <w:r>
        <w:rPr>
          <w:bCs/>
          <w:lang w:val="es-MX"/>
        </w:rPr>
        <w:t xml:space="preserve">De la calificación final resulta que </w:t>
      </w:r>
      <w:proofErr w:type="spellStart"/>
      <w:r>
        <w:rPr>
          <w:bCs/>
          <w:lang w:val="es-MX"/>
        </w:rPr>
        <w:t>Teregal</w:t>
      </w:r>
      <w:proofErr w:type="spellEnd"/>
      <w:r>
        <w:rPr>
          <w:bCs/>
          <w:lang w:val="es-MX"/>
        </w:rPr>
        <w:t xml:space="preserve"> SA obtiene el mayor puntaje, por lo que corresponde proceder a la evaluación final conforme lo dispuesto por el </w:t>
      </w:r>
      <w:r w:rsidR="007B067D">
        <w:rPr>
          <w:bCs/>
          <w:lang w:val="es-MX"/>
        </w:rPr>
        <w:t>A</w:t>
      </w:r>
      <w:r>
        <w:rPr>
          <w:bCs/>
          <w:lang w:val="es-MX"/>
        </w:rPr>
        <w:t>rtículo</w:t>
      </w:r>
      <w:r w:rsidR="002A3DD6">
        <w:rPr>
          <w:bCs/>
          <w:lang w:val="es-MX"/>
        </w:rPr>
        <w:t xml:space="preserve"> 7.6 del Capítulo II del Pliego;</w:t>
      </w:r>
    </w:p>
    <w:p w:rsidR="00D43C7D" w:rsidRDefault="002A3DD6" w:rsidP="007B067D">
      <w:pPr>
        <w:spacing w:line="360" w:lineRule="auto"/>
        <w:ind w:firstLine="2835"/>
        <w:jc w:val="both"/>
      </w:pPr>
      <w:r>
        <w:rPr>
          <w:b/>
          <w:bCs/>
          <w:lang w:val="es-MX"/>
        </w:rPr>
        <w:t>4)</w:t>
      </w:r>
      <w:r>
        <w:rPr>
          <w:bCs/>
          <w:lang w:val="es-MX"/>
        </w:rPr>
        <w:t xml:space="preserve"> que</w:t>
      </w:r>
      <w:r w:rsidR="0073567B">
        <w:rPr>
          <w:bCs/>
          <w:lang w:val="es-MX"/>
        </w:rPr>
        <w:t>,</w:t>
      </w:r>
      <w:r>
        <w:rPr>
          <w:bCs/>
          <w:lang w:val="es-MX"/>
        </w:rPr>
        <w:t xml:space="preserve"> con </w:t>
      </w:r>
      <w:r w:rsidR="00D43C7D">
        <w:rPr>
          <w:lang w:val="es-MX"/>
        </w:rPr>
        <w:t xml:space="preserve">fecha 16/10/15, se cotejó la información de la Planilla de Méritos de los postulantes con sus currículums y la documentación probatoria contenida en los sobres de la oferta mejor calificada, conforme lo dispuesto por las bases del llamado, </w:t>
      </w:r>
      <w:r>
        <w:rPr>
          <w:lang w:val="es-MX"/>
        </w:rPr>
        <w:t xml:space="preserve">y </w:t>
      </w:r>
      <w:r w:rsidR="00D43C7D">
        <w:rPr>
          <w:lang w:val="es-MX"/>
        </w:rPr>
        <w:t>se elaboró la Nómina Definitiva con las correspondiente Calificaciones Técnicas de los Postulantes.</w:t>
      </w:r>
      <w:r>
        <w:rPr>
          <w:lang w:val="es-MX"/>
        </w:rPr>
        <w:t xml:space="preserve"> </w:t>
      </w:r>
      <w:r w:rsidR="00D43C7D">
        <w:rPr>
          <w:lang w:val="es-MX"/>
        </w:rPr>
        <w:t xml:space="preserve">La </w:t>
      </w:r>
      <w:r w:rsidR="00D43C7D" w:rsidRPr="00177E92">
        <w:t>Comisión Asesora de Adjudicaciones</w:t>
      </w:r>
      <w:r w:rsidR="00D43C7D">
        <w:t xml:space="preserve"> hace suyo el referido informe y propone la adjudicación a </w:t>
      </w:r>
      <w:proofErr w:type="spellStart"/>
      <w:r w:rsidR="00D43C7D">
        <w:t>Teregal</w:t>
      </w:r>
      <w:proofErr w:type="spellEnd"/>
      <w:r w:rsidR="00D43C7D">
        <w:t xml:space="preserve"> SA, en un todo de acuerdo a la oferta presentada y a la lista de postulantes incluida en el informe técnico que se adjunta, por un monto total de $ 49.118.090 (IVA</w:t>
      </w:r>
      <w:r>
        <w:t xml:space="preserve"> y ajuste paramétrico incluido);</w:t>
      </w:r>
    </w:p>
    <w:p w:rsidR="00D43C7D" w:rsidRDefault="002A3DD6" w:rsidP="007B067D">
      <w:pPr>
        <w:spacing w:line="360" w:lineRule="auto"/>
        <w:ind w:firstLine="2835"/>
        <w:jc w:val="both"/>
      </w:pPr>
      <w:r>
        <w:rPr>
          <w:b/>
        </w:rPr>
        <w:t>5)</w:t>
      </w:r>
      <w:r>
        <w:t xml:space="preserve"> </w:t>
      </w:r>
      <w:r w:rsidR="0073567B">
        <w:t>que, p</w:t>
      </w:r>
      <w:r>
        <w:t xml:space="preserve">or Resolución </w:t>
      </w:r>
      <w:r w:rsidR="00D43C7D" w:rsidRPr="002A3DD6">
        <w:t>Nº 1416/15</w:t>
      </w:r>
      <w:r>
        <w:rPr>
          <w:b/>
        </w:rPr>
        <w:t xml:space="preserve"> </w:t>
      </w:r>
      <w:r>
        <w:t>de f</w:t>
      </w:r>
      <w:r w:rsidR="00D43C7D">
        <w:t xml:space="preserve">echa </w:t>
      </w:r>
      <w:r w:rsidR="00D43C7D">
        <w:rPr>
          <w:b/>
          <w:bCs/>
        </w:rPr>
        <w:t xml:space="preserve"> </w:t>
      </w:r>
      <w:r w:rsidR="00D43C7D" w:rsidRPr="002A3DD6">
        <w:rPr>
          <w:bCs/>
        </w:rPr>
        <w:t>25/11/15</w:t>
      </w:r>
      <w:r>
        <w:rPr>
          <w:bCs/>
        </w:rPr>
        <w:t>, e</w:t>
      </w:r>
      <w:r w:rsidR="00D43C7D">
        <w:t>l Directorio dispuso la adjudicación en la forma propuesta, por un monto total de $ 49.118.090 (IVA y ajuste paramétrico incluido), supeditando la contratación a la intervención prevent</w:t>
      </w:r>
      <w:r>
        <w:t>iva que compete a este Tribunal;</w:t>
      </w:r>
    </w:p>
    <w:p w:rsidR="00D43C7D" w:rsidRDefault="002A3DD6" w:rsidP="007B067D">
      <w:pPr>
        <w:spacing w:line="360" w:lineRule="auto"/>
        <w:ind w:firstLine="2835"/>
        <w:jc w:val="both"/>
      </w:pPr>
      <w:r>
        <w:rPr>
          <w:b/>
        </w:rPr>
        <w:t>6)</w:t>
      </w:r>
      <w:r>
        <w:t xml:space="preserve"> que</w:t>
      </w:r>
      <w:r w:rsidR="0073567B">
        <w:t>,</w:t>
      </w:r>
      <w:r>
        <w:t xml:space="preserve"> con fecha 23/12/15, la </w:t>
      </w:r>
      <w:r w:rsidR="00D43C7D">
        <w:t>Gerencia Financiero Contable informa que no se agrega informe de disponibilidad por haberse comprometido el gasto con cargo al grupo 2 (Servicios No Personales) del Presupues</w:t>
      </w:r>
      <w:r>
        <w:t>to a regir en el Ejercicio 2016;</w:t>
      </w:r>
    </w:p>
    <w:p w:rsidR="00A21A30" w:rsidRDefault="00396CDB" w:rsidP="007B067D">
      <w:pPr>
        <w:pStyle w:val="Textoindependiente"/>
        <w:ind w:firstLine="851"/>
      </w:pPr>
      <w:r>
        <w:rPr>
          <w:b/>
        </w:rPr>
        <w:t>CONSIDERANDO:  1)</w:t>
      </w:r>
      <w:r>
        <w:t xml:space="preserve"> </w:t>
      </w:r>
      <w:r w:rsidR="00A21A30">
        <w:t xml:space="preserve">que el </w:t>
      </w:r>
      <w:r w:rsidR="007B067D">
        <w:t>A</w:t>
      </w:r>
      <w:r w:rsidR="007F11BE">
        <w:t>rtículo</w:t>
      </w:r>
      <w:r w:rsidR="00A21A30">
        <w:t xml:space="preserve"> 6.3 del Pliego de Condiciones Particulares</w:t>
      </w:r>
      <w:r w:rsidR="007F11BE">
        <w:t xml:space="preserve"> que rigió el llamado,</w:t>
      </w:r>
      <w:r w:rsidR="00A21A30">
        <w:t xml:space="preserve"> establece</w:t>
      </w:r>
      <w:r w:rsidR="00A21A30" w:rsidRPr="00A21A30">
        <w:t xml:space="preserve"> que será documento integrante de la oferta el comprobante que acredite haber adquirido el Pliego de Condiciones Particulares de la Licitación</w:t>
      </w:r>
      <w:r w:rsidR="00D64D86">
        <w:t>;</w:t>
      </w:r>
    </w:p>
    <w:p w:rsidR="00396CDB" w:rsidRPr="00483717" w:rsidRDefault="00396CDB" w:rsidP="007B067D">
      <w:pPr>
        <w:pStyle w:val="Textoindependiente"/>
        <w:ind w:firstLine="3119"/>
      </w:pPr>
      <w:r>
        <w:rPr>
          <w:b/>
          <w:lang w:val="es-ES"/>
        </w:rPr>
        <w:t xml:space="preserve">2) </w:t>
      </w:r>
      <w:r>
        <w:rPr>
          <w:lang w:val="es-ES"/>
        </w:rPr>
        <w:t>que en consecuencia</w:t>
      </w:r>
      <w:r w:rsidR="00D64D86">
        <w:rPr>
          <w:lang w:val="es-ES"/>
        </w:rPr>
        <w:t>,</w:t>
      </w:r>
      <w:r>
        <w:rPr>
          <w:lang w:val="es-ES"/>
        </w:rPr>
        <w:t xml:space="preserve"> </w:t>
      </w:r>
      <w:r>
        <w:t xml:space="preserve">el procedimiento </w:t>
      </w:r>
      <w:r w:rsidR="00A21A30">
        <w:t xml:space="preserve">no </w:t>
      </w:r>
      <w:r>
        <w:t xml:space="preserve">se ajustó a lo dispuesto por el </w:t>
      </w:r>
      <w:r w:rsidR="007B067D">
        <w:t>A</w:t>
      </w:r>
      <w:r>
        <w:t xml:space="preserve">rtículo </w:t>
      </w:r>
      <w:r w:rsidR="00A21A30">
        <w:t xml:space="preserve">48 </w:t>
      </w:r>
      <w:r>
        <w:t xml:space="preserve">del TOCAF </w:t>
      </w:r>
      <w:r w:rsidR="007F11BE">
        <w:t>por cuanto la adquisición del P</w:t>
      </w:r>
      <w:r w:rsidR="00A21A30">
        <w:t xml:space="preserve">liego </w:t>
      </w:r>
      <w:r w:rsidR="007F11BE">
        <w:t>constituye</w:t>
      </w:r>
      <w:r w:rsidR="00A21A30">
        <w:t xml:space="preserve"> un requisito que no está directamente vinculado a la consideración del objeto de la contratación y la evaluación de la oferta</w:t>
      </w:r>
      <w:r w:rsidR="007F11BE">
        <w:t>, por lo que únicamente corresponde exigirlo al oferente que resulte adjudicatario;</w:t>
      </w:r>
    </w:p>
    <w:p w:rsidR="00396CDB" w:rsidRDefault="00396CDB" w:rsidP="007B067D">
      <w:pPr>
        <w:tabs>
          <w:tab w:val="left" w:pos="-3420"/>
        </w:tabs>
        <w:spacing w:line="360" w:lineRule="auto"/>
        <w:ind w:firstLine="851"/>
        <w:jc w:val="both"/>
        <w:rPr>
          <w:rFonts w:cs="Arial"/>
        </w:rPr>
      </w:pPr>
      <w:r>
        <w:rPr>
          <w:rFonts w:cs="Arial"/>
          <w:b/>
          <w:bCs/>
        </w:rPr>
        <w:t xml:space="preserve">ATENTO: </w:t>
      </w:r>
      <w:r>
        <w:rPr>
          <w:rFonts w:cs="Arial"/>
        </w:rPr>
        <w:t xml:space="preserve">a lo expuesto y a lo dispuesto por el  </w:t>
      </w:r>
      <w:r w:rsidR="007B067D">
        <w:rPr>
          <w:rFonts w:cs="Arial"/>
        </w:rPr>
        <w:t>A</w:t>
      </w:r>
      <w:r>
        <w:rPr>
          <w:rFonts w:cs="Arial"/>
        </w:rPr>
        <w:t xml:space="preserve">rtículo 211 </w:t>
      </w:r>
      <w:r w:rsidR="007B067D">
        <w:rPr>
          <w:rFonts w:cs="Arial"/>
        </w:rPr>
        <w:t>L</w:t>
      </w:r>
      <w:r>
        <w:rPr>
          <w:rFonts w:cs="Arial"/>
        </w:rPr>
        <w:t>iteral B) de la Constitución de la República;</w:t>
      </w:r>
    </w:p>
    <w:p w:rsidR="00396CDB" w:rsidRDefault="00396CDB" w:rsidP="00396CDB">
      <w:pPr>
        <w:pStyle w:val="Ttulo1"/>
        <w:jc w:val="center"/>
      </w:pPr>
      <w:r>
        <w:t xml:space="preserve">EL TRIBUNAL </w:t>
      </w:r>
      <w:r w:rsidR="007B067D">
        <w:t xml:space="preserve">POR MAYORIA </w:t>
      </w:r>
      <w:r>
        <w:t>ACUERDA</w:t>
      </w:r>
    </w:p>
    <w:p w:rsidR="00396CDB" w:rsidRDefault="007B067D" w:rsidP="007B067D">
      <w:pPr>
        <w:spacing w:line="360" w:lineRule="auto"/>
        <w:jc w:val="both"/>
        <w:rPr>
          <w:rFonts w:cs="Arial"/>
          <w:lang w:val="es-MX"/>
        </w:rPr>
      </w:pPr>
      <w:r w:rsidRPr="007B067D">
        <w:rPr>
          <w:rFonts w:cs="Arial"/>
          <w:b/>
          <w:lang w:val="es-MX"/>
        </w:rPr>
        <w:t>1)</w:t>
      </w:r>
      <w:r>
        <w:rPr>
          <w:rFonts w:cs="Arial"/>
          <w:lang w:val="es-MX"/>
        </w:rPr>
        <w:t xml:space="preserve"> </w:t>
      </w:r>
      <w:r w:rsidR="00396CDB">
        <w:rPr>
          <w:rFonts w:cs="Arial"/>
          <w:lang w:val="es-MX"/>
        </w:rPr>
        <w:t>Observar el ga</w:t>
      </w:r>
      <w:r w:rsidR="00993901">
        <w:rPr>
          <w:rFonts w:cs="Arial"/>
          <w:lang w:val="es-MX"/>
        </w:rPr>
        <w:t xml:space="preserve">sto en razón de lo expresado </w:t>
      </w:r>
      <w:r w:rsidR="002A3DD6">
        <w:rPr>
          <w:rFonts w:cs="Arial"/>
          <w:lang w:val="es-MX"/>
        </w:rPr>
        <w:t xml:space="preserve">en </w:t>
      </w:r>
      <w:r w:rsidR="00993901">
        <w:rPr>
          <w:rFonts w:cs="Arial"/>
          <w:lang w:val="es-MX"/>
        </w:rPr>
        <w:t>los</w:t>
      </w:r>
      <w:r w:rsidR="00396CDB">
        <w:rPr>
          <w:rFonts w:cs="Arial"/>
          <w:lang w:val="es-MX"/>
        </w:rPr>
        <w:t xml:space="preserve">  Considerando</w:t>
      </w:r>
      <w:r w:rsidR="00993901">
        <w:rPr>
          <w:rFonts w:cs="Arial"/>
          <w:lang w:val="es-MX"/>
        </w:rPr>
        <w:t>s</w:t>
      </w:r>
      <w:r>
        <w:rPr>
          <w:rFonts w:cs="Arial"/>
          <w:lang w:val="es-MX"/>
        </w:rPr>
        <w:t>;</w:t>
      </w:r>
      <w:r w:rsidR="00993901">
        <w:rPr>
          <w:rFonts w:cs="Arial"/>
          <w:lang w:val="es-MX"/>
        </w:rPr>
        <w:t xml:space="preserve"> </w:t>
      </w:r>
    </w:p>
    <w:p w:rsidR="00396CDB" w:rsidRDefault="007B067D" w:rsidP="007B067D">
      <w:pPr>
        <w:spacing w:line="360" w:lineRule="auto"/>
        <w:jc w:val="both"/>
        <w:rPr>
          <w:rFonts w:cs="Arial"/>
          <w:lang w:val="es-MX"/>
        </w:rPr>
      </w:pPr>
      <w:r w:rsidRPr="007B067D">
        <w:rPr>
          <w:rFonts w:cs="Arial"/>
          <w:b/>
          <w:lang w:val="es-MX"/>
        </w:rPr>
        <w:t>2)</w:t>
      </w:r>
      <w:r>
        <w:rPr>
          <w:rFonts w:cs="Arial"/>
          <w:lang w:val="es-MX"/>
        </w:rPr>
        <w:t xml:space="preserve"> </w:t>
      </w:r>
      <w:r w:rsidR="00396CDB">
        <w:rPr>
          <w:rFonts w:cs="Arial"/>
          <w:lang w:val="es-MX"/>
        </w:rPr>
        <w:t>Devolver las actuaciones.</w:t>
      </w:r>
    </w:p>
    <w:p w:rsidR="007B067D" w:rsidRDefault="007B067D" w:rsidP="007B067D">
      <w:pPr>
        <w:spacing w:line="360" w:lineRule="auto"/>
        <w:jc w:val="both"/>
        <w:rPr>
          <w:lang w:val="es-MX"/>
        </w:rPr>
      </w:pPr>
    </w:p>
    <w:p w:rsidR="00233306" w:rsidRPr="00FB4277" w:rsidRDefault="00233306" w:rsidP="00BF5137">
      <w:pPr>
        <w:spacing w:line="360" w:lineRule="auto"/>
        <w:jc w:val="both"/>
        <w:rPr>
          <w:rFonts w:cs="Arial"/>
          <w:szCs w:val="24"/>
          <w:lang w:val="es-UY"/>
        </w:rPr>
      </w:pPr>
    </w:p>
    <w:p w:rsidR="00214BD6" w:rsidRDefault="00214BD6" w:rsidP="00467B7A">
      <w:pPr>
        <w:pStyle w:val="Ttulo1"/>
        <w:rPr>
          <w:szCs w:val="24"/>
          <w:lang w:val="es-UY"/>
        </w:rPr>
      </w:pPr>
    </w:p>
    <w:p w:rsidR="008D731F" w:rsidRDefault="00233306" w:rsidP="00467B7A">
      <w:pPr>
        <w:pStyle w:val="Ttulo1"/>
      </w:pPr>
      <w:r w:rsidRPr="00CD4762">
        <w:rPr>
          <w:szCs w:val="24"/>
          <w:lang w:val="es-UY"/>
        </w:rPr>
        <w:t xml:space="preserve">CONSTANCIA DE FUNDAMENTO DE VOTO DISCORDE DE LA MINISTRA             CRA. DIANA MARCOS: </w:t>
      </w:r>
      <w:r w:rsidRPr="00467B7A">
        <w:rPr>
          <w:b w:val="0"/>
          <w:szCs w:val="24"/>
          <w:lang w:val="es-UY"/>
        </w:rPr>
        <w:t>“</w:t>
      </w:r>
      <w:r w:rsidR="008D731F" w:rsidRPr="00467B7A">
        <w:rPr>
          <w:b w:val="0"/>
        </w:rPr>
        <w:t xml:space="preserve">Voto en forma negativa la observación formulada por incumplimiento del </w:t>
      </w:r>
      <w:r w:rsidR="00467B7A" w:rsidRPr="00467B7A">
        <w:rPr>
          <w:b w:val="0"/>
        </w:rPr>
        <w:t>Art</w:t>
      </w:r>
      <w:r w:rsidR="008D731F" w:rsidRPr="00467B7A">
        <w:rPr>
          <w:b w:val="0"/>
        </w:rPr>
        <w:t xml:space="preserve">ículo 48 del </w:t>
      </w:r>
      <w:proofErr w:type="spellStart"/>
      <w:r w:rsidR="008D731F" w:rsidRPr="00467B7A">
        <w:rPr>
          <w:b w:val="0"/>
        </w:rPr>
        <w:t>Tocaf</w:t>
      </w:r>
      <w:proofErr w:type="spellEnd"/>
      <w:r w:rsidR="008D731F" w:rsidRPr="00467B7A">
        <w:rPr>
          <w:b w:val="0"/>
        </w:rPr>
        <w:t xml:space="preserve"> expuesta en el considerando de la resolución que nos ocupa. Entiendo que lo solicitado en el Pliego de Condiciones Particulares (presentación de recibo de compra del Pliego) es correcto”.</w:t>
      </w:r>
    </w:p>
    <w:p w:rsidR="00233306" w:rsidRDefault="00233306" w:rsidP="00BF5137">
      <w:pPr>
        <w:spacing w:line="360" w:lineRule="auto"/>
        <w:jc w:val="both"/>
        <w:rPr>
          <w:rFonts w:cs="Arial"/>
          <w:szCs w:val="24"/>
          <w:lang w:val="es-UY"/>
        </w:rPr>
      </w:pPr>
    </w:p>
    <w:p w:rsidR="008D731F" w:rsidRDefault="008D731F" w:rsidP="00BF5137">
      <w:pPr>
        <w:spacing w:line="360" w:lineRule="auto"/>
        <w:jc w:val="both"/>
        <w:rPr>
          <w:rFonts w:cs="Arial"/>
          <w:szCs w:val="24"/>
          <w:lang w:val="es-UY"/>
        </w:rPr>
      </w:pPr>
    </w:p>
    <w:p w:rsidR="00467B7A" w:rsidRDefault="00233306" w:rsidP="00467B7A">
      <w:pPr>
        <w:pStyle w:val="Ttulo1"/>
      </w:pPr>
      <w:r w:rsidRPr="00467B7A">
        <w:rPr>
          <w:szCs w:val="24"/>
          <w:lang w:val="es-UY"/>
        </w:rPr>
        <w:t>CONSTANCIA DE FUNDAMENTO DE VOTO DISCORDE DEL MINISTRO                  DR. OSCAR GRECCO:</w:t>
      </w:r>
      <w:r w:rsidRPr="005C0AC0">
        <w:rPr>
          <w:b w:val="0"/>
          <w:szCs w:val="24"/>
          <w:lang w:val="es-UY"/>
        </w:rPr>
        <w:t xml:space="preserve"> </w:t>
      </w:r>
      <w:r w:rsidR="008D731F" w:rsidRPr="00467B7A">
        <w:rPr>
          <w:b w:val="0"/>
          <w:szCs w:val="24"/>
          <w:lang w:val="es-UY"/>
        </w:rPr>
        <w:t>“</w:t>
      </w:r>
      <w:r w:rsidR="00467B7A" w:rsidRPr="00467B7A">
        <w:rPr>
          <w:b w:val="0"/>
        </w:rPr>
        <w:t>El Tribunal de Cuentas consideró el asunto de la referencia, relativo a la Licitación Pública  Internacional de OSE No 15163 para la contratación de una empresa suministradora de personal.</w:t>
      </w:r>
      <w:r w:rsidR="00467B7A">
        <w:t xml:space="preserve">  </w:t>
      </w:r>
    </w:p>
    <w:p w:rsidR="00467B7A" w:rsidRDefault="00467B7A" w:rsidP="00467B7A">
      <w:pPr>
        <w:spacing w:line="360" w:lineRule="auto"/>
        <w:jc w:val="both"/>
        <w:rPr>
          <w:rFonts w:cs="Arial"/>
        </w:rPr>
      </w:pPr>
      <w:r>
        <w:rPr>
          <w:rFonts w:cs="Arial"/>
        </w:rPr>
        <w:t xml:space="preserve">He votado en forma discorde la  Resolución recaída en el expediente, en tanto no comparto la causal de observación expuesta en los Considerandos.  </w:t>
      </w:r>
    </w:p>
    <w:p w:rsidR="00467B7A" w:rsidRDefault="00467B7A" w:rsidP="00467B7A">
      <w:pPr>
        <w:spacing w:line="360" w:lineRule="auto"/>
        <w:jc w:val="both"/>
        <w:rPr>
          <w:rFonts w:cs="Arial"/>
        </w:rPr>
      </w:pPr>
      <w:r>
        <w:rPr>
          <w:rFonts w:cs="Arial"/>
        </w:rPr>
        <w:t xml:space="preserve">En efecto, en los mismos se expresa que se contravino lo dispuesto por el artículo 48 del TOCAF, en razón de que no puede imponerse al oferente ningún requisito que no esté directamente vinculado a la consideración del objeto de la contratación y a la evaluación de la oferta, observándose en este caso por haber exigido el Recibo de Compra del Pliego con la oferta.  </w:t>
      </w:r>
    </w:p>
    <w:p w:rsidR="00467B7A" w:rsidRDefault="00467B7A" w:rsidP="00467B7A">
      <w:pPr>
        <w:spacing w:line="360" w:lineRule="auto"/>
        <w:jc w:val="both"/>
        <w:rPr>
          <w:rFonts w:cs="Arial"/>
        </w:rPr>
      </w:pPr>
      <w:r>
        <w:rPr>
          <w:rFonts w:cs="Arial"/>
        </w:rPr>
        <w:t>Tal como lo hemos expresado en expedientes anteriores a éste, el Art</w:t>
      </w:r>
      <w:r w:rsidR="005A5634">
        <w:rPr>
          <w:rFonts w:cs="Arial"/>
        </w:rPr>
        <w:t xml:space="preserve">ículo </w:t>
      </w:r>
      <w:r>
        <w:rPr>
          <w:rFonts w:cs="Arial"/>
        </w:rPr>
        <w:t xml:space="preserve">48 indica que sólo se puede exigir al adjudicatario la demostración de que se está en </w:t>
      </w:r>
      <w:r w:rsidRPr="00231548">
        <w:rPr>
          <w:rFonts w:cs="Arial"/>
          <w:b/>
          <w:u w:val="single"/>
        </w:rPr>
        <w:t xml:space="preserve">condiciones </w:t>
      </w:r>
      <w:r>
        <w:rPr>
          <w:rFonts w:cs="Arial"/>
          <w:b/>
          <w:u w:val="single"/>
        </w:rPr>
        <w:t xml:space="preserve">formales </w:t>
      </w:r>
      <w:r w:rsidRPr="00231548">
        <w:rPr>
          <w:rFonts w:cs="Arial"/>
          <w:b/>
          <w:u w:val="single"/>
        </w:rPr>
        <w:t>de contratar</w:t>
      </w:r>
      <w:r>
        <w:rPr>
          <w:rFonts w:cs="Arial"/>
        </w:rPr>
        <w:t xml:space="preserve">, sin embargo no menciona otros requisitos exigidos que son para acreditar que se está en </w:t>
      </w:r>
      <w:r w:rsidRPr="00231548">
        <w:rPr>
          <w:rFonts w:cs="Arial"/>
          <w:b/>
          <w:u w:val="single"/>
        </w:rPr>
        <w:t>condiciones de ofertar</w:t>
      </w:r>
      <w:r>
        <w:rPr>
          <w:rFonts w:cs="Arial"/>
          <w:b/>
          <w:u w:val="single"/>
        </w:rPr>
        <w:t xml:space="preserve">, </w:t>
      </w:r>
      <w:r>
        <w:rPr>
          <w:rFonts w:cs="Arial"/>
        </w:rPr>
        <w:t xml:space="preserve">como es sin duda, a mi juicio el hecho de haber adquirido el Pliego de Condiciones, cuando se establece un costo para su adquisición. </w:t>
      </w:r>
    </w:p>
    <w:p w:rsidR="00467B7A" w:rsidRDefault="00467B7A" w:rsidP="005A5634">
      <w:pPr>
        <w:spacing w:line="360" w:lineRule="auto"/>
        <w:jc w:val="both"/>
        <w:rPr>
          <w:rFonts w:cs="Arial"/>
        </w:rPr>
      </w:pPr>
      <w:r>
        <w:rPr>
          <w:rFonts w:cs="Arial"/>
        </w:rPr>
        <w:t xml:space="preserve">Por otra parte, la exigencia de acreditar la compra del Pliego, y en consecuencia su conocimiento, contribuyen a la vigencia  del principio de transparencia, consagrado en el </w:t>
      </w:r>
      <w:r w:rsidR="005A5634">
        <w:rPr>
          <w:rFonts w:cs="Arial"/>
        </w:rPr>
        <w:t>A</w:t>
      </w:r>
      <w:r>
        <w:rPr>
          <w:rFonts w:cs="Arial"/>
        </w:rPr>
        <w:t>rt</w:t>
      </w:r>
      <w:r w:rsidR="005A5634">
        <w:rPr>
          <w:rFonts w:cs="Arial"/>
        </w:rPr>
        <w:t>ículo</w:t>
      </w:r>
      <w:r>
        <w:rPr>
          <w:rFonts w:cs="Arial"/>
        </w:rPr>
        <w:t xml:space="preserve"> 149 del TOCAF, y en cambio, la omisión en su exigencia, atenta contra otro de los principios allí consagrados, el de igualdad de los oferentes.</w:t>
      </w:r>
    </w:p>
    <w:p w:rsidR="00467B7A" w:rsidRDefault="00467B7A" w:rsidP="005A5634">
      <w:pPr>
        <w:spacing w:line="360" w:lineRule="auto"/>
        <w:jc w:val="both"/>
        <w:rPr>
          <w:rFonts w:cs="Arial"/>
        </w:rPr>
      </w:pPr>
      <w:r>
        <w:rPr>
          <w:rFonts w:cs="Arial"/>
        </w:rPr>
        <w:t xml:space="preserve">Por las razones expuestas he votado en forma discorde la Resolución de la referencia. </w:t>
      </w:r>
    </w:p>
    <w:p w:rsidR="00467B7A" w:rsidRDefault="00467B7A" w:rsidP="00467B7A">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p>
    <w:p w:rsidR="00233306" w:rsidRDefault="00233306" w:rsidP="00A72130">
      <w:pPr>
        <w:spacing w:line="360" w:lineRule="auto"/>
        <w:jc w:val="both"/>
        <w:rPr>
          <w:rFonts w:cs="Arial"/>
          <w:szCs w:val="24"/>
          <w:lang w:val="es-UY"/>
        </w:rPr>
      </w:pPr>
      <w:r w:rsidRPr="00E9382D">
        <w:rPr>
          <w:rFonts w:cs="Arial"/>
          <w:b/>
          <w:szCs w:val="24"/>
          <w:lang w:val="es-UY"/>
        </w:rPr>
        <w:t>CON</w:t>
      </w:r>
      <w:r>
        <w:rPr>
          <w:rFonts w:cs="Arial"/>
          <w:b/>
          <w:szCs w:val="24"/>
          <w:lang w:val="es-UY"/>
        </w:rPr>
        <w:t>S</w:t>
      </w:r>
      <w:r w:rsidRPr="00E9382D">
        <w:rPr>
          <w:rFonts w:cs="Arial"/>
          <w:b/>
          <w:szCs w:val="24"/>
          <w:lang w:val="es-UY"/>
        </w:rPr>
        <w:t xml:space="preserve">TANCIA DE FUNDAMENTO DE VOTO </w:t>
      </w:r>
      <w:r>
        <w:rPr>
          <w:rFonts w:cs="Arial"/>
          <w:b/>
          <w:szCs w:val="24"/>
          <w:lang w:val="es-UY"/>
        </w:rPr>
        <w:t>DISCORDE</w:t>
      </w:r>
      <w:r w:rsidRPr="00E9382D">
        <w:rPr>
          <w:rFonts w:cs="Arial"/>
          <w:b/>
          <w:szCs w:val="24"/>
          <w:lang w:val="es-UY"/>
        </w:rPr>
        <w:t xml:space="preserve"> DEL </w:t>
      </w:r>
      <w:r w:rsidRPr="00837E21">
        <w:rPr>
          <w:rFonts w:cs="Arial"/>
          <w:b/>
          <w:szCs w:val="24"/>
          <w:lang w:val="es-UY"/>
        </w:rPr>
        <w:t xml:space="preserve">MINISTRO </w:t>
      </w:r>
      <w:r>
        <w:rPr>
          <w:rFonts w:cs="Arial"/>
          <w:b/>
          <w:szCs w:val="24"/>
          <w:lang w:val="es-UY"/>
        </w:rPr>
        <w:t>LEON LEV</w:t>
      </w:r>
      <w:r w:rsidRPr="005C0AC0">
        <w:rPr>
          <w:rFonts w:cs="Arial"/>
          <w:b/>
          <w:szCs w:val="24"/>
          <w:lang w:val="es-UY"/>
        </w:rPr>
        <w:t>:</w:t>
      </w:r>
      <w:r>
        <w:rPr>
          <w:rFonts w:cs="Arial"/>
          <w:szCs w:val="24"/>
          <w:lang w:val="es-UY"/>
        </w:rPr>
        <w:t xml:space="preserve"> </w:t>
      </w:r>
      <w:r w:rsidR="00214BD6">
        <w:rPr>
          <w:rFonts w:cs="Arial"/>
          <w:szCs w:val="24"/>
          <w:lang w:val="es-UY"/>
        </w:rPr>
        <w:t>“</w:t>
      </w:r>
      <w:r w:rsidR="00A72130">
        <w:rPr>
          <w:rFonts w:cs="Arial"/>
          <w:szCs w:val="24"/>
          <w:lang w:val="es-UY"/>
        </w:rPr>
        <w:t>Dejo constancia de mi voto discorde en este expediente relacionado con la Licitación Pública Nº 15163 remitidos por la Administración de las Obras Sanitarias del Estado por no compartir la interpretación del Artículo 48 del T.O.C.A.F de la mayoría, que lleva a la observación.</w:t>
      </w:r>
    </w:p>
    <w:p w:rsidR="00A72130" w:rsidRDefault="00A72130" w:rsidP="00A72130">
      <w:pPr>
        <w:spacing w:line="360" w:lineRule="auto"/>
        <w:jc w:val="both"/>
        <w:rPr>
          <w:rFonts w:cs="Arial"/>
          <w:szCs w:val="24"/>
          <w:lang w:val="es-UY"/>
        </w:rPr>
      </w:pPr>
    </w:p>
    <w:p w:rsidR="00A72130" w:rsidRPr="00A72130" w:rsidRDefault="00A72130" w:rsidP="00A72130">
      <w:pPr>
        <w:spacing w:line="360" w:lineRule="auto"/>
        <w:jc w:val="both"/>
        <w:rPr>
          <w:rFonts w:eastAsia="Calibri" w:cs="Arial"/>
          <w:szCs w:val="24"/>
          <w:lang w:val="es-UY" w:eastAsia="en-US"/>
        </w:rPr>
      </w:pPr>
      <w:r w:rsidRPr="00A72130">
        <w:rPr>
          <w:rFonts w:eastAsia="Calibri" w:cs="Arial"/>
          <w:szCs w:val="24"/>
          <w:lang w:val="es-UY" w:eastAsia="en-US"/>
        </w:rPr>
        <w:t>“</w:t>
      </w:r>
      <w:r>
        <w:rPr>
          <w:rFonts w:eastAsia="Calibri" w:cs="Arial"/>
          <w:szCs w:val="24"/>
          <w:lang w:val="es-UY" w:eastAsia="en-US"/>
        </w:rPr>
        <w:t>El Artículo</w:t>
      </w:r>
      <w:r w:rsidRPr="00A72130">
        <w:rPr>
          <w:rFonts w:eastAsia="Calibri" w:cs="Arial"/>
          <w:szCs w:val="24"/>
          <w:lang w:val="es-UY" w:eastAsia="en-US"/>
        </w:rPr>
        <w:t xml:space="preserve"> 48 del T.O.C.A.F. establece “El Ordenador interviniente determinará el precio del Pliego Particular o que no tenga costo”.</w:t>
      </w:r>
    </w:p>
    <w:p w:rsidR="00A72130" w:rsidRDefault="00A72130" w:rsidP="00A72130">
      <w:pPr>
        <w:spacing w:line="360" w:lineRule="auto"/>
        <w:jc w:val="both"/>
        <w:rPr>
          <w:rFonts w:eastAsia="Calibri" w:cs="Arial"/>
          <w:szCs w:val="24"/>
          <w:lang w:val="es-UY" w:eastAsia="en-US"/>
        </w:rPr>
      </w:pPr>
    </w:p>
    <w:p w:rsidR="00A72130" w:rsidRPr="00A72130" w:rsidRDefault="00A72130" w:rsidP="00A72130">
      <w:pPr>
        <w:spacing w:line="360" w:lineRule="auto"/>
        <w:jc w:val="both"/>
        <w:rPr>
          <w:rFonts w:eastAsia="Calibri" w:cs="Arial"/>
          <w:szCs w:val="24"/>
          <w:lang w:val="es-UY" w:eastAsia="en-US"/>
        </w:rPr>
      </w:pPr>
      <w:r w:rsidRPr="00A72130">
        <w:rPr>
          <w:rFonts w:eastAsia="Calibri" w:cs="Arial"/>
          <w:szCs w:val="24"/>
          <w:lang w:val="es-UY" w:eastAsia="en-US"/>
        </w:rPr>
        <w:t>En dicho caso, la presentación del recibo de pago de la adquisición del Pliego Particular con la oferta debe ser requisito a efectos de presentación de la misma.</w:t>
      </w:r>
      <w:bookmarkStart w:id="0" w:name="_GoBack"/>
      <w:bookmarkEnd w:id="0"/>
    </w:p>
    <w:p w:rsidR="00A72130" w:rsidRDefault="00A72130" w:rsidP="00A72130">
      <w:pPr>
        <w:spacing w:line="360" w:lineRule="auto"/>
        <w:jc w:val="both"/>
        <w:rPr>
          <w:rFonts w:eastAsia="Calibri" w:cs="Arial"/>
          <w:szCs w:val="24"/>
          <w:lang w:val="es-UY" w:eastAsia="en-US"/>
        </w:rPr>
      </w:pPr>
    </w:p>
    <w:p w:rsidR="00A72130" w:rsidRDefault="00A72130" w:rsidP="00A72130">
      <w:pPr>
        <w:spacing w:line="360" w:lineRule="auto"/>
        <w:jc w:val="both"/>
        <w:rPr>
          <w:rFonts w:eastAsia="Calibri" w:cs="Arial"/>
          <w:szCs w:val="24"/>
          <w:lang w:val="es-UY" w:eastAsia="en-US"/>
        </w:rPr>
      </w:pPr>
      <w:r w:rsidRPr="00A72130">
        <w:rPr>
          <w:rFonts w:eastAsia="Calibri" w:cs="Arial"/>
          <w:szCs w:val="24"/>
          <w:lang w:val="es-UY" w:eastAsia="en-US"/>
        </w:rPr>
        <w:t xml:space="preserve">En caso contrario, esto es, que se determine un costo para el Pliego y que su constancia de pago no sea requisito para presentar la oferta, crearía una evidente contravención  al principio de igualdad de los oferentes </w:t>
      </w:r>
      <w:r>
        <w:rPr>
          <w:rFonts w:eastAsia="Calibri" w:cs="Arial"/>
          <w:szCs w:val="24"/>
          <w:lang w:val="es-UY" w:eastAsia="en-US"/>
        </w:rPr>
        <w:t>(reconocido por el Artículo</w:t>
      </w:r>
      <w:r w:rsidRPr="00A72130">
        <w:rPr>
          <w:rFonts w:eastAsia="Calibri" w:cs="Arial"/>
          <w:szCs w:val="24"/>
          <w:lang w:val="es-UY" w:eastAsia="en-US"/>
        </w:rPr>
        <w:t xml:space="preserve"> 149 del T.O.C.A.F), dado que los que lo adquirieron y realizaron  la erogación, se verían en desventaja respecto de los que no lo hicieron e igualmente pueden presentarse e incluso formular observaciones y participar activamente en el procedimiento”.</w:t>
      </w:r>
    </w:p>
    <w:p w:rsidR="00A72130" w:rsidRDefault="00A72130" w:rsidP="00A72130">
      <w:pPr>
        <w:spacing w:line="360" w:lineRule="auto"/>
        <w:jc w:val="both"/>
        <w:rPr>
          <w:rFonts w:eastAsia="Calibri" w:cs="Arial"/>
          <w:szCs w:val="24"/>
          <w:lang w:val="es-UY" w:eastAsia="en-US"/>
        </w:rPr>
      </w:pPr>
    </w:p>
    <w:p w:rsidR="00233306" w:rsidRPr="00FB4277" w:rsidRDefault="00233306" w:rsidP="00FB4277">
      <w:pPr>
        <w:spacing w:line="360" w:lineRule="auto"/>
        <w:rPr>
          <w:rFonts w:cs="Arial"/>
          <w:szCs w:val="24"/>
          <w:lang w:val="es-UY"/>
        </w:rPr>
      </w:pPr>
    </w:p>
    <w:p w:rsidR="00233306" w:rsidRDefault="00233306" w:rsidP="007B067D">
      <w:pPr>
        <w:spacing w:line="360" w:lineRule="auto"/>
        <w:jc w:val="both"/>
        <w:rPr>
          <w:lang w:val="es-MX"/>
        </w:rPr>
      </w:pPr>
    </w:p>
    <w:p w:rsidR="00396CDB" w:rsidRDefault="007B067D" w:rsidP="00A72130">
      <w:pPr>
        <w:spacing w:line="360" w:lineRule="auto"/>
        <w:jc w:val="both"/>
      </w:pPr>
      <w:proofErr w:type="spellStart"/>
      <w:proofErr w:type="gramStart"/>
      <w:r>
        <w:rPr>
          <w:lang w:val="es-MX"/>
        </w:rPr>
        <w:t>ag</w:t>
      </w:r>
      <w:proofErr w:type="spellEnd"/>
      <w:proofErr w:type="gramEnd"/>
    </w:p>
    <w:sectPr w:rsidR="00396CDB" w:rsidSect="002645C3">
      <w:pgSz w:w="11907" w:h="16840" w:code="9"/>
      <w:pgMar w:top="3289" w:right="1701" w:bottom="1134" w:left="1701"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056"/>
    <w:multiLevelType w:val="hybridMultilevel"/>
    <w:tmpl w:val="6E02C99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C11250E"/>
    <w:multiLevelType w:val="hybridMultilevel"/>
    <w:tmpl w:val="C854DB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BE42B7D"/>
    <w:multiLevelType w:val="hybridMultilevel"/>
    <w:tmpl w:val="D02A787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407C230A"/>
    <w:multiLevelType w:val="hybridMultilevel"/>
    <w:tmpl w:val="893C242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45505217"/>
    <w:multiLevelType w:val="hybridMultilevel"/>
    <w:tmpl w:val="11983D0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460F629D"/>
    <w:multiLevelType w:val="hybridMultilevel"/>
    <w:tmpl w:val="E6FE4C18"/>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B6C0E5D"/>
    <w:multiLevelType w:val="hybridMultilevel"/>
    <w:tmpl w:val="B9544E0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08B06C8"/>
    <w:multiLevelType w:val="hybridMultilevel"/>
    <w:tmpl w:val="BFC460F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196653D"/>
    <w:multiLevelType w:val="hybridMultilevel"/>
    <w:tmpl w:val="E4AC432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6"/>
  </w:num>
  <w:num w:numId="5">
    <w:abstractNumId w:val="3"/>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DB"/>
    <w:rsid w:val="000059A9"/>
    <w:rsid w:val="00025EC3"/>
    <w:rsid w:val="000374DE"/>
    <w:rsid w:val="000A5D25"/>
    <w:rsid w:val="00122D69"/>
    <w:rsid w:val="00177E92"/>
    <w:rsid w:val="00185DC0"/>
    <w:rsid w:val="001951CF"/>
    <w:rsid w:val="00197358"/>
    <w:rsid w:val="001A1F27"/>
    <w:rsid w:val="001F4A03"/>
    <w:rsid w:val="0021203F"/>
    <w:rsid w:val="00214BD6"/>
    <w:rsid w:val="00233306"/>
    <w:rsid w:val="002645C3"/>
    <w:rsid w:val="002A3DD6"/>
    <w:rsid w:val="00310EF8"/>
    <w:rsid w:val="0034070E"/>
    <w:rsid w:val="00396CDB"/>
    <w:rsid w:val="003B6045"/>
    <w:rsid w:val="003D0AA3"/>
    <w:rsid w:val="003F3677"/>
    <w:rsid w:val="00436044"/>
    <w:rsid w:val="00442E53"/>
    <w:rsid w:val="00467B7A"/>
    <w:rsid w:val="004B174C"/>
    <w:rsid w:val="004F1C66"/>
    <w:rsid w:val="00510178"/>
    <w:rsid w:val="00540B5A"/>
    <w:rsid w:val="005A5634"/>
    <w:rsid w:val="005B6A6B"/>
    <w:rsid w:val="005C17B4"/>
    <w:rsid w:val="006461FD"/>
    <w:rsid w:val="006B7E19"/>
    <w:rsid w:val="006C1781"/>
    <w:rsid w:val="006E14C5"/>
    <w:rsid w:val="006F016D"/>
    <w:rsid w:val="0073567B"/>
    <w:rsid w:val="0074383F"/>
    <w:rsid w:val="00767CE8"/>
    <w:rsid w:val="007B067D"/>
    <w:rsid w:val="007C4204"/>
    <w:rsid w:val="007F11BE"/>
    <w:rsid w:val="007F2376"/>
    <w:rsid w:val="00847E00"/>
    <w:rsid w:val="00875039"/>
    <w:rsid w:val="00882F80"/>
    <w:rsid w:val="008976E5"/>
    <w:rsid w:val="008A7F44"/>
    <w:rsid w:val="008B4169"/>
    <w:rsid w:val="008D731F"/>
    <w:rsid w:val="00921793"/>
    <w:rsid w:val="00934279"/>
    <w:rsid w:val="00993901"/>
    <w:rsid w:val="009962D5"/>
    <w:rsid w:val="009F2497"/>
    <w:rsid w:val="009F58D2"/>
    <w:rsid w:val="00A02E45"/>
    <w:rsid w:val="00A21A30"/>
    <w:rsid w:val="00A5583A"/>
    <w:rsid w:val="00A72130"/>
    <w:rsid w:val="00AA4FA7"/>
    <w:rsid w:val="00AB6222"/>
    <w:rsid w:val="00AF2B8B"/>
    <w:rsid w:val="00B77A00"/>
    <w:rsid w:val="00BD3084"/>
    <w:rsid w:val="00BE0B98"/>
    <w:rsid w:val="00BF3146"/>
    <w:rsid w:val="00C01B0E"/>
    <w:rsid w:val="00C3377D"/>
    <w:rsid w:val="00C95ECC"/>
    <w:rsid w:val="00CD4762"/>
    <w:rsid w:val="00CF5504"/>
    <w:rsid w:val="00D02656"/>
    <w:rsid w:val="00D16AD6"/>
    <w:rsid w:val="00D3532A"/>
    <w:rsid w:val="00D367D7"/>
    <w:rsid w:val="00D43C7D"/>
    <w:rsid w:val="00D44DF2"/>
    <w:rsid w:val="00D64D86"/>
    <w:rsid w:val="00DC4B1B"/>
    <w:rsid w:val="00E541CB"/>
    <w:rsid w:val="00E757EC"/>
    <w:rsid w:val="00E805D4"/>
    <w:rsid w:val="00E972A0"/>
    <w:rsid w:val="00EC1564"/>
    <w:rsid w:val="00EC5472"/>
    <w:rsid w:val="00F31183"/>
    <w:rsid w:val="00F705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1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9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1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9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9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E28F-8B3D-4C34-96C0-6CCE4A5B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1237</Words>
  <Characters>6808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Andrea Gerner</cp:lastModifiedBy>
  <cp:revision>14</cp:revision>
  <cp:lastPrinted>2016-02-23T15:13:00Z</cp:lastPrinted>
  <dcterms:created xsi:type="dcterms:W3CDTF">2016-02-23T14:49:00Z</dcterms:created>
  <dcterms:modified xsi:type="dcterms:W3CDTF">2016-02-23T15:15:00Z</dcterms:modified>
</cp:coreProperties>
</file>