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08" w:rsidRPr="00786EEB" w:rsidRDefault="00292908" w:rsidP="006B168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483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92908" w:rsidRDefault="0029290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92908" w:rsidRPr="00292908" w:rsidRDefault="00292908" w:rsidP="0029290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292908">
        <w:rPr>
          <w:rFonts w:ascii="Arial" w:hAnsi="Arial" w:cs="Arial"/>
          <w:b/>
          <w:lang w:val="es-ES_tradnl"/>
        </w:rPr>
        <w:t>RESOLUCION ADOPTADA POR EL</w:t>
      </w:r>
    </w:p>
    <w:p w:rsidR="00292908" w:rsidRPr="00292908" w:rsidRDefault="00292908" w:rsidP="0029290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92908" w:rsidRPr="00292908" w:rsidRDefault="00292908" w:rsidP="0029290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292908">
        <w:rPr>
          <w:rFonts w:ascii="Arial" w:hAnsi="Arial" w:cs="Arial"/>
          <w:b/>
          <w:lang w:val="es-ES_tradnl"/>
        </w:rPr>
        <w:t>TRIBUNAL DE CUENTAS</w:t>
      </w:r>
    </w:p>
    <w:p w:rsidR="00292908" w:rsidRPr="00292908" w:rsidRDefault="00292908" w:rsidP="0029290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92908" w:rsidRPr="00292908" w:rsidRDefault="00292908" w:rsidP="0029290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292908">
        <w:rPr>
          <w:rFonts w:ascii="Arial" w:hAnsi="Arial" w:cs="Arial"/>
          <w:b/>
          <w:lang w:val="es-ES_tradnl"/>
        </w:rPr>
        <w:t>EN SESION DE FECHA  11 DE FEBRERO DE 2016</w:t>
      </w:r>
    </w:p>
    <w:p w:rsidR="00292908" w:rsidRPr="00292908" w:rsidRDefault="00292908" w:rsidP="0029290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92908" w:rsidRPr="0058357F" w:rsidRDefault="00292908" w:rsidP="00292908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58357F">
        <w:rPr>
          <w:rFonts w:ascii="Arial" w:hAnsi="Arial" w:cs="Arial"/>
          <w:b/>
        </w:rPr>
        <w:t xml:space="preserve">(E. E. Nº </w:t>
      </w:r>
      <w:r w:rsidRPr="00292908">
        <w:rPr>
          <w:rFonts w:ascii="Arial" w:hAnsi="Arial" w:cs="Arial"/>
          <w:b/>
          <w:bCs/>
          <w:caps/>
          <w:lang w:val="es-MX"/>
        </w:rPr>
        <w:t>2014-17-1-0008171</w:t>
      </w:r>
      <w:r w:rsidRPr="0058357F">
        <w:rPr>
          <w:rFonts w:ascii="Arial" w:hAnsi="Arial" w:cs="Arial"/>
          <w:b/>
        </w:rPr>
        <w:t xml:space="preserve">, </w:t>
      </w:r>
      <w:proofErr w:type="spellStart"/>
      <w:r w:rsidRPr="0058357F">
        <w:rPr>
          <w:rFonts w:ascii="Arial" w:hAnsi="Arial" w:cs="Arial"/>
          <w:b/>
        </w:rPr>
        <w:t>Ent</w:t>
      </w:r>
      <w:proofErr w:type="spellEnd"/>
      <w:r w:rsidRPr="0058357F">
        <w:rPr>
          <w:rFonts w:ascii="Arial" w:hAnsi="Arial" w:cs="Arial"/>
          <w:b/>
        </w:rPr>
        <w:t xml:space="preserve">. N° </w:t>
      </w:r>
      <w:r w:rsidRPr="00292908">
        <w:rPr>
          <w:rFonts w:ascii="Arial" w:hAnsi="Arial" w:cs="Arial"/>
          <w:b/>
          <w:bCs/>
          <w:caps/>
          <w:lang w:val="es-MX"/>
        </w:rPr>
        <w:t>215</w:t>
      </w:r>
      <w:r w:rsidR="0058357F">
        <w:rPr>
          <w:rFonts w:ascii="Arial" w:hAnsi="Arial" w:cs="Arial"/>
          <w:b/>
          <w:caps/>
          <w:lang w:val="es-MX"/>
        </w:rPr>
        <w:t>/16</w:t>
      </w:r>
      <w:r w:rsidRPr="0058357F">
        <w:rPr>
          <w:rFonts w:ascii="Arial" w:hAnsi="Arial" w:cs="Arial"/>
          <w:b/>
        </w:rPr>
        <w:t>)</w:t>
      </w:r>
    </w:p>
    <w:p w:rsidR="00292908" w:rsidRPr="0058357F" w:rsidRDefault="00292908" w:rsidP="00292908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</w:p>
    <w:p w:rsidR="00885B5F" w:rsidRDefault="005742C0" w:rsidP="006B1684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 w:rsidRPr="005A7B98">
        <w:rPr>
          <w:rFonts w:ascii="Arial" w:hAnsi="Arial" w:cs="Arial"/>
          <w:b/>
          <w:lang w:val="es-MX"/>
        </w:rPr>
        <w:t>VISTO:</w:t>
      </w:r>
      <w:r w:rsidR="0058357F">
        <w:rPr>
          <w:rFonts w:ascii="Arial" w:hAnsi="Arial" w:cs="Arial"/>
          <w:lang w:val="es-MX"/>
        </w:rPr>
        <w:t xml:space="preserve"> las </w:t>
      </w:r>
      <w:bookmarkStart w:id="0" w:name="_GoBack"/>
      <w:bookmarkEnd w:id="0"/>
      <w:r>
        <w:rPr>
          <w:rFonts w:ascii="Arial" w:hAnsi="Arial" w:cs="Arial"/>
          <w:lang w:val="es-MX"/>
        </w:rPr>
        <w:t xml:space="preserve">actuaciones remitidas por la Administración </w:t>
      </w:r>
      <w:r w:rsidR="00885B5F">
        <w:rPr>
          <w:rFonts w:ascii="Arial" w:hAnsi="Arial" w:cs="Arial"/>
          <w:lang w:val="es-MX"/>
        </w:rPr>
        <w:t>de Ferrocarriles del Estado</w:t>
      </w:r>
      <w:r>
        <w:rPr>
          <w:rFonts w:ascii="Arial" w:hAnsi="Arial" w:cs="Arial"/>
          <w:lang w:val="es-MX"/>
        </w:rPr>
        <w:t xml:space="preserve"> relacionadas con la Licitación Pública N° </w:t>
      </w:r>
      <w:r w:rsidR="00885B5F">
        <w:rPr>
          <w:rFonts w:ascii="Arial" w:hAnsi="Arial" w:cs="Arial"/>
          <w:lang w:val="es-MX"/>
        </w:rPr>
        <w:t>1</w:t>
      </w:r>
      <w:r>
        <w:rPr>
          <w:rFonts w:ascii="Arial" w:hAnsi="Arial" w:cs="Arial"/>
          <w:lang w:val="es-MX"/>
        </w:rPr>
        <w:t>5/14, convocada</w:t>
      </w:r>
      <w:r w:rsidR="0073629C">
        <w:rPr>
          <w:rFonts w:ascii="Arial" w:hAnsi="Arial" w:cs="Arial"/>
          <w:lang w:val="es-MX"/>
        </w:rPr>
        <w:t xml:space="preserve"> para</w:t>
      </w:r>
      <w:r>
        <w:rPr>
          <w:rFonts w:ascii="Arial" w:hAnsi="Arial" w:cs="Arial"/>
          <w:lang w:val="es-MX"/>
        </w:rPr>
        <w:t xml:space="preserve"> </w:t>
      </w:r>
      <w:r w:rsidR="00885B5F">
        <w:rPr>
          <w:rFonts w:ascii="Arial" w:hAnsi="Arial" w:cs="Arial"/>
          <w:lang w:val="es-MX"/>
        </w:rPr>
        <w:t>la contratación de un servicio de vigilancia para Montevideo e Interior;</w:t>
      </w:r>
    </w:p>
    <w:p w:rsidR="00885B5F" w:rsidRPr="00885B5F" w:rsidRDefault="005742C0" w:rsidP="006B1684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 w:rsidRPr="005A7B98">
        <w:rPr>
          <w:rFonts w:ascii="Arial" w:hAnsi="Arial" w:cs="Arial"/>
          <w:b/>
          <w:lang w:val="es-MX"/>
        </w:rPr>
        <w:t>RESULTANDO:</w:t>
      </w:r>
      <w:r w:rsidR="000E6073">
        <w:rPr>
          <w:rFonts w:ascii="Arial" w:hAnsi="Arial" w:cs="Arial"/>
          <w:b/>
          <w:lang w:val="es-MX"/>
        </w:rPr>
        <w:tab/>
      </w:r>
      <w:r>
        <w:rPr>
          <w:rFonts w:ascii="Arial" w:hAnsi="Arial" w:cs="Arial"/>
          <w:b/>
          <w:lang w:val="es-MX"/>
        </w:rPr>
        <w:t xml:space="preserve">1) </w:t>
      </w:r>
      <w:r w:rsidR="00885B5F">
        <w:rPr>
          <w:rFonts w:ascii="Arial" w:hAnsi="Arial" w:cs="Arial"/>
          <w:bCs/>
        </w:rPr>
        <w:t xml:space="preserve">que por Resolución </w:t>
      </w:r>
      <w:r w:rsidR="00885B5F">
        <w:rPr>
          <w:rFonts w:ascii="Arial" w:hAnsi="Arial" w:cs="Arial"/>
          <w:bCs/>
          <w:lang w:val="es-MX"/>
        </w:rPr>
        <w:t>Nº 461/14 Acta N° 190 de fecha 22</w:t>
      </w:r>
      <w:r w:rsidR="006B1684">
        <w:rPr>
          <w:rFonts w:ascii="Arial" w:hAnsi="Arial" w:cs="Arial"/>
          <w:bCs/>
          <w:lang w:val="es-MX"/>
        </w:rPr>
        <w:t>/</w:t>
      </w:r>
      <w:r w:rsidR="00885B5F">
        <w:rPr>
          <w:rFonts w:ascii="Arial" w:hAnsi="Arial" w:cs="Arial"/>
          <w:bCs/>
          <w:lang w:val="es-MX"/>
        </w:rPr>
        <w:t>10</w:t>
      </w:r>
      <w:r w:rsidR="006B1684">
        <w:rPr>
          <w:rFonts w:ascii="Arial" w:hAnsi="Arial" w:cs="Arial"/>
          <w:bCs/>
          <w:lang w:val="es-MX"/>
        </w:rPr>
        <w:t>/</w:t>
      </w:r>
      <w:r w:rsidR="00885B5F">
        <w:rPr>
          <w:rFonts w:ascii="Arial" w:hAnsi="Arial" w:cs="Arial"/>
          <w:bCs/>
          <w:lang w:val="es-MX"/>
        </w:rPr>
        <w:t xml:space="preserve">14, el Directorio dispuso la adjudicación de la Licitación Pública </w:t>
      </w:r>
      <w:r w:rsidR="006B1684">
        <w:rPr>
          <w:rFonts w:ascii="Arial" w:hAnsi="Arial" w:cs="Arial"/>
          <w:bCs/>
          <w:lang w:val="es-MX"/>
        </w:rPr>
        <w:t xml:space="preserve">   </w:t>
      </w:r>
      <w:r w:rsidR="00885B5F">
        <w:rPr>
          <w:rFonts w:ascii="Arial" w:hAnsi="Arial" w:cs="Arial"/>
          <w:bCs/>
          <w:lang w:val="es-MX"/>
        </w:rPr>
        <w:t xml:space="preserve">N° 15/14 a la firma </w:t>
      </w:r>
      <w:proofErr w:type="spellStart"/>
      <w:r w:rsidR="00885B5F">
        <w:rPr>
          <w:rFonts w:ascii="Arial" w:hAnsi="Arial" w:cs="Arial"/>
          <w:bCs/>
          <w:lang w:val="es-MX"/>
        </w:rPr>
        <w:t>Segor</w:t>
      </w:r>
      <w:proofErr w:type="spellEnd"/>
      <w:r w:rsidR="00885B5F">
        <w:rPr>
          <w:rFonts w:ascii="Arial" w:hAnsi="Arial" w:cs="Arial"/>
          <w:bCs/>
          <w:lang w:val="es-MX"/>
        </w:rPr>
        <w:t xml:space="preserve"> S.A por un </w:t>
      </w:r>
      <w:r w:rsidR="0073629C">
        <w:rPr>
          <w:rFonts w:ascii="Arial" w:hAnsi="Arial" w:cs="Arial"/>
          <w:bCs/>
          <w:lang w:val="es-MX"/>
        </w:rPr>
        <w:t>monto</w:t>
      </w:r>
      <w:r w:rsidR="00885B5F">
        <w:rPr>
          <w:rFonts w:ascii="Arial" w:hAnsi="Arial" w:cs="Arial"/>
          <w:bCs/>
          <w:lang w:val="es-MX"/>
        </w:rPr>
        <w:t xml:space="preserve"> de $</w:t>
      </w:r>
      <w:r w:rsidR="006B1684">
        <w:rPr>
          <w:rFonts w:ascii="Arial" w:hAnsi="Arial" w:cs="Arial"/>
          <w:bCs/>
          <w:lang w:val="es-MX"/>
        </w:rPr>
        <w:t xml:space="preserve"> </w:t>
      </w:r>
      <w:r w:rsidR="00885B5F">
        <w:rPr>
          <w:rFonts w:ascii="Arial" w:hAnsi="Arial" w:cs="Arial"/>
          <w:bCs/>
          <w:lang w:val="es-MX"/>
        </w:rPr>
        <w:t>33:424.980, más $</w:t>
      </w:r>
      <w:r w:rsidR="006B1684">
        <w:rPr>
          <w:rFonts w:ascii="Arial" w:hAnsi="Arial" w:cs="Arial"/>
          <w:bCs/>
          <w:lang w:val="es-MX"/>
        </w:rPr>
        <w:t xml:space="preserve"> </w:t>
      </w:r>
      <w:r w:rsidR="00885B5F">
        <w:rPr>
          <w:rFonts w:ascii="Arial" w:hAnsi="Arial" w:cs="Arial"/>
          <w:bCs/>
          <w:lang w:val="es-MX"/>
        </w:rPr>
        <w:t xml:space="preserve">7:353.496 de IVA, lo que suma un </w:t>
      </w:r>
      <w:r w:rsidR="0073629C">
        <w:rPr>
          <w:rFonts w:ascii="Arial" w:hAnsi="Arial" w:cs="Arial"/>
          <w:bCs/>
          <w:lang w:val="es-MX"/>
        </w:rPr>
        <w:t xml:space="preserve">total </w:t>
      </w:r>
      <w:r w:rsidR="00885B5F">
        <w:rPr>
          <w:rFonts w:ascii="Arial" w:hAnsi="Arial" w:cs="Arial"/>
          <w:bCs/>
          <w:lang w:val="es-MX"/>
        </w:rPr>
        <w:t>de $</w:t>
      </w:r>
      <w:r w:rsidR="006B1684">
        <w:rPr>
          <w:rFonts w:ascii="Arial" w:hAnsi="Arial" w:cs="Arial"/>
          <w:bCs/>
          <w:lang w:val="es-MX"/>
        </w:rPr>
        <w:t xml:space="preserve"> </w:t>
      </w:r>
      <w:r w:rsidR="00885B5F">
        <w:rPr>
          <w:rFonts w:ascii="Arial" w:hAnsi="Arial" w:cs="Arial"/>
          <w:bCs/>
          <w:lang w:val="es-MX"/>
        </w:rPr>
        <w:t xml:space="preserve">40:778.476, </w:t>
      </w:r>
      <w:r w:rsidR="00885B5F" w:rsidRPr="00885B5F">
        <w:rPr>
          <w:rFonts w:ascii="Arial" w:hAnsi="Arial" w:cs="Arial"/>
          <w:bCs/>
          <w:lang w:val="es-MX"/>
        </w:rPr>
        <w:t>por el período comprendido entre el 01</w:t>
      </w:r>
      <w:r w:rsidR="006B1684">
        <w:rPr>
          <w:rFonts w:ascii="Arial" w:hAnsi="Arial" w:cs="Arial"/>
          <w:bCs/>
          <w:lang w:val="es-MX"/>
        </w:rPr>
        <w:t>/11/</w:t>
      </w:r>
      <w:r w:rsidR="00885B5F" w:rsidRPr="00885B5F">
        <w:rPr>
          <w:rFonts w:ascii="Arial" w:hAnsi="Arial" w:cs="Arial"/>
          <w:bCs/>
          <w:lang w:val="es-MX"/>
        </w:rPr>
        <w:t>14 y el 31</w:t>
      </w:r>
      <w:r w:rsidR="006B1684">
        <w:rPr>
          <w:rFonts w:ascii="Arial" w:hAnsi="Arial" w:cs="Arial"/>
          <w:bCs/>
          <w:lang w:val="es-MX"/>
        </w:rPr>
        <w:t>/</w:t>
      </w:r>
      <w:r w:rsidR="00885B5F" w:rsidRPr="00885B5F">
        <w:rPr>
          <w:rFonts w:ascii="Arial" w:hAnsi="Arial" w:cs="Arial"/>
          <w:bCs/>
          <w:lang w:val="es-MX"/>
        </w:rPr>
        <w:t>10</w:t>
      </w:r>
      <w:r w:rsidR="006B1684">
        <w:rPr>
          <w:rFonts w:ascii="Arial" w:hAnsi="Arial" w:cs="Arial"/>
          <w:bCs/>
          <w:lang w:val="es-MX"/>
        </w:rPr>
        <w:t>/</w:t>
      </w:r>
      <w:r w:rsidR="00885B5F" w:rsidRPr="00885B5F">
        <w:rPr>
          <w:rFonts w:ascii="Arial" w:hAnsi="Arial" w:cs="Arial"/>
          <w:bCs/>
          <w:lang w:val="es-MX"/>
        </w:rPr>
        <w:t>15</w:t>
      </w:r>
      <w:r w:rsidR="00885B5F">
        <w:rPr>
          <w:rFonts w:ascii="Arial" w:hAnsi="Arial" w:cs="Arial"/>
          <w:bCs/>
          <w:lang w:val="es-MX"/>
        </w:rPr>
        <w:t>;</w:t>
      </w:r>
    </w:p>
    <w:p w:rsidR="00885B5F" w:rsidRPr="00885B5F" w:rsidRDefault="005742C0" w:rsidP="006B1684">
      <w:pPr>
        <w:spacing w:line="360" w:lineRule="auto"/>
        <w:ind w:firstLine="2835"/>
        <w:jc w:val="both"/>
        <w:rPr>
          <w:rFonts w:ascii="Arial" w:hAnsi="Arial" w:cs="Arial"/>
          <w:bCs/>
          <w:lang w:val="es-MX"/>
        </w:rPr>
      </w:pPr>
      <w:r w:rsidRPr="005A7B98">
        <w:rPr>
          <w:rFonts w:ascii="Arial" w:hAnsi="Arial" w:cs="Arial"/>
          <w:b/>
          <w:bCs/>
          <w:lang w:val="es-MX"/>
        </w:rPr>
        <w:t>2)</w:t>
      </w:r>
      <w:r>
        <w:rPr>
          <w:rFonts w:ascii="Arial" w:hAnsi="Arial" w:cs="Arial"/>
          <w:b/>
          <w:bCs/>
          <w:lang w:val="es-MX"/>
        </w:rPr>
        <w:t xml:space="preserve"> </w:t>
      </w:r>
      <w:r w:rsidR="00885B5F">
        <w:rPr>
          <w:rFonts w:ascii="Arial" w:hAnsi="Arial" w:cs="Arial"/>
          <w:bCs/>
        </w:rPr>
        <w:t>que</w:t>
      </w:r>
      <w:r w:rsidR="00885B5F">
        <w:rPr>
          <w:rFonts w:ascii="Arial" w:hAnsi="Arial" w:cs="Arial"/>
        </w:rPr>
        <w:t xml:space="preserve"> en </w:t>
      </w:r>
      <w:r w:rsidR="006B1684">
        <w:rPr>
          <w:rFonts w:ascii="Arial" w:hAnsi="Arial" w:cs="Arial"/>
        </w:rPr>
        <w:t>S</w:t>
      </w:r>
      <w:r w:rsidR="00885B5F">
        <w:rPr>
          <w:rFonts w:ascii="Arial" w:hAnsi="Arial" w:cs="Arial"/>
        </w:rPr>
        <w:t>esión de fecha 19</w:t>
      </w:r>
      <w:r w:rsidR="006B1684">
        <w:rPr>
          <w:rFonts w:ascii="Arial" w:hAnsi="Arial" w:cs="Arial"/>
        </w:rPr>
        <w:t>/</w:t>
      </w:r>
      <w:r w:rsidR="00885B5F">
        <w:rPr>
          <w:rFonts w:ascii="Arial" w:hAnsi="Arial" w:cs="Arial"/>
        </w:rPr>
        <w:t>11</w:t>
      </w:r>
      <w:r w:rsidR="006B1684">
        <w:rPr>
          <w:rFonts w:ascii="Arial" w:hAnsi="Arial" w:cs="Arial"/>
        </w:rPr>
        <w:t>/</w:t>
      </w:r>
      <w:r w:rsidR="00885B5F">
        <w:rPr>
          <w:rFonts w:ascii="Arial" w:hAnsi="Arial" w:cs="Arial"/>
        </w:rPr>
        <w:t>14, este Tribunal observó el gasto en razón de que:</w:t>
      </w:r>
    </w:p>
    <w:p w:rsidR="00885B5F" w:rsidRDefault="00885B5F" w:rsidP="00885B5F">
      <w:pPr>
        <w:spacing w:line="360" w:lineRule="auto"/>
        <w:jc w:val="both"/>
        <w:rPr>
          <w:rFonts w:ascii="Arial" w:hAnsi="Arial" w:cs="Arial"/>
          <w:lang w:val="es-MX"/>
        </w:rPr>
      </w:pPr>
      <w:r w:rsidRPr="00EC3875">
        <w:rPr>
          <w:rFonts w:ascii="Arial" w:hAnsi="Arial" w:cs="Arial"/>
          <w:b/>
        </w:rPr>
        <w:t>a)</w:t>
      </w:r>
      <w:r>
        <w:rPr>
          <w:rFonts w:ascii="Arial" w:hAnsi="Arial" w:cs="Arial"/>
          <w:b/>
          <w:lang w:val="es-MX"/>
        </w:rPr>
        <w:t xml:space="preserve"> </w:t>
      </w:r>
      <w:r w:rsidR="0021590B">
        <w:rPr>
          <w:rFonts w:ascii="Arial" w:hAnsi="Arial" w:cs="Arial"/>
          <w:lang w:val="es-MX"/>
        </w:rPr>
        <w:t xml:space="preserve">se contravino lo dispuesto por el </w:t>
      </w:r>
      <w:r w:rsidR="006B1684">
        <w:rPr>
          <w:rFonts w:ascii="Arial" w:hAnsi="Arial" w:cs="Arial"/>
          <w:lang w:val="es-MX"/>
        </w:rPr>
        <w:t>A</w:t>
      </w:r>
      <w:r w:rsidR="0021590B">
        <w:rPr>
          <w:rFonts w:ascii="Arial" w:hAnsi="Arial" w:cs="Arial"/>
          <w:lang w:val="es-MX"/>
        </w:rPr>
        <w:t xml:space="preserve">rtículo 48 del TOCAF al haberse requerido el comprobante de adquisición del Pliego de Condiciones Particulares, recibo de depósito de garantía de mantenimiento de oferta y fotocopia autenticada por Escribano Público de documentación que acreditara la contratación de seguro de accidentes de trabajo y enfermedades profesionales con el Banco de Seguros del Estado, según lo estipulado en el </w:t>
      </w:r>
      <w:r w:rsidR="006B1684">
        <w:rPr>
          <w:rFonts w:ascii="Arial" w:hAnsi="Arial" w:cs="Arial"/>
          <w:lang w:val="es-MX"/>
        </w:rPr>
        <w:t>A</w:t>
      </w:r>
      <w:r w:rsidR="0021590B">
        <w:rPr>
          <w:rFonts w:ascii="Arial" w:hAnsi="Arial" w:cs="Arial"/>
          <w:lang w:val="es-MX"/>
        </w:rPr>
        <w:t>rtículo 10 del Pli</w:t>
      </w:r>
      <w:r w:rsidR="00CA6A4D">
        <w:rPr>
          <w:rFonts w:ascii="Arial" w:hAnsi="Arial" w:cs="Arial"/>
          <w:lang w:val="es-MX"/>
        </w:rPr>
        <w:t>ego de Condiciones Particulares</w:t>
      </w:r>
      <w:r>
        <w:rPr>
          <w:rFonts w:ascii="Arial" w:hAnsi="Arial" w:cs="Arial"/>
          <w:lang w:val="es-MX"/>
        </w:rPr>
        <w:t>;</w:t>
      </w:r>
    </w:p>
    <w:p w:rsidR="00885B5F" w:rsidRDefault="00885B5F" w:rsidP="00885B5F">
      <w:pPr>
        <w:spacing w:line="360" w:lineRule="auto"/>
        <w:jc w:val="both"/>
        <w:rPr>
          <w:rFonts w:ascii="Arial" w:hAnsi="Arial" w:cs="Arial"/>
          <w:lang w:val="es-MX"/>
        </w:rPr>
      </w:pPr>
      <w:r w:rsidRPr="00F61A6A">
        <w:rPr>
          <w:rFonts w:ascii="Arial" w:hAnsi="Arial" w:cs="Arial"/>
          <w:b/>
          <w:lang w:val="es-MX"/>
        </w:rPr>
        <w:t>b)</w:t>
      </w:r>
      <w:r>
        <w:rPr>
          <w:rFonts w:ascii="Arial" w:hAnsi="Arial" w:cs="Arial"/>
          <w:lang w:val="es-MX"/>
        </w:rPr>
        <w:t xml:space="preserve"> </w:t>
      </w:r>
      <w:r w:rsidR="00693AE9">
        <w:rPr>
          <w:rFonts w:ascii="Arial" w:hAnsi="Arial" w:cs="Arial"/>
          <w:lang w:val="es-MX"/>
        </w:rPr>
        <w:t xml:space="preserve">en consecuencia, también se contravino lo dispuesto en los </w:t>
      </w:r>
      <w:r w:rsidR="006B1684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rtículos 9 y 14.2 del Pliego de Bases y Condiciones Generales para los contratos de suministros y Servicios No Personales</w:t>
      </w:r>
      <w:r w:rsidR="009A1556">
        <w:rPr>
          <w:rFonts w:ascii="Arial" w:hAnsi="Arial" w:cs="Arial"/>
          <w:lang w:val="es-MX"/>
        </w:rPr>
        <w:t>,</w:t>
      </w:r>
      <w:r w:rsidR="00693AE9">
        <w:rPr>
          <w:rFonts w:ascii="Arial" w:hAnsi="Arial" w:cs="Arial"/>
          <w:lang w:val="es-MX"/>
        </w:rPr>
        <w:t xml:space="preserve"> que </w:t>
      </w:r>
      <w:r>
        <w:rPr>
          <w:rFonts w:ascii="Arial" w:hAnsi="Arial" w:cs="Arial"/>
          <w:lang w:val="es-MX"/>
        </w:rPr>
        <w:t>establecen que el Pliego de Condiciones Particulares no podrá exigir documentación a la que se pueda acceder a través de RUPE o cualquier sistema de información de libre acceso;</w:t>
      </w:r>
    </w:p>
    <w:p w:rsidR="00885B5F" w:rsidRPr="00F61A6A" w:rsidRDefault="00885B5F" w:rsidP="00885B5F">
      <w:pPr>
        <w:spacing w:line="360" w:lineRule="auto"/>
        <w:jc w:val="both"/>
        <w:rPr>
          <w:rFonts w:ascii="Arial" w:hAnsi="Arial" w:cs="Arial"/>
          <w:lang w:val="es-MX"/>
        </w:rPr>
      </w:pPr>
      <w:r w:rsidRPr="00F61A6A">
        <w:rPr>
          <w:rFonts w:ascii="Arial" w:hAnsi="Arial" w:cs="Arial"/>
          <w:b/>
          <w:lang w:val="es-MX"/>
        </w:rPr>
        <w:lastRenderedPageBreak/>
        <w:t>c)</w:t>
      </w:r>
      <w:r>
        <w:rPr>
          <w:rFonts w:ascii="Arial" w:hAnsi="Arial" w:cs="Arial"/>
          <w:lang w:val="es-MX"/>
        </w:rPr>
        <w:t xml:space="preserve"> se comprometió un gasto sin disponibilidad presupuestal suficiente</w:t>
      </w:r>
      <w:r w:rsidR="006B1684">
        <w:rPr>
          <w:rFonts w:ascii="Arial" w:hAnsi="Arial" w:cs="Arial"/>
          <w:lang w:val="es-MX"/>
        </w:rPr>
        <w:t>;</w:t>
      </w:r>
    </w:p>
    <w:p w:rsidR="00693AE9" w:rsidRDefault="005742C0" w:rsidP="006B1684">
      <w:pPr>
        <w:spacing w:line="360" w:lineRule="auto"/>
        <w:ind w:firstLine="2835"/>
        <w:jc w:val="both"/>
        <w:rPr>
          <w:rFonts w:ascii="Arial" w:hAnsi="Arial" w:cs="Arial"/>
          <w:b/>
        </w:rPr>
      </w:pPr>
      <w:r w:rsidRPr="005A7B98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 w:rsidR="00693AE9">
        <w:rPr>
          <w:rFonts w:ascii="Arial" w:hAnsi="Arial" w:cs="Arial"/>
          <w:lang w:val="es-MX"/>
        </w:rPr>
        <w:t>que p</w:t>
      </w:r>
      <w:r w:rsidR="00693AE9" w:rsidRPr="00F61A6A">
        <w:rPr>
          <w:rFonts w:ascii="Arial" w:hAnsi="Arial" w:cs="Arial"/>
          <w:lang w:val="es-MX"/>
        </w:rPr>
        <w:t xml:space="preserve">or </w:t>
      </w:r>
      <w:r w:rsidR="00693AE9">
        <w:rPr>
          <w:rFonts w:ascii="Arial" w:hAnsi="Arial" w:cs="Arial"/>
          <w:lang w:val="es-MX"/>
        </w:rPr>
        <w:t>Resolución N° 516/14 Acta N° 23 de fecha 28</w:t>
      </w:r>
      <w:r w:rsidR="006B1684">
        <w:rPr>
          <w:rFonts w:ascii="Arial" w:hAnsi="Arial" w:cs="Arial"/>
          <w:lang w:val="es-MX"/>
        </w:rPr>
        <w:t>/</w:t>
      </w:r>
      <w:r w:rsidR="00693AE9">
        <w:rPr>
          <w:rFonts w:ascii="Arial" w:hAnsi="Arial" w:cs="Arial"/>
          <w:lang w:val="es-MX"/>
        </w:rPr>
        <w:t>11</w:t>
      </w:r>
      <w:r w:rsidR="006B1684">
        <w:rPr>
          <w:rFonts w:ascii="Arial" w:hAnsi="Arial" w:cs="Arial"/>
          <w:lang w:val="es-MX"/>
        </w:rPr>
        <w:t>/</w:t>
      </w:r>
      <w:r w:rsidR="00693AE9">
        <w:rPr>
          <w:rFonts w:ascii="Arial" w:hAnsi="Arial" w:cs="Arial"/>
          <w:lang w:val="es-MX"/>
        </w:rPr>
        <w:t xml:space="preserve">14, el Directorio reiteró el gasto y </w:t>
      </w:r>
      <w:r w:rsidR="00B44365">
        <w:rPr>
          <w:rFonts w:ascii="Arial" w:hAnsi="Arial" w:cs="Arial"/>
          <w:lang w:val="es-MX"/>
        </w:rPr>
        <w:t>el 02</w:t>
      </w:r>
      <w:r w:rsidR="006B1684">
        <w:rPr>
          <w:rFonts w:ascii="Arial" w:hAnsi="Arial" w:cs="Arial"/>
          <w:lang w:val="es-MX"/>
        </w:rPr>
        <w:t>/</w:t>
      </w:r>
      <w:r w:rsidR="00B44365">
        <w:rPr>
          <w:rFonts w:ascii="Arial" w:hAnsi="Arial" w:cs="Arial"/>
          <w:lang w:val="es-MX"/>
        </w:rPr>
        <w:t>12</w:t>
      </w:r>
      <w:r w:rsidR="006B1684">
        <w:rPr>
          <w:rFonts w:ascii="Arial" w:hAnsi="Arial" w:cs="Arial"/>
          <w:lang w:val="es-MX"/>
        </w:rPr>
        <w:t>/</w:t>
      </w:r>
      <w:r w:rsidR="00B44365">
        <w:rPr>
          <w:rFonts w:ascii="Arial" w:hAnsi="Arial" w:cs="Arial"/>
          <w:lang w:val="es-MX"/>
        </w:rPr>
        <w:t xml:space="preserve">14 </w:t>
      </w:r>
      <w:r w:rsidR="0073629C">
        <w:rPr>
          <w:rFonts w:ascii="Arial" w:hAnsi="Arial" w:cs="Arial"/>
          <w:lang w:val="es-MX"/>
        </w:rPr>
        <w:t>éste</w:t>
      </w:r>
      <w:r w:rsidR="00B44365">
        <w:rPr>
          <w:rFonts w:ascii="Arial" w:hAnsi="Arial" w:cs="Arial"/>
          <w:lang w:val="es-MX"/>
        </w:rPr>
        <w:t xml:space="preserve"> fue intervenido por reiteración por la Contadora Delegada</w:t>
      </w:r>
      <w:r w:rsidR="00693AE9">
        <w:rPr>
          <w:rFonts w:ascii="Arial" w:hAnsi="Arial" w:cs="Arial"/>
          <w:lang w:val="es-MX"/>
        </w:rPr>
        <w:t xml:space="preserve">; </w:t>
      </w:r>
    </w:p>
    <w:p w:rsidR="001C3837" w:rsidRDefault="005742C0" w:rsidP="006B1684">
      <w:pPr>
        <w:pStyle w:val="Piedepgina"/>
        <w:tabs>
          <w:tab w:val="clear" w:pos="4252"/>
          <w:tab w:val="clear" w:pos="8504"/>
        </w:tabs>
        <w:spacing w:line="360" w:lineRule="auto"/>
        <w:ind w:firstLine="2835"/>
        <w:jc w:val="both"/>
        <w:rPr>
          <w:rFonts w:ascii="Arial" w:hAnsi="Arial" w:cs="Arial"/>
          <w:bCs/>
        </w:rPr>
      </w:pPr>
      <w:r w:rsidRPr="005A7B98">
        <w:rPr>
          <w:rFonts w:ascii="Arial" w:hAnsi="Arial" w:cs="Arial"/>
          <w:b/>
          <w:bCs/>
        </w:rPr>
        <w:t>4)</w:t>
      </w:r>
      <w:r>
        <w:rPr>
          <w:rFonts w:ascii="Arial" w:hAnsi="Arial" w:cs="Arial"/>
          <w:b/>
          <w:bCs/>
        </w:rPr>
        <w:t xml:space="preserve"> </w:t>
      </w:r>
      <w:r w:rsidR="001C3837">
        <w:rPr>
          <w:rFonts w:ascii="Arial" w:hAnsi="Arial" w:cs="Arial"/>
          <w:bCs/>
        </w:rPr>
        <w:t xml:space="preserve">que </w:t>
      </w:r>
      <w:r w:rsidR="0073629C">
        <w:rPr>
          <w:rFonts w:ascii="Arial" w:hAnsi="Arial" w:cs="Arial"/>
          <w:bCs/>
        </w:rPr>
        <w:t>el 02</w:t>
      </w:r>
      <w:r w:rsidR="006B1684">
        <w:rPr>
          <w:rFonts w:ascii="Arial" w:hAnsi="Arial" w:cs="Arial"/>
          <w:bCs/>
        </w:rPr>
        <w:t>/</w:t>
      </w:r>
      <w:r w:rsidR="0073629C">
        <w:rPr>
          <w:rFonts w:ascii="Arial" w:hAnsi="Arial" w:cs="Arial"/>
          <w:bCs/>
        </w:rPr>
        <w:t>12</w:t>
      </w:r>
      <w:r w:rsidR="006B1684">
        <w:rPr>
          <w:rFonts w:ascii="Arial" w:hAnsi="Arial" w:cs="Arial"/>
          <w:bCs/>
        </w:rPr>
        <w:t>/</w:t>
      </w:r>
      <w:r w:rsidR="0073629C">
        <w:rPr>
          <w:rFonts w:ascii="Arial" w:hAnsi="Arial" w:cs="Arial"/>
          <w:bCs/>
        </w:rPr>
        <w:t>15</w:t>
      </w:r>
      <w:r w:rsidR="001C3837">
        <w:rPr>
          <w:rFonts w:ascii="Arial" w:hAnsi="Arial" w:cs="Arial"/>
          <w:bCs/>
        </w:rPr>
        <w:t xml:space="preserve"> el Departamento de Inspección y Vigilancia realizó una evaluación trimestral sobre los servicios prestados por </w:t>
      </w:r>
      <w:proofErr w:type="spellStart"/>
      <w:r w:rsidR="001C3837">
        <w:rPr>
          <w:rFonts w:ascii="Arial" w:hAnsi="Arial" w:cs="Arial"/>
          <w:bCs/>
        </w:rPr>
        <w:t>Segor</w:t>
      </w:r>
      <w:proofErr w:type="spellEnd"/>
      <w:r w:rsidR="001C3837">
        <w:rPr>
          <w:rFonts w:ascii="Arial" w:hAnsi="Arial" w:cs="Arial"/>
          <w:bCs/>
        </w:rPr>
        <w:t xml:space="preserve"> S.A, según la cual ésta ha</w:t>
      </w:r>
      <w:r w:rsidR="0073629C">
        <w:rPr>
          <w:rFonts w:ascii="Arial" w:hAnsi="Arial" w:cs="Arial"/>
          <w:bCs/>
        </w:rPr>
        <w:t xml:space="preserve"> dado respuestas satisfactorias</w:t>
      </w:r>
      <w:r w:rsidR="001C3837">
        <w:rPr>
          <w:rFonts w:ascii="Arial" w:hAnsi="Arial" w:cs="Arial"/>
          <w:bCs/>
        </w:rPr>
        <w:t xml:space="preserve"> y el 15</w:t>
      </w:r>
      <w:r w:rsidR="006B1684">
        <w:rPr>
          <w:rFonts w:ascii="Arial" w:hAnsi="Arial" w:cs="Arial"/>
          <w:bCs/>
        </w:rPr>
        <w:t>/</w:t>
      </w:r>
      <w:r w:rsidR="001C3837">
        <w:rPr>
          <w:rFonts w:ascii="Arial" w:hAnsi="Arial" w:cs="Arial"/>
          <w:bCs/>
        </w:rPr>
        <w:t>12</w:t>
      </w:r>
      <w:r w:rsidR="006B1684">
        <w:rPr>
          <w:rFonts w:ascii="Arial" w:hAnsi="Arial" w:cs="Arial"/>
          <w:bCs/>
        </w:rPr>
        <w:t>/</w:t>
      </w:r>
      <w:r w:rsidR="001C3837">
        <w:rPr>
          <w:rFonts w:ascii="Arial" w:hAnsi="Arial" w:cs="Arial"/>
          <w:bCs/>
        </w:rPr>
        <w:t>15</w:t>
      </w:r>
      <w:r w:rsidR="0073629C">
        <w:rPr>
          <w:rFonts w:ascii="Arial" w:hAnsi="Arial" w:cs="Arial"/>
          <w:bCs/>
        </w:rPr>
        <w:t>,</w:t>
      </w:r>
      <w:r w:rsidR="001C3837">
        <w:rPr>
          <w:rFonts w:ascii="Arial" w:hAnsi="Arial" w:cs="Arial"/>
          <w:bCs/>
        </w:rPr>
        <w:t xml:space="preserve"> el Gerente de Adquisiciones solicitó a </w:t>
      </w:r>
      <w:proofErr w:type="spellStart"/>
      <w:r w:rsidR="001C3837">
        <w:rPr>
          <w:rFonts w:ascii="Arial" w:hAnsi="Arial" w:cs="Arial"/>
          <w:bCs/>
        </w:rPr>
        <w:t>Segor</w:t>
      </w:r>
      <w:proofErr w:type="spellEnd"/>
      <w:r w:rsidR="001C3837">
        <w:rPr>
          <w:rFonts w:ascii="Arial" w:hAnsi="Arial" w:cs="Arial"/>
          <w:bCs/>
        </w:rPr>
        <w:t xml:space="preserve"> S.A su aprobación a los efectos de prorrogar la contratación por un año más, lo que fue aceptado en la misma fecha; </w:t>
      </w:r>
    </w:p>
    <w:p w:rsidR="001C3837" w:rsidRDefault="001C3837" w:rsidP="006B1684">
      <w:pPr>
        <w:pStyle w:val="Piedepgina"/>
        <w:tabs>
          <w:tab w:val="clear" w:pos="4252"/>
          <w:tab w:val="clear" w:pos="8504"/>
        </w:tabs>
        <w:spacing w:line="360" w:lineRule="auto"/>
        <w:ind w:firstLine="2835"/>
        <w:jc w:val="both"/>
        <w:rPr>
          <w:rFonts w:ascii="Arial" w:hAnsi="Arial" w:cs="Arial"/>
          <w:bCs/>
        </w:rPr>
      </w:pPr>
      <w:r w:rsidRPr="001C3837">
        <w:rPr>
          <w:rFonts w:ascii="Arial" w:hAnsi="Arial" w:cs="Arial"/>
          <w:b/>
          <w:bCs/>
        </w:rPr>
        <w:t>5)</w:t>
      </w:r>
      <w:r w:rsidR="006B1684">
        <w:rPr>
          <w:rFonts w:ascii="Arial" w:hAnsi="Arial" w:cs="Arial"/>
          <w:bCs/>
        </w:rPr>
        <w:t xml:space="preserve"> que el 23/</w:t>
      </w:r>
      <w:r>
        <w:rPr>
          <w:rFonts w:ascii="Arial" w:hAnsi="Arial" w:cs="Arial"/>
          <w:bCs/>
        </w:rPr>
        <w:t>12</w:t>
      </w:r>
      <w:r w:rsidR="006B1684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15 la Gerencia de Finanzas realizó la imputación previa del gasto en el Presupuesto Operativo 2013 prorrogado con cargo al Ejercicio 2016, por el período 01</w:t>
      </w:r>
      <w:r w:rsidR="006B1684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01 al 31</w:t>
      </w:r>
      <w:r w:rsidR="006B1684">
        <w:rPr>
          <w:rFonts w:ascii="Arial" w:hAnsi="Arial" w:cs="Arial"/>
          <w:bCs/>
        </w:rPr>
        <w:t>/12/</w:t>
      </w:r>
      <w:r>
        <w:rPr>
          <w:rFonts w:ascii="Arial" w:hAnsi="Arial" w:cs="Arial"/>
          <w:bCs/>
        </w:rPr>
        <w:t>16, por un monto total de $</w:t>
      </w:r>
      <w:r w:rsidR="006B168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40:778.476;</w:t>
      </w:r>
    </w:p>
    <w:p w:rsidR="001C3837" w:rsidRPr="005613B5" w:rsidRDefault="001C3837" w:rsidP="006B1684">
      <w:pPr>
        <w:pStyle w:val="Piedepgina"/>
        <w:tabs>
          <w:tab w:val="clear" w:pos="4252"/>
          <w:tab w:val="clear" w:pos="8504"/>
        </w:tabs>
        <w:spacing w:line="360" w:lineRule="auto"/>
        <w:ind w:firstLine="2835"/>
        <w:jc w:val="both"/>
        <w:rPr>
          <w:rFonts w:ascii="Arial" w:hAnsi="Arial" w:cs="Arial"/>
          <w:bCs/>
        </w:rPr>
      </w:pPr>
      <w:r w:rsidRPr="001C3837">
        <w:rPr>
          <w:rFonts w:ascii="Arial" w:hAnsi="Arial" w:cs="Arial"/>
          <w:b/>
          <w:bCs/>
        </w:rPr>
        <w:t xml:space="preserve">6) </w:t>
      </w:r>
      <w:r>
        <w:rPr>
          <w:rFonts w:ascii="Arial" w:hAnsi="Arial" w:cs="Arial"/>
          <w:bCs/>
        </w:rPr>
        <w:t>que por Resolución N° 309/14</w:t>
      </w:r>
      <w:r w:rsidRPr="005613B5">
        <w:rPr>
          <w:rFonts w:ascii="Arial" w:hAnsi="Arial" w:cs="Arial"/>
          <w:bCs/>
        </w:rPr>
        <w:t xml:space="preserve"> Acta N° 33 de fecha 30</w:t>
      </w:r>
      <w:r w:rsidR="006B1684">
        <w:rPr>
          <w:rFonts w:ascii="Arial" w:hAnsi="Arial" w:cs="Arial"/>
          <w:bCs/>
        </w:rPr>
        <w:t>/</w:t>
      </w:r>
      <w:r w:rsidRPr="005613B5">
        <w:rPr>
          <w:rFonts w:ascii="Arial" w:hAnsi="Arial" w:cs="Arial"/>
          <w:bCs/>
        </w:rPr>
        <w:t>12</w:t>
      </w:r>
      <w:r w:rsidR="006B1684">
        <w:rPr>
          <w:rFonts w:ascii="Arial" w:hAnsi="Arial" w:cs="Arial"/>
          <w:bCs/>
        </w:rPr>
        <w:t>/</w:t>
      </w:r>
      <w:r w:rsidRPr="005613B5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 xml:space="preserve">, el Directorio dispuso prorrogar, previa intervención del Tribunal de Cuentas de la República, el contrato suscrito con </w:t>
      </w:r>
      <w:proofErr w:type="spellStart"/>
      <w:r>
        <w:rPr>
          <w:rFonts w:ascii="Arial" w:hAnsi="Arial" w:cs="Arial"/>
          <w:bCs/>
        </w:rPr>
        <w:t>Segor</w:t>
      </w:r>
      <w:proofErr w:type="spellEnd"/>
      <w:r>
        <w:rPr>
          <w:rFonts w:ascii="Arial" w:hAnsi="Arial" w:cs="Arial"/>
          <w:bCs/>
        </w:rPr>
        <w:t xml:space="preserve"> S.A en todos sus términos, por el término de un año a partir de su vencimiento, al amparo de la facultad concedida por el </w:t>
      </w:r>
      <w:r w:rsidR="006B1684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rtículo 2 del Pliego de Condiciones Particulares por un total de $ 40:778.476;</w:t>
      </w:r>
    </w:p>
    <w:p w:rsidR="00D70F74" w:rsidRPr="00C5530F" w:rsidRDefault="005742C0" w:rsidP="006B1684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D33B2D"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  <w:b/>
          <w:bCs/>
        </w:rPr>
        <w:t xml:space="preserve"> 1) </w:t>
      </w:r>
      <w:r w:rsidR="00D70F74">
        <w:rPr>
          <w:rFonts w:ascii="Arial" w:hAnsi="Arial" w:cs="Arial"/>
          <w:bCs/>
        </w:rPr>
        <w:t xml:space="preserve">que </w:t>
      </w:r>
      <w:r w:rsidR="00284186">
        <w:rPr>
          <w:rFonts w:ascii="Arial" w:hAnsi="Arial" w:cs="Arial"/>
          <w:bCs/>
        </w:rPr>
        <w:t>el plazo para prorrogar la contratación se encuentra vencido,</w:t>
      </w:r>
      <w:r w:rsidR="00284186" w:rsidRPr="00D70F74">
        <w:rPr>
          <w:rFonts w:ascii="Arial" w:hAnsi="Arial" w:cs="Arial"/>
          <w:bCs/>
        </w:rPr>
        <w:t xml:space="preserve"> </w:t>
      </w:r>
      <w:r w:rsidR="00284186">
        <w:rPr>
          <w:rFonts w:ascii="Arial" w:hAnsi="Arial" w:cs="Arial"/>
          <w:bCs/>
        </w:rPr>
        <w:t xml:space="preserve">puesto que </w:t>
      </w:r>
      <w:r w:rsidR="00D70F74" w:rsidRPr="00D70F74">
        <w:rPr>
          <w:rFonts w:ascii="Arial" w:hAnsi="Arial" w:cs="Arial"/>
          <w:bCs/>
        </w:rPr>
        <w:t xml:space="preserve">la Resolución </w:t>
      </w:r>
      <w:r w:rsidR="00284186">
        <w:rPr>
          <w:rFonts w:ascii="Arial" w:hAnsi="Arial" w:cs="Arial"/>
          <w:bCs/>
          <w:lang w:val="es-MX"/>
        </w:rPr>
        <w:t>Nº 461/14 de fecha 22</w:t>
      </w:r>
      <w:r w:rsidR="006B1684">
        <w:rPr>
          <w:rFonts w:ascii="Arial" w:hAnsi="Arial" w:cs="Arial"/>
          <w:bCs/>
          <w:lang w:val="es-MX"/>
        </w:rPr>
        <w:t>/10/</w:t>
      </w:r>
      <w:r w:rsidR="00284186">
        <w:rPr>
          <w:rFonts w:ascii="Arial" w:hAnsi="Arial" w:cs="Arial"/>
          <w:bCs/>
          <w:lang w:val="es-MX"/>
        </w:rPr>
        <w:t>14 adjudicó l</w:t>
      </w:r>
      <w:r w:rsidR="00D70F74" w:rsidRPr="00D70F74">
        <w:rPr>
          <w:rFonts w:ascii="Arial" w:hAnsi="Arial" w:cs="Arial"/>
          <w:bCs/>
          <w:lang w:val="es-MX"/>
        </w:rPr>
        <w:t xml:space="preserve">a </w:t>
      </w:r>
      <w:r w:rsidR="00284186">
        <w:rPr>
          <w:rFonts w:ascii="Arial" w:hAnsi="Arial" w:cs="Arial"/>
          <w:bCs/>
          <w:lang w:val="es-MX"/>
        </w:rPr>
        <w:t>Licitación P</w:t>
      </w:r>
      <w:r w:rsidR="00D70F74" w:rsidRPr="00D70F74">
        <w:rPr>
          <w:rFonts w:ascii="Arial" w:hAnsi="Arial" w:cs="Arial"/>
          <w:bCs/>
          <w:lang w:val="es-MX"/>
        </w:rPr>
        <w:t>ública</w:t>
      </w:r>
      <w:r w:rsidR="00284186">
        <w:rPr>
          <w:rFonts w:ascii="Arial" w:hAnsi="Arial" w:cs="Arial"/>
          <w:bCs/>
          <w:lang w:val="es-MX"/>
        </w:rPr>
        <w:t xml:space="preserve"> N° 15/14</w:t>
      </w:r>
      <w:r w:rsidR="00D70F74" w:rsidRPr="00D70F74">
        <w:rPr>
          <w:rFonts w:ascii="Arial" w:hAnsi="Arial" w:cs="Arial"/>
          <w:bCs/>
          <w:lang w:val="es-MX"/>
        </w:rPr>
        <w:t xml:space="preserve"> </w:t>
      </w:r>
      <w:r w:rsidR="00284186">
        <w:rPr>
          <w:rFonts w:ascii="Arial" w:hAnsi="Arial" w:cs="Arial"/>
          <w:bCs/>
          <w:lang w:val="es-MX"/>
        </w:rPr>
        <w:t xml:space="preserve">a </w:t>
      </w:r>
      <w:r w:rsidR="00D70F74">
        <w:rPr>
          <w:rFonts w:ascii="Arial" w:hAnsi="Arial" w:cs="Arial"/>
          <w:bCs/>
          <w:lang w:val="es-MX"/>
        </w:rPr>
        <w:t xml:space="preserve">la firma </w:t>
      </w:r>
      <w:proofErr w:type="spellStart"/>
      <w:r w:rsidR="00D70F74">
        <w:rPr>
          <w:rFonts w:ascii="Arial" w:hAnsi="Arial" w:cs="Arial"/>
          <w:bCs/>
          <w:lang w:val="es-MX"/>
        </w:rPr>
        <w:t>Segor</w:t>
      </w:r>
      <w:proofErr w:type="spellEnd"/>
      <w:r w:rsidR="00D70F74">
        <w:rPr>
          <w:rFonts w:ascii="Arial" w:hAnsi="Arial" w:cs="Arial"/>
          <w:bCs/>
          <w:lang w:val="es-MX"/>
        </w:rPr>
        <w:t xml:space="preserve"> S.</w:t>
      </w:r>
      <w:r w:rsidR="00D70F74" w:rsidRPr="00D70F74">
        <w:rPr>
          <w:rFonts w:ascii="Arial" w:hAnsi="Arial" w:cs="Arial"/>
          <w:bCs/>
          <w:lang w:val="es-MX"/>
        </w:rPr>
        <w:t xml:space="preserve">A por el período </w:t>
      </w:r>
      <w:r w:rsidR="00D70F74" w:rsidRPr="00D70F74">
        <w:rPr>
          <w:rFonts w:ascii="Arial" w:hAnsi="Arial" w:cs="Arial"/>
          <w:bCs/>
        </w:rPr>
        <w:t>comprendido en</w:t>
      </w:r>
      <w:r w:rsidR="00284186">
        <w:rPr>
          <w:rFonts w:ascii="Arial" w:hAnsi="Arial" w:cs="Arial"/>
          <w:bCs/>
        </w:rPr>
        <w:t>tre el 01</w:t>
      </w:r>
      <w:r w:rsidR="006B1684">
        <w:rPr>
          <w:rFonts w:ascii="Arial" w:hAnsi="Arial" w:cs="Arial"/>
          <w:bCs/>
        </w:rPr>
        <w:t>/</w:t>
      </w:r>
      <w:r w:rsidR="00284186">
        <w:rPr>
          <w:rFonts w:ascii="Arial" w:hAnsi="Arial" w:cs="Arial"/>
          <w:bCs/>
        </w:rPr>
        <w:t>11</w:t>
      </w:r>
      <w:r w:rsidR="006B1684">
        <w:rPr>
          <w:rFonts w:ascii="Arial" w:hAnsi="Arial" w:cs="Arial"/>
          <w:bCs/>
        </w:rPr>
        <w:t>/</w:t>
      </w:r>
      <w:r w:rsidR="00284186">
        <w:rPr>
          <w:rFonts w:ascii="Arial" w:hAnsi="Arial" w:cs="Arial"/>
          <w:bCs/>
        </w:rPr>
        <w:t>14 y el 31</w:t>
      </w:r>
      <w:r w:rsidR="006B1684">
        <w:rPr>
          <w:rFonts w:ascii="Arial" w:hAnsi="Arial" w:cs="Arial"/>
          <w:bCs/>
        </w:rPr>
        <w:t>/</w:t>
      </w:r>
      <w:r w:rsidR="00284186">
        <w:rPr>
          <w:rFonts w:ascii="Arial" w:hAnsi="Arial" w:cs="Arial"/>
          <w:bCs/>
        </w:rPr>
        <w:t>10</w:t>
      </w:r>
      <w:r w:rsidR="006B1684">
        <w:rPr>
          <w:rFonts w:ascii="Arial" w:hAnsi="Arial" w:cs="Arial"/>
          <w:bCs/>
        </w:rPr>
        <w:t>/</w:t>
      </w:r>
      <w:r w:rsidR="00284186">
        <w:rPr>
          <w:rFonts w:ascii="Arial" w:hAnsi="Arial" w:cs="Arial"/>
          <w:bCs/>
        </w:rPr>
        <w:t xml:space="preserve">15 y </w:t>
      </w:r>
      <w:r w:rsidR="00D70F74" w:rsidRPr="00D70F74">
        <w:rPr>
          <w:rFonts w:ascii="Arial" w:hAnsi="Arial" w:cs="Arial"/>
          <w:bCs/>
        </w:rPr>
        <w:t>la Resolución N° 309/14</w:t>
      </w:r>
      <w:r w:rsidR="00284186">
        <w:rPr>
          <w:rFonts w:ascii="Arial" w:hAnsi="Arial" w:cs="Arial"/>
          <w:bCs/>
        </w:rPr>
        <w:t xml:space="preserve">, </w:t>
      </w:r>
      <w:r w:rsidR="00D70F74" w:rsidRPr="00D70F74">
        <w:rPr>
          <w:rFonts w:ascii="Arial" w:hAnsi="Arial" w:cs="Arial"/>
          <w:bCs/>
        </w:rPr>
        <w:t>que dispuso la prórroga</w:t>
      </w:r>
      <w:r w:rsidR="00284186">
        <w:rPr>
          <w:rFonts w:ascii="Arial" w:hAnsi="Arial" w:cs="Arial"/>
          <w:bCs/>
        </w:rPr>
        <w:t xml:space="preserve"> de la misma,</w:t>
      </w:r>
      <w:r w:rsidR="00D70F74" w:rsidRPr="00D70F74">
        <w:rPr>
          <w:rFonts w:ascii="Arial" w:hAnsi="Arial" w:cs="Arial"/>
          <w:bCs/>
        </w:rPr>
        <w:t xml:space="preserve"> tiene fecha 30</w:t>
      </w:r>
      <w:r w:rsidR="006B1684">
        <w:rPr>
          <w:rFonts w:ascii="Arial" w:hAnsi="Arial" w:cs="Arial"/>
          <w:bCs/>
        </w:rPr>
        <w:t>/</w:t>
      </w:r>
      <w:r w:rsidR="00D70F74" w:rsidRPr="00D70F74">
        <w:rPr>
          <w:rFonts w:ascii="Arial" w:hAnsi="Arial" w:cs="Arial"/>
          <w:bCs/>
        </w:rPr>
        <w:t>12</w:t>
      </w:r>
      <w:r w:rsidR="006B1684">
        <w:rPr>
          <w:rFonts w:ascii="Arial" w:hAnsi="Arial" w:cs="Arial"/>
          <w:bCs/>
        </w:rPr>
        <w:t>/</w:t>
      </w:r>
      <w:r w:rsidR="00D70F74" w:rsidRPr="00D70F74">
        <w:rPr>
          <w:rFonts w:ascii="Arial" w:hAnsi="Arial" w:cs="Arial"/>
          <w:bCs/>
        </w:rPr>
        <w:t>15</w:t>
      </w:r>
      <w:r w:rsidR="00284186">
        <w:rPr>
          <w:rFonts w:ascii="Arial" w:hAnsi="Arial" w:cs="Arial"/>
          <w:bCs/>
        </w:rPr>
        <w:t xml:space="preserve">; </w:t>
      </w:r>
    </w:p>
    <w:p w:rsidR="00B44365" w:rsidRDefault="00CE7BCF" w:rsidP="006B1684">
      <w:pPr>
        <w:spacing w:line="360" w:lineRule="auto"/>
        <w:ind w:firstLine="3119"/>
        <w:jc w:val="both"/>
        <w:rPr>
          <w:rFonts w:ascii="Arial" w:hAnsi="Arial" w:cs="Arial"/>
          <w:bCs/>
        </w:rPr>
      </w:pPr>
      <w:r w:rsidRPr="00CE7BCF">
        <w:rPr>
          <w:rFonts w:ascii="Arial" w:hAnsi="Arial" w:cs="Arial"/>
          <w:b/>
          <w:bCs/>
        </w:rPr>
        <w:t>2)</w:t>
      </w:r>
      <w:r w:rsidR="00D70F74">
        <w:rPr>
          <w:rFonts w:ascii="Arial" w:hAnsi="Arial" w:cs="Arial"/>
          <w:bCs/>
        </w:rPr>
        <w:t xml:space="preserve"> que</w:t>
      </w:r>
      <w:r w:rsidR="00D70F74" w:rsidRPr="00D70F74">
        <w:rPr>
          <w:rFonts w:ascii="Arial" w:hAnsi="Arial" w:cs="Arial"/>
          <w:bCs/>
        </w:rPr>
        <w:t xml:space="preserve"> </w:t>
      </w:r>
      <w:r w:rsidR="00284186">
        <w:rPr>
          <w:rFonts w:ascii="Arial" w:hAnsi="Arial" w:cs="Arial"/>
          <w:bCs/>
        </w:rPr>
        <w:t xml:space="preserve">en consecuencia, </w:t>
      </w:r>
      <w:r w:rsidR="00D70F74">
        <w:rPr>
          <w:rFonts w:ascii="Arial" w:hAnsi="Arial" w:cs="Arial"/>
          <w:bCs/>
        </w:rPr>
        <w:t>no exist</w:t>
      </w:r>
      <w:r w:rsidR="00284186">
        <w:rPr>
          <w:rFonts w:ascii="Arial" w:hAnsi="Arial" w:cs="Arial"/>
          <w:bCs/>
        </w:rPr>
        <w:t>e</w:t>
      </w:r>
      <w:r w:rsidR="00D70F74">
        <w:rPr>
          <w:rFonts w:ascii="Arial" w:hAnsi="Arial" w:cs="Arial"/>
          <w:bCs/>
        </w:rPr>
        <w:t xml:space="preserve"> contrato vigente para los servicios </w:t>
      </w:r>
      <w:r w:rsidR="00284186">
        <w:rPr>
          <w:rFonts w:ascii="Arial" w:hAnsi="Arial" w:cs="Arial"/>
          <w:bCs/>
        </w:rPr>
        <w:t>que</w:t>
      </w:r>
      <w:r w:rsidR="00D70F74">
        <w:rPr>
          <w:rFonts w:ascii="Arial" w:hAnsi="Arial" w:cs="Arial"/>
          <w:bCs/>
        </w:rPr>
        <w:t xml:space="preserve"> aún se encuentran en ejecución, </w:t>
      </w:r>
      <w:r w:rsidR="00284186">
        <w:rPr>
          <w:rFonts w:ascii="Arial" w:hAnsi="Arial" w:cs="Arial"/>
          <w:bCs/>
        </w:rPr>
        <w:t>lo que implica un in</w:t>
      </w:r>
      <w:r w:rsidR="00D70F74">
        <w:rPr>
          <w:rFonts w:ascii="Arial" w:hAnsi="Arial" w:cs="Arial"/>
          <w:bCs/>
        </w:rPr>
        <w:t>c</w:t>
      </w:r>
      <w:r w:rsidR="009379A5">
        <w:rPr>
          <w:rFonts w:ascii="Arial" w:hAnsi="Arial" w:cs="Arial"/>
          <w:bCs/>
        </w:rPr>
        <w:t>umplimiento de</w:t>
      </w:r>
      <w:r w:rsidR="00D70F74">
        <w:rPr>
          <w:rFonts w:ascii="Arial" w:hAnsi="Arial" w:cs="Arial"/>
          <w:bCs/>
        </w:rPr>
        <w:t xml:space="preserve"> la intervención preventiva </w:t>
      </w:r>
      <w:r w:rsidR="00284186">
        <w:rPr>
          <w:rFonts w:ascii="Arial" w:hAnsi="Arial" w:cs="Arial"/>
          <w:bCs/>
        </w:rPr>
        <w:t xml:space="preserve">de gastos que </w:t>
      </w:r>
      <w:r w:rsidR="003660E0">
        <w:rPr>
          <w:rFonts w:ascii="Arial" w:hAnsi="Arial" w:cs="Arial"/>
          <w:bCs/>
        </w:rPr>
        <w:t xml:space="preserve">el </w:t>
      </w:r>
      <w:r w:rsidR="006B1684">
        <w:rPr>
          <w:rFonts w:ascii="Arial" w:hAnsi="Arial" w:cs="Arial"/>
          <w:bCs/>
        </w:rPr>
        <w:t>A</w:t>
      </w:r>
      <w:r w:rsidR="003660E0">
        <w:rPr>
          <w:rFonts w:ascii="Arial" w:hAnsi="Arial" w:cs="Arial"/>
          <w:bCs/>
        </w:rPr>
        <w:t>rtículo 211 de la Constitución de la República com</w:t>
      </w:r>
      <w:r w:rsidR="00284186">
        <w:rPr>
          <w:rFonts w:ascii="Arial" w:hAnsi="Arial" w:cs="Arial"/>
          <w:bCs/>
        </w:rPr>
        <w:t>ete a este</w:t>
      </w:r>
      <w:r w:rsidR="003660E0">
        <w:rPr>
          <w:rFonts w:ascii="Arial" w:hAnsi="Arial" w:cs="Arial"/>
          <w:bCs/>
        </w:rPr>
        <w:t xml:space="preserve"> Tribunal</w:t>
      </w:r>
      <w:r w:rsidR="003D60D0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5742C0" w:rsidRPr="00CB2FA6" w:rsidRDefault="003D60D0" w:rsidP="006B1684">
      <w:pPr>
        <w:spacing w:line="360" w:lineRule="auto"/>
        <w:ind w:firstLine="3119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lastRenderedPageBreak/>
        <w:t xml:space="preserve">3) </w:t>
      </w:r>
      <w:r w:rsidRPr="003D60D0">
        <w:rPr>
          <w:rFonts w:ascii="Arial" w:hAnsi="Arial" w:cs="Arial"/>
          <w:bCs/>
        </w:rPr>
        <w:t>q</w:t>
      </w:r>
      <w:r w:rsidR="00CE7BCF" w:rsidRPr="003D60D0">
        <w:rPr>
          <w:rFonts w:ascii="Arial" w:hAnsi="Arial" w:cs="Arial"/>
          <w:bCs/>
        </w:rPr>
        <w:t>u</w:t>
      </w:r>
      <w:r w:rsidR="00CE7BCF">
        <w:rPr>
          <w:rFonts w:ascii="Arial" w:hAnsi="Arial" w:cs="Arial"/>
          <w:bCs/>
        </w:rPr>
        <w:t xml:space="preserve">e </w:t>
      </w:r>
      <w:r w:rsidR="00927DEE">
        <w:rPr>
          <w:rFonts w:ascii="Arial" w:hAnsi="Arial" w:cs="Arial"/>
          <w:bCs/>
        </w:rPr>
        <w:t>asimismo,</w:t>
      </w:r>
      <w:r w:rsidR="00927DEE">
        <w:rPr>
          <w:rFonts w:ascii="Arial" w:hAnsi="Arial"/>
        </w:rPr>
        <w:t xml:space="preserve"> </w:t>
      </w:r>
      <w:r w:rsidR="00CE7BCF">
        <w:rPr>
          <w:rFonts w:ascii="Arial" w:hAnsi="Arial" w:cs="Arial"/>
          <w:bCs/>
        </w:rPr>
        <w:t xml:space="preserve">el </w:t>
      </w:r>
      <w:r w:rsidR="005742C0">
        <w:rPr>
          <w:rFonts w:ascii="Arial" w:hAnsi="Arial"/>
        </w:rPr>
        <w:t>procedimiento</w:t>
      </w:r>
      <w:r w:rsidR="00CE7BCF">
        <w:rPr>
          <w:rFonts w:ascii="Arial" w:hAnsi="Arial"/>
        </w:rPr>
        <w:t xml:space="preserve"> licitatorio ha sido</w:t>
      </w:r>
      <w:r w:rsidR="005742C0">
        <w:rPr>
          <w:rFonts w:ascii="Arial" w:hAnsi="Arial"/>
        </w:rPr>
        <w:t xml:space="preserve"> observado</w:t>
      </w:r>
      <w:r w:rsidR="00927DEE">
        <w:rPr>
          <w:rFonts w:ascii="Arial" w:hAnsi="Arial"/>
        </w:rPr>
        <w:t xml:space="preserve"> </w:t>
      </w:r>
      <w:r w:rsidR="005742C0">
        <w:rPr>
          <w:rFonts w:ascii="Arial" w:hAnsi="Arial"/>
        </w:rPr>
        <w:t xml:space="preserve">por vicios insubsanables que lo afectan, desplegando sus efectos </w:t>
      </w:r>
      <w:r w:rsidR="00284186">
        <w:rPr>
          <w:rFonts w:ascii="Arial" w:hAnsi="Arial"/>
        </w:rPr>
        <w:t>hasta</w:t>
      </w:r>
      <w:r w:rsidR="005742C0">
        <w:rPr>
          <w:rFonts w:ascii="Arial" w:hAnsi="Arial"/>
        </w:rPr>
        <w:t xml:space="preserve"> el presente;</w:t>
      </w:r>
    </w:p>
    <w:p w:rsidR="005742C0" w:rsidRDefault="003D60D0" w:rsidP="006B168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5742C0">
        <w:rPr>
          <w:rFonts w:ascii="Arial" w:hAnsi="Arial" w:cs="Arial"/>
          <w:b/>
          <w:bCs/>
        </w:rPr>
        <w:t>TENTO</w:t>
      </w:r>
      <w:r w:rsidR="005742C0">
        <w:rPr>
          <w:rFonts w:ascii="Arial" w:hAnsi="Arial" w:cs="Arial"/>
        </w:rPr>
        <w:t xml:space="preserve"> a lo expuesto y a lo dispuesto por el </w:t>
      </w:r>
      <w:r w:rsidR="006B1684">
        <w:rPr>
          <w:rFonts w:ascii="Arial" w:hAnsi="Arial" w:cs="Arial"/>
        </w:rPr>
        <w:t>A</w:t>
      </w:r>
      <w:r w:rsidR="005742C0">
        <w:rPr>
          <w:rFonts w:ascii="Arial" w:hAnsi="Arial" w:cs="Arial"/>
        </w:rPr>
        <w:t>rt</w:t>
      </w:r>
      <w:r w:rsidR="006B1684">
        <w:rPr>
          <w:rFonts w:ascii="Arial" w:hAnsi="Arial" w:cs="Arial"/>
        </w:rPr>
        <w:t>ículo</w:t>
      </w:r>
      <w:r w:rsidR="005742C0">
        <w:rPr>
          <w:rFonts w:ascii="Arial" w:hAnsi="Arial" w:cs="Arial"/>
        </w:rPr>
        <w:t xml:space="preserve"> 211 </w:t>
      </w:r>
      <w:r w:rsidR="006B1684">
        <w:rPr>
          <w:rFonts w:ascii="Arial" w:hAnsi="Arial" w:cs="Arial"/>
        </w:rPr>
        <w:t>L</w:t>
      </w:r>
      <w:r w:rsidR="005742C0">
        <w:rPr>
          <w:rFonts w:ascii="Arial" w:hAnsi="Arial" w:cs="Arial"/>
        </w:rPr>
        <w:t>iteral B) de la Constitución de la República;</w:t>
      </w:r>
    </w:p>
    <w:p w:rsidR="005742C0" w:rsidRDefault="005742C0" w:rsidP="006B1684">
      <w:pPr>
        <w:pStyle w:val="Ttulo1"/>
        <w:jc w:val="center"/>
      </w:pPr>
      <w:r>
        <w:t>EL TRIBUNAL ACUERDA</w:t>
      </w:r>
    </w:p>
    <w:p w:rsidR="003660E0" w:rsidRDefault="005742C0" w:rsidP="005742C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3660E0">
        <w:rPr>
          <w:rFonts w:ascii="Arial" w:hAnsi="Arial" w:cs="Arial"/>
          <w:bCs/>
        </w:rPr>
        <w:t>Observar el gasto</w:t>
      </w:r>
      <w:r w:rsidR="009A1556">
        <w:rPr>
          <w:rFonts w:ascii="Arial" w:hAnsi="Arial" w:cs="Arial"/>
          <w:bCs/>
        </w:rPr>
        <w:t>; y</w:t>
      </w:r>
      <w:r w:rsidR="008D2402" w:rsidRPr="003660E0">
        <w:rPr>
          <w:rFonts w:ascii="Arial" w:hAnsi="Arial" w:cs="Arial"/>
          <w:bCs/>
        </w:rPr>
        <w:t xml:space="preserve"> </w:t>
      </w:r>
    </w:p>
    <w:p w:rsidR="005742C0" w:rsidRPr="003660E0" w:rsidRDefault="005742C0" w:rsidP="005742C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3660E0">
        <w:rPr>
          <w:rFonts w:ascii="Arial" w:hAnsi="Arial" w:cs="Arial"/>
          <w:bCs/>
        </w:rPr>
        <w:t>Devolver las actuaciones.</w:t>
      </w:r>
      <w:r w:rsidRPr="003660E0">
        <w:rPr>
          <w:rFonts w:ascii="Arial" w:hAnsi="Arial" w:cs="Arial"/>
          <w:bCs/>
          <w:i/>
        </w:rPr>
        <w:t xml:space="preserve">        </w:t>
      </w:r>
      <w:r w:rsidRPr="003660E0">
        <w:rPr>
          <w:rFonts w:ascii="Arial" w:hAnsi="Arial" w:cs="Arial"/>
          <w:bCs/>
        </w:rPr>
        <w:t xml:space="preserve">                                                       </w:t>
      </w:r>
    </w:p>
    <w:p w:rsidR="005742C0" w:rsidRPr="00D83866" w:rsidRDefault="005742C0" w:rsidP="005742C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</w:t>
      </w:r>
    </w:p>
    <w:p w:rsidR="005742C0" w:rsidRPr="00D83866" w:rsidRDefault="005742C0" w:rsidP="005742C0">
      <w:pPr>
        <w:tabs>
          <w:tab w:val="left" w:pos="2925"/>
        </w:tabs>
        <w:spacing w:line="360" w:lineRule="auto"/>
        <w:rPr>
          <w:rFonts w:ascii="Arial" w:hAnsi="Arial" w:cs="Arial"/>
          <w:bCs/>
          <w:sz w:val="20"/>
        </w:rPr>
      </w:pPr>
    </w:p>
    <w:p w:rsidR="005742C0" w:rsidRPr="00292908" w:rsidRDefault="00292908" w:rsidP="005742C0">
      <w:pPr>
        <w:spacing w:line="360" w:lineRule="auto"/>
        <w:rPr>
          <w:rFonts w:ascii="Arial" w:hAnsi="Arial" w:cs="Arial"/>
          <w:bCs/>
        </w:rPr>
      </w:pPr>
      <w:proofErr w:type="spellStart"/>
      <w:proofErr w:type="gramStart"/>
      <w:r>
        <w:rPr>
          <w:rFonts w:ascii="Arial" w:hAnsi="Arial" w:cs="Arial"/>
          <w:bCs/>
        </w:rPr>
        <w:t>bf</w:t>
      </w:r>
      <w:proofErr w:type="spellEnd"/>
      <w:proofErr w:type="gramEnd"/>
    </w:p>
    <w:p w:rsidR="005742C0" w:rsidRPr="008D2402" w:rsidRDefault="005742C0" w:rsidP="005742C0">
      <w:pPr>
        <w:spacing w:line="360" w:lineRule="auto"/>
        <w:rPr>
          <w:rFonts w:ascii="Arial" w:hAnsi="Arial" w:cs="Arial"/>
          <w:bCs/>
          <w:i/>
          <w:sz w:val="20"/>
          <w:szCs w:val="20"/>
        </w:rPr>
      </w:pPr>
    </w:p>
    <w:p w:rsidR="005742C0" w:rsidRDefault="005742C0" w:rsidP="005742C0">
      <w:pPr>
        <w:spacing w:line="360" w:lineRule="auto"/>
        <w:rPr>
          <w:rFonts w:ascii="Arial" w:hAnsi="Arial" w:cs="Arial"/>
          <w:bCs/>
          <w:i/>
        </w:rPr>
      </w:pPr>
    </w:p>
    <w:sectPr w:rsidR="005742C0" w:rsidSect="0058357F">
      <w:footerReference w:type="even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6F" w:rsidRDefault="0037556F">
      <w:r>
        <w:separator/>
      </w:r>
    </w:p>
  </w:endnote>
  <w:endnote w:type="continuationSeparator" w:id="0">
    <w:p w:rsidR="0037556F" w:rsidRDefault="0037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6F" w:rsidRDefault="0037556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556F" w:rsidRDefault="003755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6F" w:rsidRDefault="0037556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357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7556F" w:rsidRDefault="003755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6F" w:rsidRDefault="0037556F">
      <w:r>
        <w:separator/>
      </w:r>
    </w:p>
  </w:footnote>
  <w:footnote w:type="continuationSeparator" w:id="0">
    <w:p w:rsidR="0037556F" w:rsidRDefault="0037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A19AB"/>
    <w:multiLevelType w:val="hybridMultilevel"/>
    <w:tmpl w:val="FC9A2BE2"/>
    <w:lvl w:ilvl="0" w:tplc="AAD085E4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010" w:hanging="360"/>
      </w:pPr>
    </w:lvl>
    <w:lvl w:ilvl="2" w:tplc="380A001B" w:tentative="1">
      <w:start w:val="1"/>
      <w:numFmt w:val="lowerRoman"/>
      <w:lvlText w:val="%3."/>
      <w:lvlJc w:val="right"/>
      <w:pPr>
        <w:ind w:left="2730" w:hanging="180"/>
      </w:pPr>
    </w:lvl>
    <w:lvl w:ilvl="3" w:tplc="380A000F" w:tentative="1">
      <w:start w:val="1"/>
      <w:numFmt w:val="decimal"/>
      <w:lvlText w:val="%4."/>
      <w:lvlJc w:val="left"/>
      <w:pPr>
        <w:ind w:left="3450" w:hanging="360"/>
      </w:pPr>
    </w:lvl>
    <w:lvl w:ilvl="4" w:tplc="380A0019" w:tentative="1">
      <w:start w:val="1"/>
      <w:numFmt w:val="lowerLetter"/>
      <w:lvlText w:val="%5."/>
      <w:lvlJc w:val="left"/>
      <w:pPr>
        <w:ind w:left="4170" w:hanging="360"/>
      </w:pPr>
    </w:lvl>
    <w:lvl w:ilvl="5" w:tplc="380A001B" w:tentative="1">
      <w:start w:val="1"/>
      <w:numFmt w:val="lowerRoman"/>
      <w:lvlText w:val="%6."/>
      <w:lvlJc w:val="right"/>
      <w:pPr>
        <w:ind w:left="4890" w:hanging="180"/>
      </w:pPr>
    </w:lvl>
    <w:lvl w:ilvl="6" w:tplc="380A000F" w:tentative="1">
      <w:start w:val="1"/>
      <w:numFmt w:val="decimal"/>
      <w:lvlText w:val="%7."/>
      <w:lvlJc w:val="left"/>
      <w:pPr>
        <w:ind w:left="5610" w:hanging="360"/>
      </w:pPr>
    </w:lvl>
    <w:lvl w:ilvl="7" w:tplc="380A0019" w:tentative="1">
      <w:start w:val="1"/>
      <w:numFmt w:val="lowerLetter"/>
      <w:lvlText w:val="%8."/>
      <w:lvlJc w:val="left"/>
      <w:pPr>
        <w:ind w:left="6330" w:hanging="360"/>
      </w:pPr>
    </w:lvl>
    <w:lvl w:ilvl="8" w:tplc="38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468A5B4F"/>
    <w:multiLevelType w:val="hybridMultilevel"/>
    <w:tmpl w:val="93E88E40"/>
    <w:lvl w:ilvl="0" w:tplc="D5909A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C0"/>
    <w:rsid w:val="0005507B"/>
    <w:rsid w:val="00073DB4"/>
    <w:rsid w:val="000E6073"/>
    <w:rsid w:val="00130655"/>
    <w:rsid w:val="001C3837"/>
    <w:rsid w:val="001D3B34"/>
    <w:rsid w:val="001E1D73"/>
    <w:rsid w:val="002137D1"/>
    <w:rsid w:val="0021590B"/>
    <w:rsid w:val="00284186"/>
    <w:rsid w:val="00292908"/>
    <w:rsid w:val="003660E0"/>
    <w:rsid w:val="00374FA1"/>
    <w:rsid w:val="0037556F"/>
    <w:rsid w:val="003D60D0"/>
    <w:rsid w:val="00423695"/>
    <w:rsid w:val="00464832"/>
    <w:rsid w:val="00552B97"/>
    <w:rsid w:val="005613B5"/>
    <w:rsid w:val="005742C0"/>
    <w:rsid w:val="00577C8A"/>
    <w:rsid w:val="0058357F"/>
    <w:rsid w:val="0059301A"/>
    <w:rsid w:val="00693AE9"/>
    <w:rsid w:val="006B1684"/>
    <w:rsid w:val="006B4A25"/>
    <w:rsid w:val="006C6CCC"/>
    <w:rsid w:val="00720DB3"/>
    <w:rsid w:val="0073629C"/>
    <w:rsid w:val="0073699C"/>
    <w:rsid w:val="008718EF"/>
    <w:rsid w:val="00885B5F"/>
    <w:rsid w:val="008D2402"/>
    <w:rsid w:val="00927DEE"/>
    <w:rsid w:val="009379A5"/>
    <w:rsid w:val="009A1556"/>
    <w:rsid w:val="00AC6537"/>
    <w:rsid w:val="00B44365"/>
    <w:rsid w:val="00C44710"/>
    <w:rsid w:val="00C5530F"/>
    <w:rsid w:val="00C70275"/>
    <w:rsid w:val="00CA6A4D"/>
    <w:rsid w:val="00CE7BCF"/>
    <w:rsid w:val="00D600AF"/>
    <w:rsid w:val="00D70F74"/>
    <w:rsid w:val="00E47FF5"/>
    <w:rsid w:val="00F61A6A"/>
    <w:rsid w:val="00FC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742C0"/>
    <w:pPr>
      <w:keepNext/>
      <w:spacing w:line="360" w:lineRule="auto"/>
      <w:jc w:val="both"/>
      <w:outlineLvl w:val="0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42C0"/>
    <w:rPr>
      <w:rFonts w:ascii="Arial" w:eastAsia="Times New Roman" w:hAnsi="Arial" w:cs="Arial"/>
      <w:b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semiHidden/>
    <w:rsid w:val="005742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5742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5742C0"/>
  </w:style>
  <w:style w:type="paragraph" w:styleId="Textodeglobo">
    <w:name w:val="Balloon Text"/>
    <w:basedOn w:val="Normal"/>
    <w:link w:val="TextodegloboCar"/>
    <w:uiPriority w:val="99"/>
    <w:semiHidden/>
    <w:unhideWhenUsed/>
    <w:rsid w:val="00552B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B97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742C0"/>
    <w:pPr>
      <w:keepNext/>
      <w:spacing w:line="360" w:lineRule="auto"/>
      <w:jc w:val="both"/>
      <w:outlineLvl w:val="0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42C0"/>
    <w:rPr>
      <w:rFonts w:ascii="Arial" w:eastAsia="Times New Roman" w:hAnsi="Arial" w:cs="Arial"/>
      <w:b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semiHidden/>
    <w:rsid w:val="005742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5742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5742C0"/>
  </w:style>
  <w:style w:type="paragraph" w:styleId="Textodeglobo">
    <w:name w:val="Balloon Text"/>
    <w:basedOn w:val="Normal"/>
    <w:link w:val="TextodegloboCar"/>
    <w:uiPriority w:val="99"/>
    <w:semiHidden/>
    <w:unhideWhenUsed/>
    <w:rsid w:val="00552B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B9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4</cp:revision>
  <cp:lastPrinted>2016-02-18T17:17:00Z</cp:lastPrinted>
  <dcterms:created xsi:type="dcterms:W3CDTF">2016-02-18T17:16:00Z</dcterms:created>
  <dcterms:modified xsi:type="dcterms:W3CDTF">2016-02-19T16:04:00Z</dcterms:modified>
</cp:coreProperties>
</file>