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F4" w:rsidRPr="00786EEB" w:rsidRDefault="004328F4" w:rsidP="004328F4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353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4328F4" w:rsidRDefault="004328F4" w:rsidP="004328F4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4328F4" w:rsidRPr="00762B34" w:rsidRDefault="004328F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4328F4" w:rsidRPr="00762B34" w:rsidRDefault="004328F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4328F4" w:rsidRPr="00762B34" w:rsidRDefault="004328F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4328F4" w:rsidRPr="00762B34" w:rsidRDefault="004328F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4328F4" w:rsidRPr="00762B34" w:rsidRDefault="004328F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3 DE FEBRERO</w:t>
      </w:r>
      <w:r w:rsidRPr="00762B34">
        <w:rPr>
          <w:rFonts w:cs="Arial"/>
          <w:b/>
          <w:lang w:val="es-ES_tradnl"/>
        </w:rPr>
        <w:t xml:space="preserve"> DE 2016</w:t>
      </w:r>
    </w:p>
    <w:p w:rsidR="004328F4" w:rsidRPr="00762B34" w:rsidRDefault="004328F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4328F4" w:rsidRPr="00762B34" w:rsidRDefault="004328F4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2014-17-1-0004572</w:t>
      </w:r>
      <w:r w:rsidRPr="00762B34">
        <w:rPr>
          <w:rFonts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cs="Arial"/>
          <w:b/>
          <w:lang w:val="en-US"/>
        </w:rPr>
        <w:t>Ent</w:t>
      </w:r>
      <w:proofErr w:type="spellEnd"/>
      <w:proofErr w:type="gramEnd"/>
      <w:r w:rsidRPr="00762B34">
        <w:rPr>
          <w:rFonts w:cs="Arial"/>
          <w:b/>
          <w:lang w:val="en-US"/>
        </w:rPr>
        <w:t>. N°</w:t>
      </w:r>
      <w:r>
        <w:rPr>
          <w:rFonts w:cs="Arial"/>
          <w:b/>
          <w:lang w:val="en-US"/>
        </w:rPr>
        <w:t xml:space="preserve"> 368/16</w:t>
      </w:r>
      <w:r w:rsidRPr="00762B34">
        <w:rPr>
          <w:rFonts w:cs="Arial"/>
          <w:b/>
          <w:lang w:val="en-US"/>
        </w:rPr>
        <w:t>)</w:t>
      </w:r>
    </w:p>
    <w:p w:rsidR="004328F4" w:rsidRDefault="004328F4">
      <w:pPr>
        <w:pStyle w:val="Textoindependiente"/>
        <w:rPr>
          <w:b/>
          <w:bCs/>
        </w:rPr>
      </w:pPr>
    </w:p>
    <w:p w:rsidR="00D92FBF" w:rsidRDefault="00D92FBF" w:rsidP="004328F4">
      <w:pPr>
        <w:pStyle w:val="Textoindependiente"/>
        <w:ind w:firstLine="851"/>
      </w:pPr>
      <w:r>
        <w:rPr>
          <w:b/>
          <w:bCs/>
        </w:rPr>
        <w:t>VISTO:</w:t>
      </w:r>
      <w:r>
        <w:t xml:space="preserve"> las actuaciones remitidas por el Ministerio de Desarrollo Social (MIDES) relacionadas con el Convenio a suscribir con la </w:t>
      </w:r>
      <w:r w:rsidR="00714C40">
        <w:t>Cooperativa de Trabajo “Soy porque Somos”</w:t>
      </w:r>
      <w:r>
        <w:t xml:space="preserve">; </w:t>
      </w:r>
    </w:p>
    <w:p w:rsidR="00714C40" w:rsidRDefault="00D92FBF" w:rsidP="004328F4">
      <w:pPr>
        <w:spacing w:line="360" w:lineRule="auto"/>
        <w:ind w:firstLine="851"/>
        <w:jc w:val="both"/>
      </w:pPr>
      <w:r>
        <w:rPr>
          <w:b/>
          <w:bCs/>
        </w:rPr>
        <w:t xml:space="preserve">RESULTANDO: 1) </w:t>
      </w:r>
      <w:r>
        <w:t>qu</w:t>
      </w:r>
      <w:r w:rsidR="004328F4">
        <w:t>e el organismo actuante remite P</w:t>
      </w:r>
      <w:r>
        <w:t xml:space="preserve">royecto de Convenio con la referida </w:t>
      </w:r>
      <w:r w:rsidR="00714C40">
        <w:t>cooperativa</w:t>
      </w:r>
      <w:r>
        <w:t xml:space="preserve">, con el objeto de gestionar por parte de la </w:t>
      </w:r>
      <w:r w:rsidR="00714C40">
        <w:t>cooperativa</w:t>
      </w:r>
      <w:r>
        <w:t>, un centro</w:t>
      </w:r>
      <w:r w:rsidR="00714C40">
        <w:t xml:space="preserve"> nocturno Nivel I, mixto,</w:t>
      </w:r>
      <w:r w:rsidR="0022364E">
        <w:t xml:space="preserve"> </w:t>
      </w:r>
      <w:r w:rsidR="00714C40">
        <w:t>con un cupo de hasta</w:t>
      </w:r>
      <w:r>
        <w:t xml:space="preserve"> </w:t>
      </w:r>
      <w:r w:rsidR="00F74520">
        <w:t>3</w:t>
      </w:r>
      <w:r>
        <w:t xml:space="preserve">0 plazas, </w:t>
      </w:r>
      <w:r w:rsidR="0022364E">
        <w:t xml:space="preserve">y un sobre cupo de 3 plazas, </w:t>
      </w:r>
      <w:r>
        <w:t xml:space="preserve">sito en la calle </w:t>
      </w:r>
      <w:proofErr w:type="spellStart"/>
      <w:r w:rsidR="00714C40">
        <w:t>Correch</w:t>
      </w:r>
      <w:proofErr w:type="spellEnd"/>
      <w:r w:rsidR="00714C40">
        <w:t xml:space="preserve"> Nº 1024 de la ciudad de Pando;</w:t>
      </w:r>
    </w:p>
    <w:p w:rsidR="00D92FBF" w:rsidRDefault="004328F4" w:rsidP="004328F4">
      <w:pPr>
        <w:spacing w:line="360" w:lineRule="auto"/>
        <w:ind w:firstLine="2694"/>
        <w:jc w:val="both"/>
      </w:pPr>
      <w:r>
        <w:t xml:space="preserve"> </w:t>
      </w:r>
      <w:r w:rsidR="00D92FBF">
        <w:rPr>
          <w:b/>
          <w:bCs/>
        </w:rPr>
        <w:t xml:space="preserve">2) </w:t>
      </w:r>
      <w:proofErr w:type="gramStart"/>
      <w:r w:rsidR="00D92FBF">
        <w:t>que</w:t>
      </w:r>
      <w:proofErr w:type="gramEnd"/>
      <w:r w:rsidR="00D92FBF">
        <w:t xml:space="preserve"> el MIDES se compromete a transferir a la Asociación Civil la suma total de hasta $ </w:t>
      </w:r>
      <w:r w:rsidR="0022364E">
        <w:t>6</w:t>
      </w:r>
      <w:r w:rsidR="00D92FBF">
        <w:t>.</w:t>
      </w:r>
      <w:r w:rsidR="0022364E">
        <w:t>915</w:t>
      </w:r>
      <w:r w:rsidR="00CE0151">
        <w:t>.</w:t>
      </w:r>
      <w:r w:rsidR="0022364E">
        <w:t>847</w:t>
      </w:r>
      <w:r w:rsidR="00714C40">
        <w:t xml:space="preserve">, </w:t>
      </w:r>
      <w:r w:rsidR="00D92FBF">
        <w:t xml:space="preserve">el que se hará efectivo en tres partidas pagaderas de la siguiente manera: </w:t>
      </w:r>
      <w:r w:rsidR="00D92FBF" w:rsidRPr="004328F4">
        <w:rPr>
          <w:b/>
        </w:rPr>
        <w:t>a)</w:t>
      </w:r>
      <w:r w:rsidR="00D92FBF">
        <w:t xml:space="preserve"> la primera dentro de los 30 días siguientes a la suscripción del convenio por $ </w:t>
      </w:r>
      <w:r w:rsidR="00714C40">
        <w:t>2:</w:t>
      </w:r>
      <w:r w:rsidR="0022364E">
        <w:t>766</w:t>
      </w:r>
      <w:r w:rsidR="00714C40">
        <w:t>.</w:t>
      </w:r>
      <w:r w:rsidR="0022364E">
        <w:t>339</w:t>
      </w:r>
      <w:r w:rsidR="00D92FBF">
        <w:t xml:space="preserve">, la segunda y la tercera por $ </w:t>
      </w:r>
      <w:r w:rsidR="0022364E">
        <w:t>2</w:t>
      </w:r>
      <w:r w:rsidR="00BD52CA">
        <w:t>.</w:t>
      </w:r>
      <w:r w:rsidR="0022364E">
        <w:t>074</w:t>
      </w:r>
      <w:r w:rsidR="00714C40">
        <w:t>.</w:t>
      </w:r>
      <w:r w:rsidR="0022364E">
        <w:t>754</w:t>
      </w:r>
      <w:r w:rsidR="00714C40">
        <w:t xml:space="preserve"> </w:t>
      </w:r>
      <w:r w:rsidR="00D92FBF">
        <w:t>al cuarto y al octavo mes respectivamente</w:t>
      </w:r>
      <w:r w:rsidR="00CC6DAC">
        <w:t>, previa presentación de la Rendición de Cuentas e Informe de Rendición de Cuentas correspondiente</w:t>
      </w:r>
      <w:r w:rsidR="00D92FBF">
        <w:t xml:space="preserve">;  </w:t>
      </w:r>
    </w:p>
    <w:p w:rsidR="00BD52CA" w:rsidRDefault="004328F4" w:rsidP="004328F4">
      <w:pPr>
        <w:spacing w:line="360" w:lineRule="auto"/>
        <w:ind w:firstLine="2694"/>
        <w:jc w:val="both"/>
      </w:pPr>
      <w:r>
        <w:t xml:space="preserve"> </w:t>
      </w:r>
      <w:r w:rsidR="00D92FBF">
        <w:rPr>
          <w:b/>
          <w:bCs/>
        </w:rPr>
        <w:t xml:space="preserve">3) </w:t>
      </w:r>
      <w:r w:rsidR="00D92FBF">
        <w:t>que</w:t>
      </w:r>
      <w:r w:rsidR="00CC6DAC">
        <w:t xml:space="preserve"> la Asociación se compromete a gestionar un centro </w:t>
      </w:r>
      <w:r w:rsidR="00BD52CA">
        <w:t>y realizar las coordinaciones necesarias a efectos de desarrollar los objetivos del PASC;</w:t>
      </w:r>
    </w:p>
    <w:p w:rsidR="00CC6DAC" w:rsidRDefault="004328F4" w:rsidP="004328F4">
      <w:pPr>
        <w:spacing w:line="360" w:lineRule="auto"/>
        <w:ind w:firstLine="2694"/>
        <w:jc w:val="both"/>
      </w:pPr>
      <w:r>
        <w:t xml:space="preserve"> </w:t>
      </w:r>
      <w:r w:rsidR="00CC6DAC">
        <w:rPr>
          <w:b/>
          <w:bCs/>
        </w:rPr>
        <w:t>4</w:t>
      </w:r>
      <w:r w:rsidR="00D92FBF">
        <w:rPr>
          <w:b/>
          <w:bCs/>
        </w:rPr>
        <w:t xml:space="preserve">) </w:t>
      </w:r>
      <w:r w:rsidR="00D92FBF">
        <w:t xml:space="preserve">que </w:t>
      </w:r>
      <w:r w:rsidR="00CC6DAC">
        <w:t>el Convenio tendrá vigencia</w:t>
      </w:r>
      <w:r w:rsidR="00714C40">
        <w:t xml:space="preserve"> de doce meses</w:t>
      </w:r>
      <w:r w:rsidR="00CC6DAC">
        <w:t xml:space="preserve"> desde el día </w:t>
      </w:r>
      <w:r w:rsidR="00BD52CA">
        <w:t>1º</w:t>
      </w:r>
      <w:r w:rsidR="00CC6DAC">
        <w:t xml:space="preserve"> de </w:t>
      </w:r>
      <w:r w:rsidR="00714C40">
        <w:t xml:space="preserve">enero </w:t>
      </w:r>
      <w:r w:rsidR="00BD52CA">
        <w:t xml:space="preserve">de </w:t>
      </w:r>
      <w:r w:rsidR="00CC6DAC">
        <w:t xml:space="preserve"> 201</w:t>
      </w:r>
      <w:r w:rsidR="0022364E">
        <w:t>6</w:t>
      </w:r>
      <w:r w:rsidR="00714C40">
        <w:t xml:space="preserve"> </w:t>
      </w:r>
      <w:r w:rsidR="00CC6DAC">
        <w:t xml:space="preserve"> hasta el </w:t>
      </w:r>
      <w:r w:rsidR="00BD52CA">
        <w:t xml:space="preserve">31 de </w:t>
      </w:r>
      <w:r w:rsidR="00714C40">
        <w:t>diciembre</w:t>
      </w:r>
      <w:r w:rsidR="00BD52CA">
        <w:t xml:space="preserve"> de 201</w:t>
      </w:r>
      <w:r w:rsidR="0022364E">
        <w:t>6</w:t>
      </w:r>
      <w:r w:rsidR="00BD52CA">
        <w:t xml:space="preserve"> o hasta la finalización del proceso licitatorio;</w:t>
      </w:r>
    </w:p>
    <w:p w:rsidR="00D92FBF" w:rsidRDefault="000B5591" w:rsidP="000B5591">
      <w:pPr>
        <w:spacing w:line="360" w:lineRule="auto"/>
        <w:ind w:firstLine="2694"/>
        <w:jc w:val="both"/>
      </w:pPr>
      <w:r>
        <w:lastRenderedPageBreak/>
        <w:t xml:space="preserve"> </w:t>
      </w:r>
      <w:r w:rsidR="00CC6DAC">
        <w:rPr>
          <w:b/>
        </w:rPr>
        <w:t xml:space="preserve">5) </w:t>
      </w:r>
      <w:r w:rsidR="00CC6DAC">
        <w:t xml:space="preserve">que </w:t>
      </w:r>
      <w:r w:rsidR="00D92FBF">
        <w:t xml:space="preserve">se adjunta </w:t>
      </w:r>
      <w:r w:rsidR="00CC6DAC">
        <w:t xml:space="preserve">Proyecto de </w:t>
      </w:r>
      <w:r w:rsidR="00D92FBF">
        <w:t>Resolución de</w:t>
      </w:r>
      <w:r w:rsidR="0022364E">
        <w:t xml:space="preserve"> </w:t>
      </w:r>
      <w:r w:rsidR="00D92FBF">
        <w:t>l</w:t>
      </w:r>
      <w:r w:rsidR="0022364E">
        <w:t xml:space="preserve">a </w:t>
      </w:r>
      <w:r w:rsidR="00D92FBF">
        <w:t>Direc</w:t>
      </w:r>
      <w:r w:rsidR="0022364E">
        <w:t>ción General del MIDES</w:t>
      </w:r>
      <w:r w:rsidR="00D92FBF">
        <w:t>, por la cual resuelve a</w:t>
      </w:r>
      <w:r w:rsidR="00CC6DAC">
        <w:t>utorizar, previa intervención</w:t>
      </w:r>
      <w:r w:rsidR="00D92FBF">
        <w:t xml:space="preserve"> del Tribunal de Cuentas de la República la suscripción del </w:t>
      </w:r>
      <w:r w:rsidR="007D2266">
        <w:t xml:space="preserve">Convenio, </w:t>
      </w:r>
      <w:r w:rsidR="00D92FBF">
        <w:t>imputando la erogación al Programa 401, Proyec</w:t>
      </w:r>
      <w:r w:rsidR="007D2266">
        <w:t>to 104, Grupo 5, Financiación 11 de la Unidad Ejecutora 002</w:t>
      </w:r>
      <w:r w:rsidR="00D92FBF">
        <w:t xml:space="preserve"> del Inciso 15 del MIDES; </w:t>
      </w:r>
      <w:r w:rsidR="00D92FBF">
        <w:rPr>
          <w:b/>
        </w:rPr>
        <w:t xml:space="preserve">                       </w:t>
      </w:r>
    </w:p>
    <w:p w:rsidR="00FB2B71" w:rsidRDefault="00D92FBF" w:rsidP="004328F4">
      <w:pPr>
        <w:spacing w:line="360" w:lineRule="auto"/>
        <w:ind w:firstLine="851"/>
        <w:jc w:val="both"/>
        <w:rPr>
          <w:rFonts w:cs="Arial"/>
          <w:bCs/>
        </w:rPr>
      </w:pPr>
      <w:r>
        <w:rPr>
          <w:b/>
          <w:bCs/>
        </w:rPr>
        <w:t>CONSIDERANDO: 1)</w:t>
      </w:r>
      <w:r>
        <w:t xml:space="preserve"> </w:t>
      </w:r>
      <w:r w:rsidR="00FB2B71" w:rsidRPr="002C0107">
        <w:rPr>
          <w:rFonts w:cs="Arial"/>
          <w:bCs/>
        </w:rPr>
        <w:t>que en vi</w:t>
      </w:r>
      <w:r w:rsidR="000B5591">
        <w:rPr>
          <w:rFonts w:cs="Arial"/>
          <w:bCs/>
        </w:rPr>
        <w:t>rtud de lo dispuesto por el Artículo 9 L</w:t>
      </w:r>
      <w:r w:rsidR="00FB2B71" w:rsidRPr="002C0107">
        <w:rPr>
          <w:rFonts w:cs="Arial"/>
          <w:bCs/>
        </w:rPr>
        <w:t xml:space="preserve">iteral B) de la </w:t>
      </w:r>
      <w:r w:rsidR="00FB2B71">
        <w:rPr>
          <w:rFonts w:cs="Arial"/>
          <w:bCs/>
        </w:rPr>
        <w:t>L</w:t>
      </w:r>
      <w:r w:rsidR="00FB2B71" w:rsidRPr="002C0107">
        <w:rPr>
          <w:rFonts w:cs="Arial"/>
          <w:bCs/>
        </w:rPr>
        <w:t>ey 17.866, al Ministerio de Desarrollo Social le compete “</w:t>
      </w:r>
      <w:r w:rsidR="00FB2B71" w:rsidRPr="000B5591">
        <w:rPr>
          <w:rFonts w:cs="Arial"/>
          <w:bCs/>
          <w:i/>
        </w:rPr>
        <w:t>formular, ejecutar, supervisar, coordinar, programar, dar seguimiento y evaluar las políticas, estrategias y planes en las áreas de juventud, mujer y familia, adultos mayores, discapacitados y desarrollo social en general</w:t>
      </w:r>
      <w:r w:rsidR="00FB2B71">
        <w:rPr>
          <w:rFonts w:cs="Arial"/>
          <w:bCs/>
        </w:rPr>
        <w:t xml:space="preserve">”. </w:t>
      </w:r>
      <w:r w:rsidR="000B5591">
        <w:rPr>
          <w:rFonts w:cs="Arial"/>
          <w:bCs/>
          <w:lang w:val="es-MX"/>
        </w:rPr>
        <w:t>Asimismo, de acuerdo con el Literal C) del mencionado A</w:t>
      </w:r>
      <w:r w:rsidR="00FB2B71" w:rsidRPr="002C0107">
        <w:rPr>
          <w:rFonts w:cs="Arial"/>
          <w:bCs/>
          <w:lang w:val="es-MX"/>
        </w:rPr>
        <w:t>rtículo, al MIDES le compete coordinar las acciones, planes y programas intersectoriales, implementados por el Poder Ejecutivo para garantizar el pleno ejercicio de los derechos sociales a la alimentación, a la educación, a la salud, a la vivienda, al disfrute de un medio ambiente sano, al trabajo, a la seguridad social y a la no discriminación</w:t>
      </w:r>
      <w:r w:rsidR="00FB2B71">
        <w:rPr>
          <w:rFonts w:cs="Arial"/>
          <w:bCs/>
        </w:rPr>
        <w:t>;</w:t>
      </w:r>
    </w:p>
    <w:p w:rsidR="00FB2B71" w:rsidRDefault="000B5591" w:rsidP="000B5591">
      <w:pPr>
        <w:tabs>
          <w:tab w:val="left" w:pos="2127"/>
        </w:tabs>
        <w:spacing w:line="360" w:lineRule="auto"/>
        <w:ind w:firstLine="2977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 </w:t>
      </w:r>
      <w:r w:rsidR="00FB2B71">
        <w:rPr>
          <w:rFonts w:cs="Arial"/>
          <w:b/>
          <w:bCs/>
        </w:rPr>
        <w:t xml:space="preserve">2) </w:t>
      </w:r>
      <w:r>
        <w:rPr>
          <w:rFonts w:cs="Arial"/>
          <w:bCs/>
        </w:rPr>
        <w:t>que por otra parte, el L</w:t>
      </w:r>
      <w:r w:rsidR="00FB2B71" w:rsidRPr="002C0107">
        <w:rPr>
          <w:rFonts w:cs="Arial"/>
          <w:bCs/>
        </w:rPr>
        <w:t>iteral I</w:t>
      </w:r>
      <w:r w:rsidR="00FB2B71">
        <w:rPr>
          <w:rFonts w:cs="Arial"/>
          <w:bCs/>
        </w:rPr>
        <w:t>)</w:t>
      </w:r>
      <w:r>
        <w:rPr>
          <w:rFonts w:cs="Arial"/>
          <w:bCs/>
        </w:rPr>
        <w:t xml:space="preserve"> del Artículo 9 de la L</w:t>
      </w:r>
      <w:r w:rsidR="00FB2B71" w:rsidRPr="002C0107">
        <w:rPr>
          <w:rFonts w:cs="Arial"/>
          <w:bCs/>
        </w:rPr>
        <w:t>ey 17.866 establece que le compete al MIDES la celebración de convenios bilaterales o multilaterales de cooperación con instituciones públicas y privadas;</w:t>
      </w:r>
    </w:p>
    <w:p w:rsidR="00D92FBF" w:rsidRDefault="000B5591" w:rsidP="000B5591">
      <w:pPr>
        <w:spacing w:line="360" w:lineRule="auto"/>
        <w:ind w:firstLine="2977"/>
        <w:jc w:val="both"/>
      </w:pPr>
      <w:r>
        <w:rPr>
          <w:rFonts w:cs="Arial"/>
          <w:b/>
          <w:bCs/>
        </w:rPr>
        <w:t xml:space="preserve"> </w:t>
      </w:r>
      <w:r w:rsidR="00FB2B71">
        <w:rPr>
          <w:b/>
        </w:rPr>
        <w:t xml:space="preserve">3) </w:t>
      </w:r>
      <w:r w:rsidR="00D92FBF">
        <w:t xml:space="preserve">que </w:t>
      </w:r>
      <w:r w:rsidR="007D2266">
        <w:t>de acuerdo con el</w:t>
      </w:r>
      <w:r w:rsidR="00D92FBF">
        <w:t xml:space="preserve"> monto </w:t>
      </w:r>
      <w:r w:rsidR="007D2266">
        <w:t>de la contratación</w:t>
      </w:r>
      <w:r w:rsidR="00D92FBF">
        <w:t>,</w:t>
      </w:r>
      <w:r w:rsidR="007D2266">
        <w:t xml:space="preserve"> se debió haber procedido a realizar el procedimiento comp</w:t>
      </w:r>
      <w:r>
        <w:t>etitivo conforme lo dispone el A</w:t>
      </w:r>
      <w:r w:rsidR="007D2266">
        <w:t>rtículo 33 del TOCAF;</w:t>
      </w:r>
    </w:p>
    <w:p w:rsidR="00D92FBF" w:rsidRDefault="000B5591" w:rsidP="000B5591">
      <w:pPr>
        <w:suppressAutoHyphens/>
        <w:spacing w:line="360" w:lineRule="auto"/>
        <w:ind w:firstLine="2977"/>
        <w:jc w:val="both"/>
        <w:rPr>
          <w:bCs/>
        </w:rPr>
      </w:pPr>
      <w:r>
        <w:rPr>
          <w:b/>
        </w:rPr>
        <w:t xml:space="preserve"> </w:t>
      </w:r>
      <w:r w:rsidR="00FB2B71">
        <w:rPr>
          <w:b/>
          <w:bCs/>
        </w:rPr>
        <w:t xml:space="preserve">4) </w:t>
      </w:r>
      <w:r w:rsidR="00D92FBF">
        <w:rPr>
          <w:bCs/>
        </w:rPr>
        <w:t xml:space="preserve">que </w:t>
      </w:r>
      <w:r w:rsidR="007D2266">
        <w:rPr>
          <w:bCs/>
        </w:rPr>
        <w:t xml:space="preserve">asimismo, la contratación no </w:t>
      </w:r>
      <w:r w:rsidR="00D9548E">
        <w:rPr>
          <w:bCs/>
        </w:rPr>
        <w:t>encuadra en</w:t>
      </w:r>
      <w:r w:rsidR="007D2266">
        <w:rPr>
          <w:bCs/>
        </w:rPr>
        <w:t xml:space="preserve"> la causal</w:t>
      </w:r>
      <w:r w:rsidR="00D92FBF">
        <w:rPr>
          <w:bCs/>
        </w:rPr>
        <w:t xml:space="preserve"> de compra directa por e</w:t>
      </w:r>
      <w:r>
        <w:rPr>
          <w:bCs/>
        </w:rPr>
        <w:t>xcepción, contraviniendo el Artículo</w:t>
      </w:r>
      <w:r w:rsidR="00D92FBF">
        <w:rPr>
          <w:bCs/>
        </w:rPr>
        <w:t xml:space="preserve"> 33 del TOCAF;</w:t>
      </w:r>
    </w:p>
    <w:p w:rsidR="00D92FBF" w:rsidRDefault="00D92FBF" w:rsidP="004328F4">
      <w:pPr>
        <w:pStyle w:val="Textoindependiente"/>
        <w:ind w:firstLine="851"/>
      </w:pPr>
      <w:r>
        <w:rPr>
          <w:b/>
          <w:bCs/>
        </w:rPr>
        <w:t xml:space="preserve">ATENTO: </w:t>
      </w:r>
      <w:r>
        <w:t>a lo precedentemente expuesto y a lo</w:t>
      </w:r>
      <w:r w:rsidR="000B5591">
        <w:t xml:space="preserve"> dispuesto por el Artículo 211 L</w:t>
      </w:r>
      <w:r>
        <w:t>iteral B) de la Constitución de la República;</w:t>
      </w:r>
    </w:p>
    <w:p w:rsidR="00D92FBF" w:rsidRDefault="00D92FBF">
      <w:pPr>
        <w:pStyle w:val="Textoindependiente"/>
        <w:ind w:left="708"/>
        <w:rPr>
          <w:u w:val="single"/>
        </w:rPr>
      </w:pPr>
    </w:p>
    <w:p w:rsidR="000B5591" w:rsidRDefault="000B5591">
      <w:pPr>
        <w:pStyle w:val="Textoindependiente"/>
        <w:ind w:left="708"/>
        <w:rPr>
          <w:u w:val="single"/>
        </w:rPr>
      </w:pPr>
    </w:p>
    <w:p w:rsidR="00D92FBF" w:rsidRDefault="000B5591" w:rsidP="000B5591">
      <w:pPr>
        <w:pStyle w:val="Ttulo1"/>
      </w:pPr>
      <w:r>
        <w:lastRenderedPageBreak/>
        <w:t>EL TRIBUNAL ACUERDA</w:t>
      </w:r>
    </w:p>
    <w:p w:rsidR="00D92FBF" w:rsidRDefault="00D92FBF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</w:pPr>
      <w:r>
        <w:t xml:space="preserve">Observar </w:t>
      </w:r>
      <w:r w:rsidR="000B5591">
        <w:t xml:space="preserve"> </w:t>
      </w:r>
      <w:r>
        <w:t xml:space="preserve">el </w:t>
      </w:r>
      <w:r w:rsidR="000B5591">
        <w:t xml:space="preserve"> </w:t>
      </w:r>
      <w:r>
        <w:t>gasto</w:t>
      </w:r>
      <w:r w:rsidR="00BD52CA">
        <w:t xml:space="preserve"> </w:t>
      </w:r>
      <w:r w:rsidR="000B5591">
        <w:t xml:space="preserve"> </w:t>
      </w:r>
      <w:r w:rsidR="00BD52CA">
        <w:t xml:space="preserve">derivado </w:t>
      </w:r>
      <w:r w:rsidR="000B5591">
        <w:t xml:space="preserve"> </w:t>
      </w:r>
      <w:r w:rsidR="00BD52CA">
        <w:t xml:space="preserve">del </w:t>
      </w:r>
      <w:r w:rsidR="000B5591">
        <w:t xml:space="preserve"> </w:t>
      </w:r>
      <w:r w:rsidR="00BD52CA">
        <w:t>convenio</w:t>
      </w:r>
      <w:r w:rsidR="0003340C">
        <w:t xml:space="preserve"> </w:t>
      </w:r>
      <w:r w:rsidR="000B5591">
        <w:t xml:space="preserve"> </w:t>
      </w:r>
      <w:r w:rsidR="00BD52CA">
        <w:t xml:space="preserve">a </w:t>
      </w:r>
      <w:r w:rsidR="000B5591">
        <w:t xml:space="preserve"> </w:t>
      </w:r>
      <w:r w:rsidR="00BD52CA">
        <w:t xml:space="preserve">suscribirse </w:t>
      </w:r>
      <w:r w:rsidR="000B5591">
        <w:t xml:space="preserve"> </w:t>
      </w:r>
      <w:r w:rsidR="0003340C">
        <w:t xml:space="preserve">por </w:t>
      </w:r>
      <w:r w:rsidR="000B5591">
        <w:t xml:space="preserve"> </w:t>
      </w:r>
      <w:r w:rsidR="0003340C">
        <w:t xml:space="preserve">la suma de $ </w:t>
      </w:r>
      <w:r w:rsidR="0022364E">
        <w:t>6:915.847</w:t>
      </w:r>
      <w:r w:rsidR="0003340C">
        <w:t xml:space="preserve">, </w:t>
      </w:r>
      <w:r w:rsidR="00BD52CA">
        <w:t xml:space="preserve">entre el MIDES y la </w:t>
      </w:r>
      <w:r w:rsidR="002C4FDC">
        <w:t>C</w:t>
      </w:r>
      <w:bookmarkStart w:id="0" w:name="_GoBack"/>
      <w:bookmarkEnd w:id="0"/>
      <w:r w:rsidR="002C4FDC">
        <w:t xml:space="preserve">ooperativa “Soy porque Somos”, </w:t>
      </w:r>
      <w:r w:rsidR="00FB2B71">
        <w:t>por lo establecido en los Considerandos 3)</w:t>
      </w:r>
      <w:r w:rsidR="0003340C">
        <w:t xml:space="preserve"> y</w:t>
      </w:r>
      <w:r w:rsidR="00FB2B71">
        <w:t xml:space="preserve"> 4) de la presente Resolución;</w:t>
      </w:r>
    </w:p>
    <w:p w:rsidR="00D92FBF" w:rsidRDefault="00D92FBF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</w:pPr>
      <w:r>
        <w:t>Devolver las actuaciones</w:t>
      </w:r>
      <w:r w:rsidR="000B5591">
        <w:t>.</w:t>
      </w:r>
    </w:p>
    <w:p w:rsidR="00D92FBF" w:rsidRDefault="00D92FBF">
      <w:pPr>
        <w:jc w:val="right"/>
        <w:rPr>
          <w:rFonts w:cs="Arial"/>
          <w:iCs/>
        </w:rPr>
      </w:pPr>
    </w:p>
    <w:p w:rsidR="00D92FBF" w:rsidRDefault="00D92FBF">
      <w:pPr>
        <w:jc w:val="right"/>
        <w:rPr>
          <w:rFonts w:cs="Arial"/>
          <w:iCs/>
        </w:rPr>
      </w:pPr>
    </w:p>
    <w:p w:rsidR="00D92FBF" w:rsidRPr="0022364E" w:rsidRDefault="00D92FBF">
      <w:pPr>
        <w:jc w:val="right"/>
        <w:rPr>
          <w:rFonts w:cs="Arial"/>
          <w:iCs/>
        </w:rPr>
      </w:pPr>
    </w:p>
    <w:p w:rsidR="00D92FBF" w:rsidRDefault="000B5591">
      <w:pPr>
        <w:spacing w:line="360" w:lineRule="auto"/>
        <w:rPr>
          <w:rFonts w:cs="Arial"/>
          <w:iCs/>
          <w:sz w:val="16"/>
          <w:szCs w:val="16"/>
        </w:rPr>
      </w:pPr>
      <w:proofErr w:type="spellStart"/>
      <w:proofErr w:type="gramStart"/>
      <w:r>
        <w:rPr>
          <w:rFonts w:cs="Arial"/>
          <w:bCs/>
          <w:iCs/>
        </w:rPr>
        <w:t>mp</w:t>
      </w:r>
      <w:proofErr w:type="spellEnd"/>
      <w:proofErr w:type="gramEnd"/>
    </w:p>
    <w:sectPr w:rsidR="00D92FBF" w:rsidSect="004328F4">
      <w:footerReference w:type="default" r:id="rId8"/>
      <w:pgSz w:w="11907" w:h="16840" w:code="9"/>
      <w:pgMar w:top="3289" w:right="1701" w:bottom="1418" w:left="1701" w:header="720" w:footer="720" w:gutter="0"/>
      <w:paperSrc w:first="4" w:other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91" w:rsidRDefault="000B5591" w:rsidP="000B5591">
      <w:r>
        <w:separator/>
      </w:r>
    </w:p>
  </w:endnote>
  <w:endnote w:type="continuationSeparator" w:id="0">
    <w:p w:rsidR="000B5591" w:rsidRDefault="000B5591" w:rsidP="000B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637609"/>
      <w:docPartObj>
        <w:docPartGallery w:val="Page Numbers (Bottom of Page)"/>
        <w:docPartUnique/>
      </w:docPartObj>
    </w:sdtPr>
    <w:sdtContent>
      <w:p w:rsidR="000B5591" w:rsidRDefault="000B559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B5591" w:rsidRDefault="000B55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91" w:rsidRDefault="000B5591" w:rsidP="000B5591">
      <w:r>
        <w:separator/>
      </w:r>
    </w:p>
  </w:footnote>
  <w:footnote w:type="continuationSeparator" w:id="0">
    <w:p w:rsidR="000B5591" w:rsidRDefault="000B5591" w:rsidP="000B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7773"/>
    <w:multiLevelType w:val="hybridMultilevel"/>
    <w:tmpl w:val="08BC64FC"/>
    <w:lvl w:ilvl="0" w:tplc="27A08C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C1B"/>
    <w:multiLevelType w:val="hybridMultilevel"/>
    <w:tmpl w:val="9C9691CA"/>
    <w:lvl w:ilvl="0" w:tplc="9244DE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99"/>
    <w:rsid w:val="0003340C"/>
    <w:rsid w:val="000B5591"/>
    <w:rsid w:val="00154F99"/>
    <w:rsid w:val="0022364E"/>
    <w:rsid w:val="002C4FDC"/>
    <w:rsid w:val="004328F4"/>
    <w:rsid w:val="00500B3B"/>
    <w:rsid w:val="00714C40"/>
    <w:rsid w:val="00740D53"/>
    <w:rsid w:val="007B12B3"/>
    <w:rsid w:val="007D2266"/>
    <w:rsid w:val="008518D5"/>
    <w:rsid w:val="008C1B70"/>
    <w:rsid w:val="009A19FA"/>
    <w:rsid w:val="009D7E8D"/>
    <w:rsid w:val="00BD52CA"/>
    <w:rsid w:val="00CC6DAC"/>
    <w:rsid w:val="00CE0151"/>
    <w:rsid w:val="00D92FBF"/>
    <w:rsid w:val="00D9548E"/>
    <w:rsid w:val="00F74520"/>
    <w:rsid w:val="00FB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2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B55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5591"/>
    <w:rPr>
      <w:rFonts w:ascii="Arial" w:hAnsi="Arial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B55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591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2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B55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5591"/>
    <w:rPr>
      <w:rFonts w:ascii="Arial" w:hAnsi="Arial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B55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59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226210</vt:lpstr>
    </vt:vector>
  </TitlesOfParts>
  <Company>Tribunal de Cuentas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226210</dc:title>
  <dc:subject/>
  <dc:creator>Contrataciones I</dc:creator>
  <cp:keywords/>
  <dc:description/>
  <cp:lastModifiedBy>TRIBUNAL1</cp:lastModifiedBy>
  <cp:revision>3</cp:revision>
  <cp:lastPrinted>2016-02-04T13:56:00Z</cp:lastPrinted>
  <dcterms:created xsi:type="dcterms:W3CDTF">2016-02-04T13:59:00Z</dcterms:created>
  <dcterms:modified xsi:type="dcterms:W3CDTF">2016-02-04T14:12:00Z</dcterms:modified>
</cp:coreProperties>
</file>