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E40" w:rsidRPr="00786EEB" w:rsidRDefault="00F36E40" w:rsidP="00F36E40">
      <w:pPr>
        <w:tabs>
          <w:tab w:val="center" w:pos="4253"/>
        </w:tabs>
        <w:suppressAutoHyphens/>
        <w:jc w:val="right"/>
        <w:rPr>
          <w:rFonts w:cs="Arial"/>
          <w:b/>
          <w:sz w:val="28"/>
          <w:szCs w:val="28"/>
          <w:lang w:val="es-ES_tradnl"/>
        </w:rPr>
      </w:pPr>
      <w:r w:rsidRPr="00786EEB">
        <w:rPr>
          <w:rFonts w:cs="Arial"/>
          <w:b/>
          <w:sz w:val="28"/>
          <w:szCs w:val="28"/>
          <w:lang w:val="es-ES_tradnl"/>
        </w:rPr>
        <w:t xml:space="preserve">RES. </w:t>
      </w:r>
      <w:r>
        <w:rPr>
          <w:rFonts w:cs="Arial"/>
          <w:b/>
          <w:sz w:val="28"/>
          <w:szCs w:val="28"/>
          <w:lang w:val="es-ES_tradnl"/>
        </w:rPr>
        <w:t>411</w:t>
      </w:r>
      <w:r w:rsidRPr="00786EEB">
        <w:rPr>
          <w:rFonts w:cs="Arial"/>
          <w:b/>
          <w:sz w:val="28"/>
          <w:szCs w:val="28"/>
          <w:lang w:val="es-ES_tradnl"/>
        </w:rPr>
        <w:t>/16</w:t>
      </w:r>
    </w:p>
    <w:p w:rsidR="00F36E40" w:rsidRDefault="00F36E40" w:rsidP="00786EEB">
      <w:pPr>
        <w:tabs>
          <w:tab w:val="center" w:pos="4253"/>
        </w:tabs>
        <w:suppressAutoHyphens/>
        <w:jc w:val="right"/>
        <w:rPr>
          <w:rFonts w:cs="Arial"/>
          <w:b/>
          <w:lang w:val="es-ES_tradnl"/>
        </w:rPr>
      </w:pPr>
    </w:p>
    <w:p w:rsidR="00F36E40" w:rsidRPr="00F36E40" w:rsidRDefault="00F36E40">
      <w:pPr>
        <w:tabs>
          <w:tab w:val="center" w:pos="4253"/>
        </w:tabs>
        <w:suppressAutoHyphens/>
        <w:jc w:val="center"/>
        <w:rPr>
          <w:rFonts w:cs="Arial"/>
          <w:b/>
          <w:lang w:val="es-ES_tradnl"/>
        </w:rPr>
      </w:pPr>
      <w:r w:rsidRPr="00F36E40">
        <w:rPr>
          <w:rFonts w:cs="Arial"/>
          <w:b/>
          <w:lang w:val="es-ES_tradnl"/>
        </w:rPr>
        <w:t>RESOLUCION ADOPTADA POR EL</w:t>
      </w:r>
    </w:p>
    <w:p w:rsidR="00F36E40" w:rsidRPr="00F36E40" w:rsidRDefault="00F36E40">
      <w:pPr>
        <w:tabs>
          <w:tab w:val="left" w:pos="-720"/>
        </w:tabs>
        <w:suppressAutoHyphens/>
        <w:jc w:val="center"/>
        <w:rPr>
          <w:rFonts w:cs="Arial"/>
          <w:b/>
          <w:lang w:val="es-ES_tradnl"/>
        </w:rPr>
      </w:pPr>
    </w:p>
    <w:p w:rsidR="00F36E40" w:rsidRPr="00F36E40" w:rsidRDefault="00F36E40">
      <w:pPr>
        <w:tabs>
          <w:tab w:val="center" w:pos="4253"/>
        </w:tabs>
        <w:suppressAutoHyphens/>
        <w:jc w:val="center"/>
        <w:rPr>
          <w:rFonts w:cs="Arial"/>
          <w:b/>
          <w:lang w:val="es-ES_tradnl"/>
        </w:rPr>
      </w:pPr>
      <w:r w:rsidRPr="00F36E40">
        <w:rPr>
          <w:rFonts w:cs="Arial"/>
          <w:b/>
          <w:lang w:val="es-ES_tradnl"/>
        </w:rPr>
        <w:t>TRIBUNAL DE CUENTAS</w:t>
      </w:r>
    </w:p>
    <w:p w:rsidR="00F36E40" w:rsidRPr="00F36E40" w:rsidRDefault="00F36E40">
      <w:pPr>
        <w:tabs>
          <w:tab w:val="left" w:pos="-720"/>
        </w:tabs>
        <w:suppressAutoHyphens/>
        <w:jc w:val="center"/>
        <w:rPr>
          <w:rFonts w:cs="Arial"/>
          <w:b/>
          <w:lang w:val="es-ES_tradnl"/>
        </w:rPr>
      </w:pPr>
    </w:p>
    <w:p w:rsidR="00F36E40" w:rsidRPr="00F36E40" w:rsidRDefault="00F36E40">
      <w:pPr>
        <w:tabs>
          <w:tab w:val="center" w:pos="4253"/>
        </w:tabs>
        <w:suppressAutoHyphens/>
        <w:jc w:val="center"/>
        <w:rPr>
          <w:rFonts w:cs="Arial"/>
          <w:b/>
          <w:lang w:val="es-ES_tradnl"/>
        </w:rPr>
      </w:pPr>
      <w:r w:rsidRPr="00F36E40">
        <w:rPr>
          <w:rFonts w:cs="Arial"/>
          <w:b/>
          <w:lang w:val="es-ES_tradnl"/>
        </w:rPr>
        <w:t>EN SESION DE FECHA 3 DE FEBRERO DE 2016</w:t>
      </w:r>
    </w:p>
    <w:p w:rsidR="00F36E40" w:rsidRPr="00F36E40" w:rsidRDefault="00F36E40">
      <w:pPr>
        <w:tabs>
          <w:tab w:val="center" w:pos="4253"/>
        </w:tabs>
        <w:suppressAutoHyphens/>
        <w:jc w:val="center"/>
        <w:rPr>
          <w:rFonts w:cs="Arial"/>
          <w:b/>
          <w:lang w:val="es-ES_tradnl"/>
        </w:rPr>
      </w:pPr>
    </w:p>
    <w:p w:rsidR="00F36E40" w:rsidRPr="00F36E40" w:rsidRDefault="00F36E40">
      <w:pPr>
        <w:tabs>
          <w:tab w:val="center" w:pos="4253"/>
        </w:tabs>
        <w:suppressAutoHyphens/>
        <w:jc w:val="center"/>
        <w:rPr>
          <w:rFonts w:cs="Arial"/>
          <w:b/>
          <w:lang w:val="en-US"/>
        </w:rPr>
      </w:pPr>
      <w:r w:rsidRPr="00F36E40">
        <w:rPr>
          <w:rFonts w:cs="Arial"/>
          <w:b/>
          <w:lang w:val="en-US"/>
        </w:rPr>
        <w:t xml:space="preserve">(E. E. Nº </w:t>
      </w:r>
      <w:r w:rsidRPr="00F36E40">
        <w:rPr>
          <w:b/>
        </w:rPr>
        <w:t>2016-17-1-0000510</w:t>
      </w:r>
      <w:r w:rsidRPr="00F36E40">
        <w:rPr>
          <w:rFonts w:cs="Arial"/>
          <w:b/>
          <w:lang w:val="en-US"/>
        </w:rPr>
        <w:t xml:space="preserve">, </w:t>
      </w:r>
      <w:proofErr w:type="gramStart"/>
      <w:r w:rsidRPr="00F36E40">
        <w:rPr>
          <w:rFonts w:cs="Arial"/>
          <w:b/>
          <w:lang w:val="en-US"/>
        </w:rPr>
        <w:t>Ent</w:t>
      </w:r>
      <w:proofErr w:type="gramEnd"/>
      <w:r w:rsidRPr="00F36E40">
        <w:rPr>
          <w:rFonts w:cs="Arial"/>
          <w:b/>
          <w:lang w:val="en-US"/>
        </w:rPr>
        <w:t xml:space="preserve">. N° </w:t>
      </w:r>
      <w:r w:rsidRPr="00F36E40">
        <w:rPr>
          <w:b/>
        </w:rPr>
        <w:t>0371/16</w:t>
      </w:r>
      <w:r w:rsidRPr="00F36E40">
        <w:rPr>
          <w:rFonts w:cs="Arial"/>
          <w:b/>
          <w:lang w:val="en-US"/>
        </w:rPr>
        <w:t>)</w:t>
      </w:r>
    </w:p>
    <w:p w:rsidR="00F36E40" w:rsidRPr="00F36E40" w:rsidRDefault="00F36E40">
      <w:pPr>
        <w:tabs>
          <w:tab w:val="center" w:pos="4253"/>
        </w:tabs>
        <w:suppressAutoHyphens/>
        <w:jc w:val="center"/>
        <w:rPr>
          <w:rFonts w:ascii="Helvetica" w:hAnsi="Helvetica"/>
          <w:b/>
          <w:lang w:val="en-US"/>
        </w:rPr>
      </w:pPr>
    </w:p>
    <w:p w:rsidR="00F36E40" w:rsidRDefault="00F36E40" w:rsidP="00762B34">
      <w:pPr>
        <w:tabs>
          <w:tab w:val="center" w:pos="4253"/>
        </w:tabs>
        <w:suppressAutoHyphens/>
        <w:jc w:val="right"/>
        <w:rPr>
          <w:spacing w:val="-3"/>
          <w:lang w:val="en-US"/>
        </w:rPr>
      </w:pPr>
    </w:p>
    <w:p w:rsidR="008F7147" w:rsidRDefault="008F7147" w:rsidP="00F36E40">
      <w:pPr>
        <w:pStyle w:val="Textoindependiente"/>
        <w:ind w:firstLine="851"/>
      </w:pPr>
      <w:r>
        <w:rPr>
          <w:b/>
          <w:bCs/>
        </w:rPr>
        <w:t>VISTO:</w:t>
      </w:r>
      <w:r>
        <w:t xml:space="preserve"> las actuaciones remitidas por el Ministerio de Desarrollo Social (MIDES) relacionadas con el convenio a suscribir con la Asociación Civil </w:t>
      </w:r>
      <w:r w:rsidR="00F5305D">
        <w:t>“</w:t>
      </w:r>
      <w:r>
        <w:t>Factor Solidaridad</w:t>
      </w:r>
      <w:r w:rsidR="00F5305D">
        <w:t>”</w:t>
      </w:r>
      <w:r>
        <w:t xml:space="preserve">; </w:t>
      </w:r>
    </w:p>
    <w:p w:rsidR="008F7147" w:rsidRDefault="008F7147" w:rsidP="00F36E40">
      <w:pPr>
        <w:spacing w:line="360" w:lineRule="auto"/>
        <w:ind w:firstLine="851"/>
        <w:jc w:val="both"/>
      </w:pPr>
      <w:r>
        <w:rPr>
          <w:b/>
          <w:bCs/>
        </w:rPr>
        <w:t xml:space="preserve">RESULTANDO: 1) </w:t>
      </w:r>
      <w:r>
        <w:t>que el MIDES remite proyecto de convenio a suscribir con la referida Asociación, con el objeto de gest</w:t>
      </w:r>
      <w:r w:rsidR="005C585A">
        <w:t xml:space="preserve">ionar un centro nocturno nivel </w:t>
      </w:r>
      <w:r>
        <w:t>I</w:t>
      </w:r>
      <w:r w:rsidR="00DC7A17">
        <w:t xml:space="preserve"> para hombres mayores de 18 años</w:t>
      </w:r>
      <w:r>
        <w:t xml:space="preserve">, con un cupo de 30 plazas y un sobre cupo de 3 </w:t>
      </w:r>
      <w:r w:rsidR="005C585A">
        <w:t>plazas, sito en Avda. Gral. Rivera Nº 2347</w:t>
      </w:r>
      <w:r>
        <w:t xml:space="preserve"> de la ciudad de Montevideo; </w:t>
      </w:r>
    </w:p>
    <w:p w:rsidR="00F36E40" w:rsidRDefault="008F7147" w:rsidP="00F36E40">
      <w:pPr>
        <w:spacing w:line="360" w:lineRule="auto"/>
        <w:ind w:firstLine="2835"/>
        <w:jc w:val="both"/>
      </w:pPr>
      <w:r>
        <w:rPr>
          <w:b/>
          <w:bCs/>
        </w:rPr>
        <w:t xml:space="preserve">2) </w:t>
      </w:r>
      <w:r>
        <w:t xml:space="preserve">que el MIDES se compromete a transferir a la Asociación un monto total de $ </w:t>
      </w:r>
      <w:r w:rsidR="005C585A">
        <w:t>7</w:t>
      </w:r>
      <w:r w:rsidR="00F36E40">
        <w:t>:</w:t>
      </w:r>
      <w:r w:rsidR="005C585A">
        <w:t>484.480</w:t>
      </w:r>
      <w:r>
        <w:t>, el que se hará efectivo en 3 partidas: la primera de $ 2</w:t>
      </w:r>
      <w:r w:rsidR="00F36E40">
        <w:t>:</w:t>
      </w:r>
      <w:r w:rsidR="005C585A">
        <w:t>993.792</w:t>
      </w:r>
      <w:r>
        <w:t xml:space="preserve"> y la segunda y tercera de $ 2</w:t>
      </w:r>
      <w:r w:rsidR="00F36E40">
        <w:t>:</w:t>
      </w:r>
      <w:r w:rsidR="005C585A">
        <w:t>245.344</w:t>
      </w:r>
      <w:r>
        <w:t xml:space="preserve">; pagaderas la primera dentro de los 30 días de suscrito el convenio, la segunda a los 4 meses y la tercera a los 8 meses de suscripción;  </w:t>
      </w:r>
    </w:p>
    <w:p w:rsidR="00F36E40" w:rsidRDefault="008F7147" w:rsidP="00F36E40">
      <w:pPr>
        <w:spacing w:line="360" w:lineRule="auto"/>
        <w:ind w:firstLine="2835"/>
        <w:jc w:val="both"/>
      </w:pPr>
      <w:r>
        <w:rPr>
          <w:b/>
          <w:bCs/>
        </w:rPr>
        <w:t xml:space="preserve">3) </w:t>
      </w:r>
      <w:r>
        <w:t xml:space="preserve">que el Convenio tendrá una vigencia de </w:t>
      </w:r>
      <w:r w:rsidR="00F36E40">
        <w:t xml:space="preserve">              </w:t>
      </w:r>
      <w:r>
        <w:t>12 meses, desde el día 1 de enero de 2016 hasta el 31 de diciembre de 2016;</w:t>
      </w:r>
    </w:p>
    <w:p w:rsidR="00F36E40" w:rsidRDefault="008F7147" w:rsidP="00F36E40">
      <w:pPr>
        <w:spacing w:line="360" w:lineRule="auto"/>
        <w:ind w:firstLine="2835"/>
        <w:jc w:val="both"/>
      </w:pPr>
      <w:r>
        <w:rPr>
          <w:b/>
        </w:rPr>
        <w:t xml:space="preserve">4) </w:t>
      </w:r>
      <w:r>
        <w:t>que se adjunta proyecto de Resolución de la Directora General de Secretaría del MIDES, por la cual resuelve autorizar, previa intervención del Tribunal de Cuentas la suscripción del Convenio referido, imputando la erogación al Programa 401, Proyecto 104, Grupo 5, de la Unidad Ejecuto</w:t>
      </w:r>
      <w:r w:rsidR="00F36E40">
        <w:t>ra 002 del Inciso 15 del MIDES;</w:t>
      </w:r>
    </w:p>
    <w:p w:rsidR="008F7147" w:rsidRDefault="008F7147" w:rsidP="00F36E40">
      <w:pPr>
        <w:spacing w:line="360" w:lineRule="auto"/>
        <w:ind w:firstLine="2835"/>
        <w:jc w:val="both"/>
      </w:pPr>
      <w:r>
        <w:rPr>
          <w:b/>
        </w:rPr>
        <w:t>5)</w:t>
      </w:r>
      <w:r>
        <w:t xml:space="preserve"> que se adjunta documento de </w:t>
      </w:r>
      <w:r w:rsidR="00F36E40">
        <w:t>A</w:t>
      </w:r>
      <w:r>
        <w:t xml:space="preserve">fectación </w:t>
      </w:r>
      <w:r w:rsidR="00F36E40">
        <w:t xml:space="preserve">            </w:t>
      </w:r>
      <w:r>
        <w:t>Nº 00000</w:t>
      </w:r>
      <w:r w:rsidR="00F905AE">
        <w:t>8</w:t>
      </w:r>
      <w:r>
        <w:t xml:space="preserve">, de fecha 19 de enero de 2016, por el cual se imputa la suma de </w:t>
      </w:r>
      <w:r w:rsidR="00F36E40">
        <w:t xml:space="preserve">     </w:t>
      </w:r>
      <w:r>
        <w:lastRenderedPageBreak/>
        <w:t xml:space="preserve">$ </w:t>
      </w:r>
      <w:r w:rsidR="00F905AE">
        <w:t>7</w:t>
      </w:r>
      <w:r w:rsidR="00F36E40">
        <w:t>:</w:t>
      </w:r>
      <w:r w:rsidR="00F905AE">
        <w:t>484.480</w:t>
      </w:r>
      <w:r>
        <w:t>, con cargo al Programa 401, Proyecto 104, Grupo 2, de la Unidad Ejecutora 002 del Inciso 15 del MIDES;</w:t>
      </w:r>
    </w:p>
    <w:p w:rsidR="00F36E40" w:rsidRDefault="008F7147" w:rsidP="00F36E40">
      <w:pPr>
        <w:tabs>
          <w:tab w:val="left" w:pos="1985"/>
        </w:tabs>
        <w:spacing w:line="360" w:lineRule="auto"/>
        <w:ind w:firstLine="851"/>
        <w:jc w:val="both"/>
      </w:pPr>
      <w:r>
        <w:rPr>
          <w:b/>
          <w:bCs/>
        </w:rPr>
        <w:t>CONSIDERANDO: 1)</w:t>
      </w:r>
      <w:r>
        <w:t xml:space="preserve">  que en virtud de lo dispuesto por el </w:t>
      </w:r>
      <w:r w:rsidR="00F36E40">
        <w:t>L</w:t>
      </w:r>
      <w:r>
        <w:t>it</w:t>
      </w:r>
      <w:r w:rsidR="00F36E40">
        <w:t>eral</w:t>
      </w:r>
      <w:r>
        <w:t xml:space="preserve"> B) del </w:t>
      </w:r>
      <w:r w:rsidR="00F36E40">
        <w:t>A</w:t>
      </w:r>
      <w:r>
        <w:t>rt</w:t>
      </w:r>
      <w:r w:rsidR="00F36E40">
        <w:t>ículo</w:t>
      </w:r>
      <w:r>
        <w:t xml:space="preserve"> 9 de la Ley 17.866, al Ministerio de Desarrollo Social le compete “formular, ejecutar, supervisar, coordinar, programar, dar seguimiento y evaluar las políticas, estrategias y planes en las áreas de juventud, mujer y familia, adultos mayores, discapacitados y desarrollo social en general”. Asimismo, de acuerdo con el </w:t>
      </w:r>
      <w:r w:rsidR="00640A6C">
        <w:t>L</w:t>
      </w:r>
      <w:r>
        <w:t>it</w:t>
      </w:r>
      <w:r w:rsidR="00640A6C">
        <w:t>eral</w:t>
      </w:r>
      <w:r>
        <w:t xml:space="preserve"> C) del mencionado </w:t>
      </w:r>
      <w:r w:rsidR="00640A6C">
        <w:t>A</w:t>
      </w:r>
      <w:r>
        <w:t>rtículo, al MIDES le compete coordinar las acciones, planes y programas intersectoriales, implementados por el Poder Ejecutivo para garantizar el pleno ejercicio de los derechos sociales a la alimentación, a la educación, a la salud, a la vivienda, al disfrute de un medio ambiente sano, al trabajo, a la seguridad social y a la no discriminación;</w:t>
      </w:r>
    </w:p>
    <w:p w:rsidR="00F36E40" w:rsidRDefault="008F7147" w:rsidP="00F36E40">
      <w:pPr>
        <w:tabs>
          <w:tab w:val="left" w:pos="1985"/>
        </w:tabs>
        <w:spacing w:line="360" w:lineRule="auto"/>
        <w:ind w:firstLine="3119"/>
        <w:jc w:val="both"/>
      </w:pPr>
      <w:r>
        <w:rPr>
          <w:b/>
        </w:rPr>
        <w:t>2)</w:t>
      </w:r>
      <w:r>
        <w:t xml:space="preserve"> que por otra parte, el </w:t>
      </w:r>
      <w:r w:rsidR="00640A6C">
        <w:t>L</w:t>
      </w:r>
      <w:r>
        <w:t>it</w:t>
      </w:r>
      <w:r w:rsidR="00640A6C">
        <w:t>eral</w:t>
      </w:r>
      <w:r>
        <w:t xml:space="preserve"> I) del </w:t>
      </w:r>
      <w:r w:rsidR="00640A6C">
        <w:t>A</w:t>
      </w:r>
      <w:r>
        <w:t>rt</w:t>
      </w:r>
      <w:r w:rsidR="00640A6C">
        <w:t>ículo</w:t>
      </w:r>
      <w:r>
        <w:t xml:space="preserve"> 9 de la Ley 17.866 establece que compete al MIDES la celebración de convenios bilaterales o multilaterales de cooperación con instituciones públicas y privadas;</w:t>
      </w:r>
    </w:p>
    <w:p w:rsidR="008F7147" w:rsidRPr="00F36E40" w:rsidRDefault="008F7147" w:rsidP="00F36E40">
      <w:pPr>
        <w:tabs>
          <w:tab w:val="left" w:pos="1985"/>
        </w:tabs>
        <w:spacing w:line="360" w:lineRule="auto"/>
        <w:ind w:firstLine="3119"/>
        <w:jc w:val="both"/>
      </w:pPr>
      <w:r>
        <w:rPr>
          <w:b/>
          <w:bCs/>
        </w:rPr>
        <w:t>3)</w:t>
      </w:r>
      <w:r>
        <w:t xml:space="preserve"> que de acuerdo con el monto de la contratación, hubiera correspondido la realización de un el procedimiento competitivo conforme lo dispone el </w:t>
      </w:r>
      <w:r w:rsidR="00640A6C">
        <w:t>A</w:t>
      </w:r>
      <w:r>
        <w:t>rtículo 33 del TOCAF</w:t>
      </w:r>
      <w:r w:rsidR="00DC7A17">
        <w:t xml:space="preserve">, no estando amparada en ninguna de las causales de excepción previsto en el </w:t>
      </w:r>
      <w:r w:rsidR="00640A6C">
        <w:t>L</w:t>
      </w:r>
      <w:r w:rsidR="00DC7A17">
        <w:t xml:space="preserve">iteral C) del mencionado </w:t>
      </w:r>
      <w:r w:rsidR="00640A6C">
        <w:t>A</w:t>
      </w:r>
      <w:r w:rsidR="00DC7A17">
        <w:t>rtículo</w:t>
      </w:r>
      <w:r>
        <w:t>;</w:t>
      </w:r>
      <w:r>
        <w:rPr>
          <w:b/>
        </w:rPr>
        <w:t xml:space="preserve">                            </w:t>
      </w:r>
    </w:p>
    <w:p w:rsidR="008F7147" w:rsidRPr="00F36E40" w:rsidRDefault="008F7147" w:rsidP="00F36E40">
      <w:pPr>
        <w:pStyle w:val="Textoindependiente"/>
        <w:ind w:firstLine="851"/>
      </w:pPr>
      <w:r>
        <w:rPr>
          <w:b/>
          <w:bCs/>
        </w:rPr>
        <w:t xml:space="preserve">ATENTO: </w:t>
      </w:r>
      <w:r>
        <w:t xml:space="preserve">a lo precedentemente expuesto y a lo dispuesto por el Artículo 211 </w:t>
      </w:r>
      <w:r w:rsidR="00640A6C">
        <w:t>l</w:t>
      </w:r>
      <w:bookmarkStart w:id="0" w:name="_GoBack"/>
      <w:bookmarkEnd w:id="0"/>
      <w:r>
        <w:t>iteral B) de la Constitución de la República;</w:t>
      </w:r>
    </w:p>
    <w:p w:rsidR="008F7147" w:rsidRDefault="008F7147" w:rsidP="00F36E40">
      <w:pPr>
        <w:pStyle w:val="Ttulo1"/>
      </w:pPr>
      <w:r>
        <w:t>EL TRIBUNAL ACUERDA</w:t>
      </w:r>
    </w:p>
    <w:p w:rsidR="008F7147" w:rsidRDefault="008F7147" w:rsidP="00F36E40">
      <w:pPr>
        <w:numPr>
          <w:ilvl w:val="0"/>
          <w:numId w:val="1"/>
        </w:numPr>
        <w:tabs>
          <w:tab w:val="left" w:pos="-720"/>
          <w:tab w:val="left" w:pos="284"/>
        </w:tabs>
        <w:suppressAutoHyphens/>
        <w:spacing w:line="360" w:lineRule="auto"/>
        <w:ind w:left="284" w:hanging="284"/>
        <w:jc w:val="both"/>
      </w:pPr>
      <w:r>
        <w:t xml:space="preserve">Observar el gasto, en virtud de lo expuesto en </w:t>
      </w:r>
      <w:r w:rsidR="00DC7A17">
        <w:t>el</w:t>
      </w:r>
      <w:r>
        <w:t xml:space="preserve"> </w:t>
      </w:r>
      <w:r w:rsidR="00DC7A17">
        <w:t>Considerando</w:t>
      </w:r>
      <w:r>
        <w:t xml:space="preserve"> 3) de la presente Resolución;</w:t>
      </w:r>
    </w:p>
    <w:p w:rsidR="008F7147" w:rsidRDefault="008F7147" w:rsidP="00F36E40">
      <w:pPr>
        <w:numPr>
          <w:ilvl w:val="0"/>
          <w:numId w:val="1"/>
        </w:numPr>
        <w:tabs>
          <w:tab w:val="left" w:pos="-720"/>
          <w:tab w:val="left" w:pos="284"/>
        </w:tabs>
        <w:suppressAutoHyphens/>
        <w:spacing w:line="360" w:lineRule="auto"/>
        <w:ind w:left="0" w:firstLine="0"/>
        <w:jc w:val="both"/>
      </w:pPr>
      <w:r>
        <w:t>Devolver las actuaciones</w:t>
      </w:r>
      <w:r w:rsidR="00F36E40">
        <w:t>.</w:t>
      </w:r>
    </w:p>
    <w:p w:rsidR="00F36E40" w:rsidRDefault="00F36E40" w:rsidP="00F36E40">
      <w:pPr>
        <w:tabs>
          <w:tab w:val="left" w:pos="-720"/>
          <w:tab w:val="left" w:pos="284"/>
        </w:tabs>
        <w:suppressAutoHyphens/>
        <w:spacing w:line="360" w:lineRule="auto"/>
        <w:jc w:val="both"/>
      </w:pPr>
    </w:p>
    <w:p w:rsidR="00F36E40" w:rsidRDefault="00F36E40" w:rsidP="00F36E40">
      <w:pPr>
        <w:tabs>
          <w:tab w:val="left" w:pos="-720"/>
          <w:tab w:val="left" w:pos="284"/>
        </w:tabs>
        <w:suppressAutoHyphens/>
        <w:spacing w:line="360" w:lineRule="auto"/>
        <w:jc w:val="both"/>
      </w:pPr>
    </w:p>
    <w:p w:rsidR="00F36E40" w:rsidRDefault="00F36E40" w:rsidP="00F36E40">
      <w:pPr>
        <w:tabs>
          <w:tab w:val="left" w:pos="-720"/>
          <w:tab w:val="left" w:pos="284"/>
        </w:tabs>
        <w:suppressAutoHyphens/>
        <w:spacing w:line="360" w:lineRule="auto"/>
        <w:jc w:val="both"/>
      </w:pPr>
      <w:proofErr w:type="spellStart"/>
      <w:proofErr w:type="gramStart"/>
      <w:r>
        <w:t>bf</w:t>
      </w:r>
      <w:proofErr w:type="spellEnd"/>
      <w:proofErr w:type="gramEnd"/>
    </w:p>
    <w:sectPr w:rsidR="00F36E40" w:rsidSect="00F36E40">
      <w:pgSz w:w="11907" w:h="16840" w:code="9"/>
      <w:pgMar w:top="3402" w:right="1701" w:bottom="1134" w:left="1701" w:header="720" w:footer="720" w:gutter="0"/>
      <w:paperSrc w:first="4" w:other="4"/>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BB2C1B"/>
    <w:multiLevelType w:val="hybridMultilevel"/>
    <w:tmpl w:val="57920756"/>
    <w:lvl w:ilvl="0" w:tplc="AEDEEBF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095"/>
        </w:tabs>
        <w:ind w:left="1095" w:hanging="360"/>
      </w:pPr>
    </w:lvl>
    <w:lvl w:ilvl="2" w:tplc="0C0A001B" w:tentative="1">
      <w:start w:val="1"/>
      <w:numFmt w:val="lowerRoman"/>
      <w:lvlText w:val="%3."/>
      <w:lvlJc w:val="right"/>
      <w:pPr>
        <w:tabs>
          <w:tab w:val="num" w:pos="1815"/>
        </w:tabs>
        <w:ind w:left="1815" w:hanging="180"/>
      </w:pPr>
    </w:lvl>
    <w:lvl w:ilvl="3" w:tplc="0C0A000F" w:tentative="1">
      <w:start w:val="1"/>
      <w:numFmt w:val="decimal"/>
      <w:lvlText w:val="%4."/>
      <w:lvlJc w:val="left"/>
      <w:pPr>
        <w:tabs>
          <w:tab w:val="num" w:pos="2535"/>
        </w:tabs>
        <w:ind w:left="2535" w:hanging="360"/>
      </w:pPr>
    </w:lvl>
    <w:lvl w:ilvl="4" w:tplc="0C0A0019" w:tentative="1">
      <w:start w:val="1"/>
      <w:numFmt w:val="lowerLetter"/>
      <w:lvlText w:val="%5."/>
      <w:lvlJc w:val="left"/>
      <w:pPr>
        <w:tabs>
          <w:tab w:val="num" w:pos="3255"/>
        </w:tabs>
        <w:ind w:left="3255" w:hanging="360"/>
      </w:pPr>
    </w:lvl>
    <w:lvl w:ilvl="5" w:tplc="0C0A001B" w:tentative="1">
      <w:start w:val="1"/>
      <w:numFmt w:val="lowerRoman"/>
      <w:lvlText w:val="%6."/>
      <w:lvlJc w:val="right"/>
      <w:pPr>
        <w:tabs>
          <w:tab w:val="num" w:pos="3975"/>
        </w:tabs>
        <w:ind w:left="3975" w:hanging="180"/>
      </w:pPr>
    </w:lvl>
    <w:lvl w:ilvl="6" w:tplc="0C0A000F" w:tentative="1">
      <w:start w:val="1"/>
      <w:numFmt w:val="decimal"/>
      <w:lvlText w:val="%7."/>
      <w:lvlJc w:val="left"/>
      <w:pPr>
        <w:tabs>
          <w:tab w:val="num" w:pos="4695"/>
        </w:tabs>
        <w:ind w:left="4695" w:hanging="360"/>
      </w:pPr>
    </w:lvl>
    <w:lvl w:ilvl="7" w:tplc="0C0A0019" w:tentative="1">
      <w:start w:val="1"/>
      <w:numFmt w:val="lowerLetter"/>
      <w:lvlText w:val="%8."/>
      <w:lvlJc w:val="left"/>
      <w:pPr>
        <w:tabs>
          <w:tab w:val="num" w:pos="5415"/>
        </w:tabs>
        <w:ind w:left="5415" w:hanging="360"/>
      </w:pPr>
    </w:lvl>
    <w:lvl w:ilvl="8" w:tplc="0C0A001B" w:tentative="1">
      <w:start w:val="1"/>
      <w:numFmt w:val="lowerRoman"/>
      <w:lvlText w:val="%9."/>
      <w:lvlJc w:val="right"/>
      <w:pPr>
        <w:tabs>
          <w:tab w:val="num" w:pos="6135"/>
        </w:tabs>
        <w:ind w:left="61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147"/>
    <w:rsid w:val="00180785"/>
    <w:rsid w:val="00242B5A"/>
    <w:rsid w:val="0029229A"/>
    <w:rsid w:val="005C585A"/>
    <w:rsid w:val="00640A6C"/>
    <w:rsid w:val="006E2224"/>
    <w:rsid w:val="008F7147"/>
    <w:rsid w:val="00DC7A17"/>
    <w:rsid w:val="00F36E40"/>
    <w:rsid w:val="00F5305D"/>
    <w:rsid w:val="00F905A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147"/>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8F7147"/>
    <w:pPr>
      <w:keepNext/>
      <w:tabs>
        <w:tab w:val="left" w:pos="-720"/>
      </w:tabs>
      <w:suppressAutoHyphens/>
      <w:spacing w:line="360" w:lineRule="auto"/>
      <w:jc w:val="center"/>
      <w:outlineLvl w:val="0"/>
    </w:pPr>
    <w:rPr>
      <w:rFonts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F7147"/>
    <w:rPr>
      <w:rFonts w:ascii="Arial" w:eastAsia="Times New Roman" w:hAnsi="Arial" w:cs="Arial"/>
      <w:b/>
      <w:bCs/>
      <w:sz w:val="24"/>
      <w:szCs w:val="24"/>
      <w:lang w:val="es-ES" w:eastAsia="es-ES"/>
    </w:rPr>
  </w:style>
  <w:style w:type="paragraph" w:styleId="Textoindependiente">
    <w:name w:val="Body Text"/>
    <w:basedOn w:val="Normal"/>
    <w:link w:val="TextoindependienteCar"/>
    <w:semiHidden/>
    <w:rsid w:val="008F7147"/>
    <w:pPr>
      <w:spacing w:line="360" w:lineRule="auto"/>
      <w:jc w:val="both"/>
    </w:pPr>
  </w:style>
  <w:style w:type="character" w:customStyle="1" w:styleId="TextoindependienteCar">
    <w:name w:val="Texto independiente Car"/>
    <w:basedOn w:val="Fuentedeprrafopredeter"/>
    <w:link w:val="Textoindependiente"/>
    <w:semiHidden/>
    <w:rsid w:val="008F7147"/>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147"/>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8F7147"/>
    <w:pPr>
      <w:keepNext/>
      <w:tabs>
        <w:tab w:val="left" w:pos="-720"/>
      </w:tabs>
      <w:suppressAutoHyphens/>
      <w:spacing w:line="360" w:lineRule="auto"/>
      <w:jc w:val="center"/>
      <w:outlineLvl w:val="0"/>
    </w:pPr>
    <w:rPr>
      <w:rFonts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F7147"/>
    <w:rPr>
      <w:rFonts w:ascii="Arial" w:eastAsia="Times New Roman" w:hAnsi="Arial" w:cs="Arial"/>
      <w:b/>
      <w:bCs/>
      <w:sz w:val="24"/>
      <w:szCs w:val="24"/>
      <w:lang w:val="es-ES" w:eastAsia="es-ES"/>
    </w:rPr>
  </w:style>
  <w:style w:type="paragraph" w:styleId="Textoindependiente">
    <w:name w:val="Body Text"/>
    <w:basedOn w:val="Normal"/>
    <w:link w:val="TextoindependienteCar"/>
    <w:semiHidden/>
    <w:rsid w:val="008F7147"/>
    <w:pPr>
      <w:spacing w:line="360" w:lineRule="auto"/>
      <w:jc w:val="both"/>
    </w:pPr>
  </w:style>
  <w:style w:type="character" w:customStyle="1" w:styleId="TextoindependienteCar">
    <w:name w:val="Texto independiente Car"/>
    <w:basedOn w:val="Fuentedeprrafopredeter"/>
    <w:link w:val="Textoindependiente"/>
    <w:semiHidden/>
    <w:rsid w:val="008F7147"/>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2716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2</cp:revision>
  <dcterms:created xsi:type="dcterms:W3CDTF">2016-02-11T13:50:00Z</dcterms:created>
  <dcterms:modified xsi:type="dcterms:W3CDTF">2016-02-11T13:50:00Z</dcterms:modified>
</cp:coreProperties>
</file>