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C97" w:rsidRDefault="00811C97">
      <w:pPr>
        <w:spacing w:line="360" w:lineRule="auto"/>
        <w:jc w:val="both"/>
        <w:rPr>
          <w:lang w:val="es-MX"/>
        </w:rPr>
      </w:pPr>
      <w:r>
        <w:rPr>
          <w:lang w:val="es-MX"/>
        </w:rPr>
        <w:t>.</w:t>
      </w:r>
    </w:p>
    <w:p w:rsidR="00B33427" w:rsidRPr="00786EEB" w:rsidRDefault="00B33427" w:rsidP="00786EEB">
      <w:pPr>
        <w:tabs>
          <w:tab w:val="center" w:pos="4253"/>
        </w:tabs>
        <w:suppressAutoHyphens/>
        <w:jc w:val="right"/>
        <w:rPr>
          <w:b/>
          <w:sz w:val="28"/>
          <w:szCs w:val="28"/>
          <w:lang w:val="es-ES_tradnl"/>
        </w:rPr>
      </w:pPr>
      <w:r w:rsidRPr="00786EEB">
        <w:rPr>
          <w:b/>
          <w:sz w:val="28"/>
          <w:szCs w:val="28"/>
          <w:lang w:val="es-ES_tradnl"/>
        </w:rPr>
        <w:t xml:space="preserve">RES. </w:t>
      </w:r>
      <w:r>
        <w:rPr>
          <w:b/>
          <w:sz w:val="28"/>
          <w:szCs w:val="28"/>
          <w:lang w:val="es-ES_tradnl"/>
        </w:rPr>
        <w:t>357</w:t>
      </w:r>
      <w:r w:rsidRPr="00786EEB">
        <w:rPr>
          <w:b/>
          <w:sz w:val="28"/>
          <w:szCs w:val="28"/>
          <w:lang w:val="es-ES_tradnl"/>
        </w:rPr>
        <w:t>/16</w:t>
      </w:r>
    </w:p>
    <w:p w:rsidR="00B33427" w:rsidRDefault="00B33427" w:rsidP="00786EEB">
      <w:pPr>
        <w:tabs>
          <w:tab w:val="center" w:pos="4253"/>
        </w:tabs>
        <w:suppressAutoHyphens/>
        <w:jc w:val="right"/>
        <w:rPr>
          <w:b/>
          <w:lang w:val="es-ES_tradnl"/>
        </w:rPr>
      </w:pPr>
    </w:p>
    <w:p w:rsidR="00B33427" w:rsidRPr="00B33427" w:rsidRDefault="00B33427" w:rsidP="00B33427">
      <w:pPr>
        <w:tabs>
          <w:tab w:val="center" w:pos="4253"/>
        </w:tabs>
        <w:suppressAutoHyphens/>
        <w:jc w:val="center"/>
        <w:rPr>
          <w:b/>
          <w:lang w:val="es-ES_tradnl"/>
        </w:rPr>
      </w:pPr>
      <w:r w:rsidRPr="00B33427">
        <w:rPr>
          <w:b/>
          <w:lang w:val="es-ES_tradnl"/>
        </w:rPr>
        <w:t>RESOLUCION ADOPTADA POR EL</w:t>
      </w:r>
    </w:p>
    <w:p w:rsidR="00B33427" w:rsidRPr="00B33427" w:rsidRDefault="00B33427" w:rsidP="00B33427">
      <w:pPr>
        <w:tabs>
          <w:tab w:val="left" w:pos="-720"/>
        </w:tabs>
        <w:suppressAutoHyphens/>
        <w:jc w:val="center"/>
        <w:rPr>
          <w:b/>
          <w:lang w:val="es-ES_tradnl"/>
        </w:rPr>
      </w:pPr>
    </w:p>
    <w:p w:rsidR="00B33427" w:rsidRPr="00B33427" w:rsidRDefault="00B33427" w:rsidP="00B33427">
      <w:pPr>
        <w:tabs>
          <w:tab w:val="center" w:pos="4253"/>
        </w:tabs>
        <w:suppressAutoHyphens/>
        <w:jc w:val="center"/>
        <w:rPr>
          <w:b/>
          <w:lang w:val="es-ES_tradnl"/>
        </w:rPr>
      </w:pPr>
      <w:r w:rsidRPr="00B33427">
        <w:rPr>
          <w:b/>
          <w:lang w:val="es-ES_tradnl"/>
        </w:rPr>
        <w:t>TRIBUNAL DE CUENTAS</w:t>
      </w:r>
    </w:p>
    <w:p w:rsidR="00B33427" w:rsidRPr="00B33427" w:rsidRDefault="00B33427" w:rsidP="00B33427">
      <w:pPr>
        <w:tabs>
          <w:tab w:val="left" w:pos="-720"/>
        </w:tabs>
        <w:suppressAutoHyphens/>
        <w:jc w:val="center"/>
        <w:rPr>
          <w:b/>
          <w:lang w:val="es-ES_tradnl"/>
        </w:rPr>
      </w:pPr>
    </w:p>
    <w:p w:rsidR="00B33427" w:rsidRPr="00B33427" w:rsidRDefault="00B33427" w:rsidP="00B33427">
      <w:pPr>
        <w:tabs>
          <w:tab w:val="center" w:pos="4253"/>
        </w:tabs>
        <w:suppressAutoHyphens/>
        <w:jc w:val="center"/>
        <w:rPr>
          <w:b/>
          <w:lang w:val="es-ES_tradnl"/>
        </w:rPr>
      </w:pPr>
      <w:r w:rsidRPr="00B33427">
        <w:rPr>
          <w:b/>
          <w:lang w:val="es-ES_tradnl"/>
        </w:rPr>
        <w:t>EN SESION DE FECHA 3 DE FEBRERO DE 2016</w:t>
      </w:r>
    </w:p>
    <w:p w:rsidR="00B33427" w:rsidRPr="00B33427" w:rsidRDefault="00B33427" w:rsidP="00B33427">
      <w:pPr>
        <w:tabs>
          <w:tab w:val="center" w:pos="4253"/>
        </w:tabs>
        <w:suppressAutoHyphens/>
        <w:jc w:val="center"/>
        <w:rPr>
          <w:b/>
          <w:lang w:val="es-ES_tradnl"/>
        </w:rPr>
      </w:pPr>
    </w:p>
    <w:p w:rsidR="00B33427" w:rsidRPr="00B33427" w:rsidRDefault="00B33427" w:rsidP="00B33427">
      <w:pPr>
        <w:spacing w:line="360" w:lineRule="auto"/>
        <w:jc w:val="center"/>
        <w:rPr>
          <w:b/>
          <w:lang w:val="es-MX"/>
        </w:rPr>
      </w:pPr>
      <w:r w:rsidRPr="00FA24D8">
        <w:rPr>
          <w:b/>
          <w:lang w:val="es-UY"/>
        </w:rPr>
        <w:t>(E. E. Nº</w:t>
      </w:r>
      <w:r w:rsidRPr="00B33427">
        <w:rPr>
          <w:b/>
          <w:lang w:val="es-MX"/>
        </w:rPr>
        <w:t>2015-17-1-0009260</w:t>
      </w:r>
      <w:r w:rsidRPr="00FA24D8">
        <w:rPr>
          <w:b/>
          <w:lang w:val="es-UY"/>
        </w:rPr>
        <w:t>, Ent. N°</w:t>
      </w:r>
      <w:r w:rsidRPr="00B33427">
        <w:rPr>
          <w:b/>
          <w:lang w:val="es-MX"/>
        </w:rPr>
        <w:t>7263/15</w:t>
      </w:r>
      <w:r w:rsidRPr="00FA24D8">
        <w:rPr>
          <w:b/>
          <w:lang w:val="es-UY"/>
        </w:rPr>
        <w:t>)</w:t>
      </w:r>
    </w:p>
    <w:p w:rsidR="00B33427" w:rsidRPr="00FA24D8" w:rsidRDefault="00B33427" w:rsidP="00B33427">
      <w:pPr>
        <w:tabs>
          <w:tab w:val="center" w:pos="4253"/>
        </w:tabs>
        <w:suppressAutoHyphens/>
        <w:jc w:val="center"/>
        <w:rPr>
          <w:rFonts w:ascii="Helvetica" w:hAnsi="Helvetica"/>
          <w:b/>
          <w:lang w:val="es-UY"/>
        </w:rPr>
      </w:pPr>
    </w:p>
    <w:p w:rsidR="00811C97" w:rsidRPr="00B33427" w:rsidRDefault="00811C97" w:rsidP="00B33427">
      <w:pPr>
        <w:spacing w:line="360" w:lineRule="auto"/>
        <w:ind w:firstLine="851"/>
        <w:jc w:val="both"/>
        <w:rPr>
          <w:lang w:val="es-MX"/>
        </w:rPr>
      </w:pPr>
      <w:r w:rsidRPr="00B33427">
        <w:rPr>
          <w:b/>
          <w:bCs/>
        </w:rPr>
        <w:t>VISTO:</w:t>
      </w:r>
      <w:r w:rsidRPr="00B33427">
        <w:t xml:space="preserve"> las actuaciones remitidas por  la Administración Nacional de Educación Pública</w:t>
      </w:r>
      <w:r w:rsidRPr="00B33427">
        <w:rPr>
          <w:lang w:val="es-MX"/>
        </w:rPr>
        <w:t xml:space="preserve"> relacionadas con la Licitación Pública</w:t>
      </w:r>
      <w:r w:rsidRPr="00B33427">
        <w:rPr>
          <w:b/>
          <w:bCs/>
          <w:lang w:val="es-MX"/>
        </w:rPr>
        <w:t xml:space="preserve"> </w:t>
      </w:r>
      <w:r w:rsidRPr="00B33427">
        <w:rPr>
          <w:lang w:val="es-MX"/>
        </w:rPr>
        <w:t>Nº 09/2015 para la ejecución de obras de infraestructura en la escuela N° 154 – Peñarol Viejo – Departamento de Montevideo, en el marco del Proyecto financiado con el Préstamo del Banco Internacional de Reconstrucción y Fomento (BIRF) para financiar parcialmente el costo del Proyecto apoyo a la Escuela Pública Uruguaya – PAEPU;</w:t>
      </w:r>
    </w:p>
    <w:p w:rsidR="00811C97" w:rsidRPr="00B33427" w:rsidRDefault="00811C97" w:rsidP="00B33427">
      <w:pPr>
        <w:shd w:val="clear" w:color="auto" w:fill="FFFFFF"/>
        <w:spacing w:line="360" w:lineRule="auto"/>
        <w:ind w:firstLine="851"/>
        <w:jc w:val="both"/>
        <w:rPr>
          <w:lang w:val="es-MX"/>
        </w:rPr>
      </w:pPr>
      <w:r w:rsidRPr="00B33427">
        <w:rPr>
          <w:b/>
          <w:bCs/>
          <w:lang w:val="es-MX"/>
        </w:rPr>
        <w:t>RESULTANDO: 1)</w:t>
      </w:r>
      <w:r w:rsidRPr="00B33427">
        <w:rPr>
          <w:lang w:val="es-MX"/>
        </w:rPr>
        <w:t xml:space="preserve"> que cumplido el requisito legal de publicidad, con fecha 12</w:t>
      </w:r>
      <w:r w:rsidR="006F16AD">
        <w:rPr>
          <w:lang w:val="es-MX"/>
        </w:rPr>
        <w:t>/</w:t>
      </w:r>
      <w:r w:rsidRPr="00B33427">
        <w:rPr>
          <w:lang w:val="es-MX"/>
        </w:rPr>
        <w:t>08</w:t>
      </w:r>
      <w:r w:rsidR="006F16AD">
        <w:rPr>
          <w:lang w:val="es-MX"/>
        </w:rPr>
        <w:t>/</w:t>
      </w:r>
      <w:r w:rsidRPr="00B33427">
        <w:rPr>
          <w:lang w:val="es-MX"/>
        </w:rPr>
        <w:t xml:space="preserve">15, se procedió al </w:t>
      </w:r>
      <w:r w:rsidR="006F16AD">
        <w:rPr>
          <w:lang w:val="es-MX"/>
        </w:rPr>
        <w:t>A</w:t>
      </w:r>
      <w:r w:rsidRPr="00B33427">
        <w:rPr>
          <w:lang w:val="es-MX"/>
        </w:rPr>
        <w:t xml:space="preserve">cto de </w:t>
      </w:r>
      <w:r w:rsidR="006F16AD">
        <w:rPr>
          <w:lang w:val="es-MX"/>
        </w:rPr>
        <w:t>A</w:t>
      </w:r>
      <w:r w:rsidRPr="00B33427">
        <w:rPr>
          <w:lang w:val="es-MX"/>
        </w:rPr>
        <w:t>pertura de las ofertas, al que se presentaron quince firmas: Fabra S.A, Franco Mezzetta S.A, Fedal S.A, Osusa, Lemer S.A, Nebaril S.A, Stiler S.A, Filipiak Ing S.R.L, Raul Clerc S.A, Mta S.A, Conde S.A, Basirey S.A, Pelmon S.A, Qbo S.A, Medina y Possamai Ltda;</w:t>
      </w:r>
    </w:p>
    <w:p w:rsidR="00B33427" w:rsidRDefault="00811C97" w:rsidP="00B33427">
      <w:pPr>
        <w:pStyle w:val="Textoindependiente"/>
        <w:ind w:firstLine="2835"/>
      </w:pPr>
      <w:r w:rsidRPr="00B33427">
        <w:rPr>
          <w:b/>
          <w:bCs/>
        </w:rPr>
        <w:t>2)</w:t>
      </w:r>
      <w:r w:rsidRPr="00B33427">
        <w:t xml:space="preserve"> que según el informe jurídico, cuya fecha no se especifica, la firma Ocusa, de menor precio comparativo,  tiene incumplimientos constatados y documentados en el VECA, se ha encontrado en litigio contra ANEP y se ha ejecutado una garantía de fiel cumplimiento de contrato emitida por el BSE, por l</w:t>
      </w:r>
      <w:r w:rsidR="00B33427">
        <w:t>o cual su oferta fue descartada;</w:t>
      </w:r>
    </w:p>
    <w:p w:rsidR="00B33427" w:rsidRDefault="00811C97" w:rsidP="00B33427">
      <w:pPr>
        <w:pStyle w:val="Textoindependiente"/>
        <w:ind w:firstLine="2835"/>
      </w:pPr>
      <w:r w:rsidRPr="00B33427">
        <w:rPr>
          <w:b/>
          <w:bCs/>
        </w:rPr>
        <w:t>3)</w:t>
      </w:r>
      <w:r w:rsidRPr="00B33427">
        <w:t xml:space="preserve"> que en el mes de noviembre del corriente año, en día sin especificar, el Coordinador de Finanzas y Desembolsos confeccionó un informe técnico de capacidad financiera, según el cual Fabra S.A, que presentó </w:t>
      </w:r>
      <w:r w:rsidRPr="00B33427">
        <w:lastRenderedPageBreak/>
        <w:t>la oferta con el segundo precio más bajo, se encuentra en condiciones financieras de cumplir con el contrato emergente de la licitación de referencia;</w:t>
      </w:r>
    </w:p>
    <w:p w:rsidR="00B33427" w:rsidRDefault="00811C97" w:rsidP="00B33427">
      <w:pPr>
        <w:pStyle w:val="Textoindependiente"/>
        <w:ind w:firstLine="2835"/>
      </w:pPr>
      <w:r w:rsidRPr="00B33427">
        <w:rPr>
          <w:b/>
          <w:bCs/>
        </w:rPr>
        <w:t xml:space="preserve">4) </w:t>
      </w:r>
      <w:r w:rsidRPr="00B33427">
        <w:t>que con fecha 27</w:t>
      </w:r>
      <w:r w:rsidR="006F16AD">
        <w:t>/</w:t>
      </w:r>
      <w:r w:rsidRPr="00B33427">
        <w:t>11</w:t>
      </w:r>
      <w:r w:rsidR="006F16AD">
        <w:t>/</w:t>
      </w:r>
      <w:r w:rsidRPr="00B33427">
        <w:t xml:space="preserve">15, la Comisión Asesora de Adjudicaciones elaboró un informe de las ofertas presentadas y basándose en los estudios jurídico y financiero efectuados, sugirió la adjudicación de la presente </w:t>
      </w:r>
      <w:r w:rsidR="006F16AD">
        <w:t>L</w:t>
      </w:r>
      <w:r w:rsidRPr="00B33427">
        <w:t xml:space="preserve">icitación </w:t>
      </w:r>
      <w:r w:rsidR="006F16AD">
        <w:t>P</w:t>
      </w:r>
      <w:r w:rsidRPr="00B33427">
        <w:t xml:space="preserve">ública a la firma Fabra S.A por un monto total de </w:t>
      </w:r>
      <w:r w:rsidR="006F16AD">
        <w:t xml:space="preserve">               </w:t>
      </w:r>
      <w:r w:rsidRPr="00B33427">
        <w:t xml:space="preserve">$ 36:227.395,51 (con </w:t>
      </w:r>
      <w:r w:rsidR="00B33427">
        <w:t xml:space="preserve">IVA y </w:t>
      </w:r>
      <w:r w:rsidR="006F16AD">
        <w:t>L</w:t>
      </w:r>
      <w:r w:rsidR="00B33427">
        <w:t xml:space="preserve">eyes </w:t>
      </w:r>
      <w:r w:rsidR="006F16AD">
        <w:t>S</w:t>
      </w:r>
      <w:r w:rsidR="00B33427">
        <w:t>ociales incluidos);</w:t>
      </w:r>
    </w:p>
    <w:p w:rsidR="00811C97" w:rsidRPr="00B33427" w:rsidRDefault="00811C97" w:rsidP="00B33427">
      <w:pPr>
        <w:pStyle w:val="Textoindependiente"/>
        <w:ind w:firstLine="2835"/>
      </w:pPr>
      <w:r w:rsidRPr="00B33427">
        <w:rPr>
          <w:b/>
          <w:bCs/>
        </w:rPr>
        <w:t xml:space="preserve">5) </w:t>
      </w:r>
      <w:r w:rsidRPr="00B33427">
        <w:t>que por Resolución N°</w:t>
      </w:r>
      <w:r w:rsidRPr="00B33427">
        <w:rPr>
          <w:b/>
          <w:bCs/>
        </w:rPr>
        <w:t xml:space="preserve"> </w:t>
      </w:r>
      <w:r w:rsidRPr="00B33427">
        <w:t>60, Acta N° 20 de fecha 18</w:t>
      </w:r>
      <w:r w:rsidR="006F16AD">
        <w:t>/</w:t>
      </w:r>
      <w:r w:rsidRPr="00B33427">
        <w:t>12</w:t>
      </w:r>
      <w:r w:rsidR="006F16AD">
        <w:t>/</w:t>
      </w:r>
      <w:r w:rsidRPr="00B33427">
        <w:t>15, el Consejo Directivo Central  dispuso adjudicar, ad referéndum de la intervención del Tribunal de Cuentas de la República, la licitación ,a la empresa Fabra S.A,, de acuerdo al siguiente detalle:</w:t>
      </w:r>
    </w:p>
    <w:p w:rsidR="00811C97" w:rsidRPr="00B33427" w:rsidRDefault="00811C97">
      <w:pPr>
        <w:pStyle w:val="Textoindependiente"/>
      </w:pPr>
    </w:p>
    <w:tbl>
      <w:tblPr>
        <w:tblW w:w="87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8"/>
        <w:gridCol w:w="1450"/>
        <w:gridCol w:w="1458"/>
        <w:gridCol w:w="1458"/>
        <w:gridCol w:w="1496"/>
        <w:gridCol w:w="1455"/>
      </w:tblGrid>
      <w:tr w:rsidR="00811C97">
        <w:trPr>
          <w:trHeight w:val="744"/>
        </w:trPr>
        <w:tc>
          <w:tcPr>
            <w:tcW w:w="1460" w:type="dxa"/>
            <w:vAlign w:val="center"/>
          </w:tcPr>
          <w:p w:rsidR="00811C97" w:rsidRDefault="00811C97">
            <w:pPr>
              <w:pStyle w:val="Textoindependiente"/>
              <w:jc w:val="center"/>
              <w:rPr>
                <w:b/>
                <w:bCs/>
                <w:sz w:val="20"/>
                <w:szCs w:val="20"/>
              </w:rPr>
            </w:pPr>
            <w:r>
              <w:rPr>
                <w:b/>
                <w:bCs/>
                <w:sz w:val="20"/>
                <w:szCs w:val="20"/>
              </w:rPr>
              <w:t>EMPRESA</w:t>
            </w:r>
          </w:p>
        </w:tc>
        <w:tc>
          <w:tcPr>
            <w:tcW w:w="1461" w:type="dxa"/>
            <w:vAlign w:val="center"/>
          </w:tcPr>
          <w:p w:rsidR="00811C97" w:rsidRDefault="00811C97">
            <w:pPr>
              <w:pStyle w:val="Textoindependiente"/>
              <w:jc w:val="center"/>
              <w:rPr>
                <w:b/>
                <w:bCs/>
                <w:sz w:val="20"/>
                <w:szCs w:val="20"/>
              </w:rPr>
            </w:pPr>
            <w:r>
              <w:rPr>
                <w:b/>
                <w:bCs/>
                <w:sz w:val="20"/>
                <w:szCs w:val="20"/>
              </w:rPr>
              <w:t>OFERTA S/IMP $</w:t>
            </w:r>
          </w:p>
        </w:tc>
        <w:tc>
          <w:tcPr>
            <w:tcW w:w="1461" w:type="dxa"/>
            <w:vAlign w:val="center"/>
          </w:tcPr>
          <w:p w:rsidR="00811C97" w:rsidRDefault="00811C97">
            <w:pPr>
              <w:pStyle w:val="Textoindependiente"/>
              <w:jc w:val="center"/>
              <w:rPr>
                <w:b/>
                <w:bCs/>
                <w:sz w:val="20"/>
                <w:szCs w:val="20"/>
              </w:rPr>
            </w:pPr>
            <w:r>
              <w:rPr>
                <w:b/>
                <w:bCs/>
                <w:sz w:val="20"/>
                <w:szCs w:val="20"/>
              </w:rPr>
              <w:t>IVA $</w:t>
            </w:r>
          </w:p>
        </w:tc>
        <w:tc>
          <w:tcPr>
            <w:tcW w:w="1461" w:type="dxa"/>
            <w:vAlign w:val="center"/>
          </w:tcPr>
          <w:p w:rsidR="00811C97" w:rsidRDefault="00811C97">
            <w:pPr>
              <w:pStyle w:val="Textoindependiente"/>
              <w:jc w:val="center"/>
              <w:rPr>
                <w:b/>
                <w:bCs/>
                <w:sz w:val="20"/>
                <w:szCs w:val="20"/>
              </w:rPr>
            </w:pPr>
            <w:r>
              <w:rPr>
                <w:b/>
                <w:bCs/>
                <w:sz w:val="20"/>
                <w:szCs w:val="20"/>
              </w:rPr>
              <w:t>LEYES SOCIALES $</w:t>
            </w:r>
          </w:p>
        </w:tc>
        <w:tc>
          <w:tcPr>
            <w:tcW w:w="1461" w:type="dxa"/>
            <w:vAlign w:val="center"/>
          </w:tcPr>
          <w:p w:rsidR="00811C97" w:rsidRDefault="00811C97">
            <w:pPr>
              <w:pStyle w:val="Textoindependiente"/>
              <w:jc w:val="center"/>
              <w:rPr>
                <w:b/>
                <w:bCs/>
                <w:sz w:val="20"/>
                <w:szCs w:val="20"/>
              </w:rPr>
            </w:pPr>
            <w:r>
              <w:rPr>
                <w:b/>
                <w:bCs/>
                <w:sz w:val="20"/>
                <w:szCs w:val="20"/>
              </w:rPr>
              <w:t>TOTAL OFERTA $</w:t>
            </w:r>
          </w:p>
        </w:tc>
        <w:tc>
          <w:tcPr>
            <w:tcW w:w="1461" w:type="dxa"/>
            <w:vAlign w:val="center"/>
          </w:tcPr>
          <w:p w:rsidR="00811C97" w:rsidRDefault="00811C97">
            <w:pPr>
              <w:pStyle w:val="Textoindependiente"/>
              <w:jc w:val="center"/>
              <w:rPr>
                <w:b/>
                <w:bCs/>
                <w:sz w:val="20"/>
                <w:szCs w:val="20"/>
              </w:rPr>
            </w:pPr>
            <w:r>
              <w:rPr>
                <w:b/>
                <w:bCs/>
                <w:sz w:val="20"/>
                <w:szCs w:val="20"/>
              </w:rPr>
              <w:t>MONTO IMPONIBLE $</w:t>
            </w:r>
          </w:p>
        </w:tc>
      </w:tr>
      <w:tr w:rsidR="00811C97">
        <w:trPr>
          <w:trHeight w:val="744"/>
        </w:trPr>
        <w:tc>
          <w:tcPr>
            <w:tcW w:w="1460" w:type="dxa"/>
            <w:vAlign w:val="center"/>
          </w:tcPr>
          <w:p w:rsidR="00811C97" w:rsidRDefault="00811C97">
            <w:pPr>
              <w:pStyle w:val="Textoindependiente"/>
              <w:jc w:val="center"/>
              <w:rPr>
                <w:b/>
                <w:bCs/>
                <w:sz w:val="20"/>
                <w:szCs w:val="20"/>
              </w:rPr>
            </w:pPr>
            <w:r>
              <w:rPr>
                <w:b/>
                <w:bCs/>
                <w:sz w:val="20"/>
                <w:szCs w:val="20"/>
              </w:rPr>
              <w:t>FABRA S.A</w:t>
            </w:r>
          </w:p>
        </w:tc>
        <w:tc>
          <w:tcPr>
            <w:tcW w:w="1461" w:type="dxa"/>
            <w:vAlign w:val="center"/>
          </w:tcPr>
          <w:p w:rsidR="00811C97" w:rsidRDefault="00811C97">
            <w:pPr>
              <w:pStyle w:val="Textoindependiente"/>
              <w:jc w:val="center"/>
              <w:rPr>
                <w:sz w:val="20"/>
                <w:szCs w:val="20"/>
              </w:rPr>
            </w:pPr>
            <w:r>
              <w:rPr>
                <w:sz w:val="20"/>
                <w:szCs w:val="20"/>
              </w:rPr>
              <w:t>26.737.345</w:t>
            </w:r>
          </w:p>
        </w:tc>
        <w:tc>
          <w:tcPr>
            <w:tcW w:w="1461" w:type="dxa"/>
            <w:vAlign w:val="center"/>
          </w:tcPr>
          <w:p w:rsidR="00811C97" w:rsidRDefault="00811C97">
            <w:pPr>
              <w:pStyle w:val="Textoindependiente"/>
              <w:jc w:val="center"/>
              <w:rPr>
                <w:sz w:val="20"/>
                <w:szCs w:val="20"/>
              </w:rPr>
            </w:pPr>
            <w:r>
              <w:rPr>
                <w:sz w:val="20"/>
                <w:szCs w:val="20"/>
              </w:rPr>
              <w:t>5.882.215,90</w:t>
            </w:r>
          </w:p>
        </w:tc>
        <w:tc>
          <w:tcPr>
            <w:tcW w:w="1461" w:type="dxa"/>
            <w:vAlign w:val="center"/>
          </w:tcPr>
          <w:p w:rsidR="00811C97" w:rsidRDefault="00811C97">
            <w:pPr>
              <w:pStyle w:val="Textoindependiente"/>
              <w:jc w:val="center"/>
              <w:rPr>
                <w:sz w:val="20"/>
                <w:szCs w:val="20"/>
              </w:rPr>
            </w:pPr>
            <w:r>
              <w:rPr>
                <w:sz w:val="20"/>
                <w:szCs w:val="20"/>
              </w:rPr>
              <w:t>3.607.834,61</w:t>
            </w:r>
          </w:p>
        </w:tc>
        <w:tc>
          <w:tcPr>
            <w:tcW w:w="1461" w:type="dxa"/>
            <w:vAlign w:val="center"/>
          </w:tcPr>
          <w:p w:rsidR="00811C97" w:rsidRDefault="00811C97">
            <w:pPr>
              <w:pStyle w:val="Textoindependiente"/>
              <w:jc w:val="center"/>
              <w:rPr>
                <w:sz w:val="20"/>
                <w:szCs w:val="20"/>
              </w:rPr>
            </w:pPr>
            <w:r>
              <w:rPr>
                <w:sz w:val="20"/>
                <w:szCs w:val="20"/>
              </w:rPr>
              <w:t>36.227.395,51</w:t>
            </w:r>
          </w:p>
        </w:tc>
        <w:tc>
          <w:tcPr>
            <w:tcW w:w="1461" w:type="dxa"/>
            <w:vAlign w:val="center"/>
          </w:tcPr>
          <w:p w:rsidR="00811C97" w:rsidRDefault="00811C97">
            <w:pPr>
              <w:pStyle w:val="Textoindependiente"/>
              <w:jc w:val="center"/>
              <w:rPr>
                <w:sz w:val="20"/>
                <w:szCs w:val="20"/>
              </w:rPr>
            </w:pPr>
            <w:r>
              <w:rPr>
                <w:sz w:val="20"/>
                <w:szCs w:val="20"/>
              </w:rPr>
              <w:t>5.567.646</w:t>
            </w:r>
          </w:p>
        </w:tc>
      </w:tr>
    </w:tbl>
    <w:p w:rsidR="00811C97" w:rsidRDefault="00811C97">
      <w:pPr>
        <w:pStyle w:val="Textoindependiente"/>
      </w:pPr>
    </w:p>
    <w:p w:rsidR="00811C97" w:rsidRPr="00B33427" w:rsidRDefault="00811C97">
      <w:pPr>
        <w:pStyle w:val="Textoindependiente"/>
      </w:pPr>
      <w:r w:rsidRPr="00B33427">
        <w:t xml:space="preserve">Asimismo se dispuso que, para la ejecución prevista en el </w:t>
      </w:r>
      <w:r w:rsidR="006F16AD">
        <w:t>E</w:t>
      </w:r>
      <w:r w:rsidRPr="00B33427">
        <w:t>jercicio 2016, será imputado al Proyecto N° 812 del inciso 25, Unidad Ejecutora 01 el siguiente importe: $26.737.345 a la financiación 2.1 (endeudamiento externo);</w:t>
      </w:r>
    </w:p>
    <w:p w:rsidR="00811C97" w:rsidRPr="00B33427" w:rsidRDefault="00811C97" w:rsidP="00B33427">
      <w:pPr>
        <w:shd w:val="clear" w:color="auto" w:fill="FFFFFF"/>
        <w:spacing w:line="360" w:lineRule="auto"/>
        <w:ind w:firstLine="851"/>
        <w:jc w:val="both"/>
      </w:pPr>
      <w:r w:rsidRPr="00B33427">
        <w:rPr>
          <w:b/>
          <w:bCs/>
        </w:rPr>
        <w:t>CONSIDERANDO:</w:t>
      </w:r>
      <w:r w:rsidRPr="00B33427">
        <w:t xml:space="preserve"> </w:t>
      </w:r>
      <w:r w:rsidRPr="00B33427">
        <w:rPr>
          <w:lang w:val="es-MX"/>
        </w:rPr>
        <w:t>que el procedimiento se efectuó en el marco del Proyecto financiado con el Préstamo del Banco Internacional de Reconstrucción y Fomento (BIRF) para financiar parcialmente el costo del Proyecto apoyo a la Escuela Pública Uruguaya – PAEPU,</w:t>
      </w:r>
      <w:r w:rsidRPr="00B33427">
        <w:t xml:space="preserve"> aplicable en razón de lo dispuesto por el </w:t>
      </w:r>
      <w:r w:rsidR="006F16AD">
        <w:t>A</w:t>
      </w:r>
      <w:r w:rsidRPr="00B33427">
        <w:t>rtículo 45 del T.O.C.A.F.;</w:t>
      </w:r>
    </w:p>
    <w:p w:rsidR="00811C97" w:rsidRDefault="00811C97" w:rsidP="00B33427">
      <w:pPr>
        <w:shd w:val="clear" w:color="auto" w:fill="FFFFFF"/>
        <w:spacing w:line="360" w:lineRule="auto"/>
        <w:ind w:firstLine="851"/>
        <w:jc w:val="both"/>
      </w:pPr>
      <w:r w:rsidRPr="00B33427">
        <w:rPr>
          <w:b/>
          <w:bCs/>
        </w:rPr>
        <w:t xml:space="preserve"> ATENTO: </w:t>
      </w:r>
      <w:r w:rsidRPr="00B33427">
        <w:t xml:space="preserve">a lo expuesto y a lo dispuesto por el </w:t>
      </w:r>
      <w:r w:rsidR="006F16AD">
        <w:t>A</w:t>
      </w:r>
      <w:r w:rsidRPr="00B33427">
        <w:t xml:space="preserve">rtículo 211 </w:t>
      </w:r>
      <w:r w:rsidR="006F16AD">
        <w:t>L</w:t>
      </w:r>
      <w:r w:rsidRPr="00B33427">
        <w:t>iteral B) de la Constitución de la República;</w:t>
      </w:r>
    </w:p>
    <w:p w:rsidR="00B33427" w:rsidRDefault="00B33427" w:rsidP="00B33427">
      <w:pPr>
        <w:shd w:val="clear" w:color="auto" w:fill="FFFFFF"/>
        <w:spacing w:line="360" w:lineRule="auto"/>
        <w:ind w:firstLine="851"/>
        <w:jc w:val="both"/>
      </w:pPr>
    </w:p>
    <w:p w:rsidR="00B33427" w:rsidRPr="00B33427" w:rsidRDefault="00B33427" w:rsidP="00B33427">
      <w:pPr>
        <w:shd w:val="clear" w:color="auto" w:fill="FFFFFF"/>
        <w:spacing w:line="360" w:lineRule="auto"/>
        <w:ind w:firstLine="851"/>
        <w:jc w:val="both"/>
      </w:pPr>
    </w:p>
    <w:p w:rsidR="00811C97" w:rsidRPr="00B33427" w:rsidRDefault="00811C97">
      <w:pPr>
        <w:shd w:val="clear" w:color="auto" w:fill="FFFFFF"/>
        <w:spacing w:line="360" w:lineRule="auto"/>
        <w:jc w:val="center"/>
        <w:rPr>
          <w:b/>
          <w:bCs/>
        </w:rPr>
      </w:pPr>
      <w:r w:rsidRPr="00B33427">
        <w:rPr>
          <w:b/>
          <w:bCs/>
        </w:rPr>
        <w:lastRenderedPageBreak/>
        <w:t>EL TRIBUNAL ACUERDA</w:t>
      </w:r>
    </w:p>
    <w:p w:rsidR="00811C97" w:rsidRPr="00B33427" w:rsidRDefault="00811C97" w:rsidP="00B33427">
      <w:pPr>
        <w:numPr>
          <w:ilvl w:val="0"/>
          <w:numId w:val="3"/>
        </w:numPr>
        <w:shd w:val="clear" w:color="auto" w:fill="FFFFFF"/>
        <w:tabs>
          <w:tab w:val="clear" w:pos="720"/>
          <w:tab w:val="num" w:pos="284"/>
        </w:tabs>
        <w:spacing w:line="360" w:lineRule="auto"/>
        <w:ind w:left="284" w:hanging="284"/>
        <w:jc w:val="both"/>
      </w:pPr>
      <w:r w:rsidRPr="00B33427">
        <w:t>Cometer a</w:t>
      </w:r>
      <w:r w:rsidR="00FA24D8">
        <w:t xml:space="preserve"> </w:t>
      </w:r>
      <w:r w:rsidRPr="00B33427">
        <w:t>l</w:t>
      </w:r>
      <w:r w:rsidR="00FA24D8">
        <w:t>a</w:t>
      </w:r>
      <w:r w:rsidRPr="00B33427">
        <w:t xml:space="preserve"> Contador</w:t>
      </w:r>
      <w:r w:rsidR="00FA24D8">
        <w:t>a</w:t>
      </w:r>
      <w:r w:rsidRPr="00B33427">
        <w:t xml:space="preserve"> Delegad</w:t>
      </w:r>
      <w:r w:rsidR="00FA24D8">
        <w:t>a</w:t>
      </w:r>
      <w:bookmarkStart w:id="0" w:name="_GoBack"/>
      <w:bookmarkEnd w:id="0"/>
      <w:r w:rsidRPr="00B33427">
        <w:t xml:space="preserve"> la intervención del gasto previa imputación en el grupo  correspondiente con disponibilidad suficiente;</w:t>
      </w:r>
    </w:p>
    <w:p w:rsidR="00811C97" w:rsidRPr="00B33427" w:rsidRDefault="00811C97" w:rsidP="00B33427">
      <w:pPr>
        <w:numPr>
          <w:ilvl w:val="0"/>
          <w:numId w:val="3"/>
        </w:numPr>
        <w:shd w:val="clear" w:color="auto" w:fill="FFFFFF"/>
        <w:tabs>
          <w:tab w:val="clear" w:pos="720"/>
          <w:tab w:val="num" w:pos="284"/>
        </w:tabs>
        <w:spacing w:line="360" w:lineRule="auto"/>
        <w:ind w:left="284" w:hanging="284"/>
        <w:jc w:val="both"/>
      </w:pPr>
      <w:r w:rsidRPr="00B33427">
        <w:t xml:space="preserve"> Devolver las actuaciones.</w:t>
      </w:r>
    </w:p>
    <w:p w:rsidR="00811C97" w:rsidRDefault="00811C97">
      <w:pPr>
        <w:shd w:val="clear" w:color="auto" w:fill="FFFFFF"/>
        <w:spacing w:line="360" w:lineRule="auto"/>
        <w:jc w:val="both"/>
      </w:pPr>
    </w:p>
    <w:p w:rsidR="00B33427" w:rsidRDefault="00B33427" w:rsidP="00B33427">
      <w:pPr>
        <w:shd w:val="clear" w:color="auto" w:fill="FFFFFF"/>
        <w:spacing w:line="360" w:lineRule="auto"/>
        <w:jc w:val="both"/>
      </w:pPr>
    </w:p>
    <w:p w:rsidR="00811C97" w:rsidRDefault="00B33427">
      <w:pPr>
        <w:shd w:val="clear" w:color="auto" w:fill="FFFFFF"/>
        <w:spacing w:line="360" w:lineRule="auto"/>
        <w:jc w:val="both"/>
      </w:pPr>
      <w:r>
        <w:t>bf</w:t>
      </w:r>
      <w:r w:rsidR="00811C97">
        <w:tab/>
      </w:r>
      <w:r w:rsidR="00811C97">
        <w:tab/>
      </w:r>
      <w:r w:rsidR="00811C97">
        <w:tab/>
      </w:r>
      <w:r w:rsidR="00811C97">
        <w:tab/>
      </w:r>
      <w:r w:rsidR="00811C97">
        <w:tab/>
      </w:r>
      <w:r w:rsidR="00811C97">
        <w:tab/>
        <w:t>.</w:t>
      </w:r>
    </w:p>
    <w:sectPr w:rsidR="00811C97" w:rsidSect="00D93EE3">
      <w:footerReference w:type="default" r:id="rId8"/>
      <w:pgSz w:w="11907" w:h="16840" w:code="9"/>
      <w:pgMar w:top="3402" w:right="1701" w:bottom="1134"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C97" w:rsidRDefault="00811C97">
      <w:pPr>
        <w:rPr>
          <w:rFonts w:ascii="Times New Roman" w:hAnsi="Times New Roman" w:cs="Times New Roman"/>
        </w:rPr>
      </w:pPr>
      <w:r>
        <w:rPr>
          <w:rFonts w:ascii="Times New Roman" w:hAnsi="Times New Roman" w:cs="Times New Roman"/>
        </w:rPr>
        <w:separator/>
      </w:r>
    </w:p>
  </w:endnote>
  <w:endnote w:type="continuationSeparator" w:id="0">
    <w:p w:rsidR="00811C97" w:rsidRDefault="00811C97">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C97" w:rsidRDefault="00811C97">
    <w:pPr>
      <w:pStyle w:val="Piedepgina"/>
      <w:framePr w:wrap="auto"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A24D8">
      <w:rPr>
        <w:rStyle w:val="Nmerodepgina"/>
        <w:noProof/>
      </w:rPr>
      <w:t>3</w:t>
    </w:r>
    <w:r>
      <w:rPr>
        <w:rStyle w:val="Nmerodepgina"/>
      </w:rPr>
      <w:fldChar w:fldCharType="end"/>
    </w:r>
  </w:p>
  <w:p w:rsidR="00811C97" w:rsidRDefault="00811C97">
    <w:pPr>
      <w:pStyle w:val="Piedepgin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C97" w:rsidRDefault="00811C97">
      <w:pPr>
        <w:rPr>
          <w:rFonts w:ascii="Times New Roman" w:hAnsi="Times New Roman" w:cs="Times New Roman"/>
        </w:rPr>
      </w:pPr>
      <w:r>
        <w:rPr>
          <w:rFonts w:ascii="Times New Roman" w:hAnsi="Times New Roman" w:cs="Times New Roman"/>
        </w:rPr>
        <w:separator/>
      </w:r>
    </w:p>
  </w:footnote>
  <w:footnote w:type="continuationSeparator" w:id="0">
    <w:p w:rsidR="00811C97" w:rsidRDefault="00811C97">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B5032"/>
    <w:multiLevelType w:val="hybridMultilevel"/>
    <w:tmpl w:val="1D8A788C"/>
    <w:lvl w:ilvl="0" w:tplc="0C0A0011">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430B3D21"/>
    <w:multiLevelType w:val="hybridMultilevel"/>
    <w:tmpl w:val="6A7484F8"/>
    <w:lvl w:ilvl="0" w:tplc="C6CAD9B6">
      <w:start w:val="1"/>
      <w:numFmt w:val="decimal"/>
      <w:lvlText w:val="%1)"/>
      <w:lvlJc w:val="left"/>
      <w:pPr>
        <w:tabs>
          <w:tab w:val="num" w:pos="720"/>
        </w:tabs>
        <w:ind w:left="720" w:hanging="360"/>
      </w:pPr>
      <w:rPr>
        <w:rFonts w:ascii="Arial" w:hAnsi="Arial" w:cs="Arial" w:hint="default"/>
        <w:b/>
        <w:bCs/>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49BE3FEE"/>
    <w:multiLevelType w:val="hybridMultilevel"/>
    <w:tmpl w:val="25347FF4"/>
    <w:lvl w:ilvl="0" w:tplc="0C0A0017">
      <w:start w:val="1"/>
      <w:numFmt w:val="lowerLetter"/>
      <w:lvlText w:val="%1)"/>
      <w:lvlJc w:val="left"/>
      <w:pPr>
        <w:tabs>
          <w:tab w:val="num" w:pos="720"/>
        </w:tabs>
        <w:ind w:left="720" w:hanging="360"/>
      </w:pPr>
      <w:rPr>
        <w:rFonts w:ascii="Times New Roman" w:hAnsi="Times New Roman" w:cs="Times New Roman" w:hint="default"/>
      </w:rPr>
    </w:lvl>
    <w:lvl w:ilvl="1" w:tplc="1FFE9F88">
      <w:start w:val="1"/>
      <w:numFmt w:val="bullet"/>
      <w:lvlText w:val=""/>
      <w:lvlJc w:val="left"/>
      <w:pPr>
        <w:tabs>
          <w:tab w:val="num" w:pos="1440"/>
        </w:tabs>
        <w:ind w:left="1440" w:hanging="360"/>
      </w:pPr>
      <w:rPr>
        <w:rFonts w:ascii="Symbol" w:eastAsia="Times New Roman" w:hAnsi="Symbol" w:hint="default"/>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6B417195"/>
    <w:multiLevelType w:val="hybridMultilevel"/>
    <w:tmpl w:val="D9FE843C"/>
    <w:lvl w:ilvl="0" w:tplc="0C0A0017">
      <w:start w:val="1"/>
      <w:numFmt w:val="lowerLetter"/>
      <w:lvlText w:val="%1)"/>
      <w:lvlJc w:val="left"/>
      <w:pPr>
        <w:tabs>
          <w:tab w:val="num" w:pos="720"/>
        </w:tabs>
        <w:ind w:left="720" w:hanging="360"/>
      </w:pPr>
      <w:rPr>
        <w:rFonts w:ascii="Times New Roman" w:hAnsi="Times New Roman" w:cs="Times New Roman" w:hint="default"/>
      </w:rPr>
    </w:lvl>
    <w:lvl w:ilvl="1" w:tplc="84181792">
      <w:start w:val="1"/>
      <w:numFmt w:val="bullet"/>
      <w:lvlText w:val="-"/>
      <w:lvlJc w:val="left"/>
      <w:pPr>
        <w:tabs>
          <w:tab w:val="num" w:pos="1440"/>
        </w:tabs>
        <w:ind w:left="1440" w:hanging="360"/>
      </w:pPr>
      <w:rPr>
        <w:rFonts w:ascii="Times New Roman" w:eastAsia="Times New Roman" w:hAnsi="Times New Roman" w:hint="default"/>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C97"/>
    <w:rsid w:val="00073824"/>
    <w:rsid w:val="006F16AD"/>
    <w:rsid w:val="00811C97"/>
    <w:rsid w:val="00B33427"/>
    <w:rsid w:val="00CE6719"/>
    <w:rsid w:val="00D93EE3"/>
    <w:rsid w:val="00FA2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1">
    <w:name w:val="heading 1"/>
    <w:basedOn w:val="Normal"/>
    <w:next w:val="Normal"/>
    <w:link w:val="Ttulo1Car"/>
    <w:uiPriority w:val="99"/>
    <w:qFormat/>
    <w:pPr>
      <w:keepNext/>
      <w:spacing w:line="360" w:lineRule="auto"/>
      <w:jc w:val="both"/>
      <w:outlineLvl w:val="0"/>
    </w:pPr>
    <w:rPr>
      <w:b/>
      <w:bCs/>
      <w:lang w:val="es-MX"/>
    </w:rPr>
  </w:style>
  <w:style w:type="paragraph" w:styleId="Ttulo2">
    <w:name w:val="heading 2"/>
    <w:basedOn w:val="Normal"/>
    <w:next w:val="Normal"/>
    <w:link w:val="Ttulo2Car"/>
    <w:uiPriority w:val="99"/>
    <w:qFormat/>
    <w:pPr>
      <w:keepNext/>
      <w:shd w:val="clear" w:color="auto" w:fill="FFFFFF"/>
      <w:spacing w:line="360" w:lineRule="auto"/>
      <w:jc w:val="both"/>
      <w:outlineLvl w:val="1"/>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hAnsi="Arial" w:cs="Arial"/>
      <w:b/>
      <w:bCs/>
      <w:sz w:val="20"/>
      <w:szCs w:val="20"/>
      <w:lang w:val="es-MX" w:eastAsia="es-ES"/>
    </w:rPr>
  </w:style>
  <w:style w:type="character" w:customStyle="1" w:styleId="Ttulo2Car">
    <w:name w:val="Título 2 Car"/>
    <w:basedOn w:val="Fuentedeprrafopredeter"/>
    <w:link w:val="Ttulo2"/>
    <w:uiPriority w:val="99"/>
    <w:rPr>
      <w:rFonts w:ascii="Arial" w:hAnsi="Arial" w:cs="Arial"/>
      <w:i/>
      <w:iCs/>
      <w:sz w:val="20"/>
      <w:szCs w:val="20"/>
      <w:shd w:val="clear" w:color="auto" w:fill="FFFFFF"/>
      <w:lang w:val="es-ES" w:eastAsia="es-ES"/>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basedOn w:val="Fuentedeprrafopredeter"/>
    <w:link w:val="Piedepgina"/>
    <w:uiPriority w:val="99"/>
    <w:rPr>
      <w:rFonts w:ascii="Arial" w:hAnsi="Arial" w:cs="Arial"/>
      <w:sz w:val="20"/>
      <w:szCs w:val="20"/>
      <w:lang w:val="es-ES" w:eastAsia="es-ES"/>
    </w:rPr>
  </w:style>
  <w:style w:type="character" w:styleId="Nmerodepgina">
    <w:name w:val="page number"/>
    <w:basedOn w:val="Fuentedeprrafopredeter"/>
    <w:uiPriority w:val="99"/>
    <w:rPr>
      <w:rFonts w:ascii="Times New Roman" w:hAnsi="Times New Roman" w:cs="Times New Roman"/>
    </w:rPr>
  </w:style>
  <w:style w:type="paragraph" w:styleId="Ttulo">
    <w:name w:val="Title"/>
    <w:basedOn w:val="Normal"/>
    <w:link w:val="TtuloCar"/>
    <w:uiPriority w:val="99"/>
    <w:qFormat/>
    <w:pPr>
      <w:spacing w:line="360" w:lineRule="auto"/>
      <w:jc w:val="center"/>
    </w:pPr>
    <w:rPr>
      <w:b/>
      <w:bCs/>
      <w:u w:val="single"/>
      <w:lang w:val="es-MX"/>
    </w:rPr>
  </w:style>
  <w:style w:type="character" w:customStyle="1" w:styleId="TtuloCar">
    <w:name w:val="Título Car"/>
    <w:basedOn w:val="Fuentedeprrafopredeter"/>
    <w:link w:val="Ttulo"/>
    <w:uiPriority w:val="99"/>
    <w:rPr>
      <w:rFonts w:ascii="Arial" w:hAnsi="Arial" w:cs="Arial"/>
      <w:b/>
      <w:bCs/>
      <w:sz w:val="20"/>
      <w:szCs w:val="20"/>
      <w:u w:val="single"/>
      <w:lang w:val="es-MX" w:eastAsia="es-ES"/>
    </w:rPr>
  </w:style>
  <w:style w:type="paragraph" w:styleId="Textoindependiente">
    <w:name w:val="Body Text"/>
    <w:basedOn w:val="Normal"/>
    <w:link w:val="TextoindependienteCar"/>
    <w:uiPriority w:val="99"/>
    <w:pPr>
      <w:spacing w:line="360" w:lineRule="auto"/>
      <w:jc w:val="both"/>
    </w:pPr>
    <w:rPr>
      <w:lang w:val="es-MX"/>
    </w:rPr>
  </w:style>
  <w:style w:type="character" w:customStyle="1" w:styleId="TextoindependienteCar">
    <w:name w:val="Texto independiente Car"/>
    <w:basedOn w:val="Fuentedeprrafopredeter"/>
    <w:link w:val="Textoindependiente"/>
    <w:uiPriority w:val="99"/>
    <w:rPr>
      <w:rFonts w:ascii="Arial" w:hAnsi="Arial" w:cs="Arial"/>
      <w:sz w:val="20"/>
      <w:szCs w:val="20"/>
      <w:lang w:val="es-MX" w:eastAsia="es-ES"/>
    </w:rPr>
  </w:style>
  <w:style w:type="paragraph" w:styleId="HTMLconformatoprevio">
    <w:name w:val="HTML Preformatted"/>
    <w:basedOn w:val="Normal"/>
    <w:link w:val="HTMLconformatoprevio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Pr>
      <w:rFonts w:ascii="Arial Unicode MS" w:eastAsia="Arial Unicode MS" w:hAnsi="Arial Unicode MS" w:cs="Arial Unicode M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1">
    <w:name w:val="heading 1"/>
    <w:basedOn w:val="Normal"/>
    <w:next w:val="Normal"/>
    <w:link w:val="Ttulo1Car"/>
    <w:uiPriority w:val="99"/>
    <w:qFormat/>
    <w:pPr>
      <w:keepNext/>
      <w:spacing w:line="360" w:lineRule="auto"/>
      <w:jc w:val="both"/>
      <w:outlineLvl w:val="0"/>
    </w:pPr>
    <w:rPr>
      <w:b/>
      <w:bCs/>
      <w:lang w:val="es-MX"/>
    </w:rPr>
  </w:style>
  <w:style w:type="paragraph" w:styleId="Ttulo2">
    <w:name w:val="heading 2"/>
    <w:basedOn w:val="Normal"/>
    <w:next w:val="Normal"/>
    <w:link w:val="Ttulo2Car"/>
    <w:uiPriority w:val="99"/>
    <w:qFormat/>
    <w:pPr>
      <w:keepNext/>
      <w:shd w:val="clear" w:color="auto" w:fill="FFFFFF"/>
      <w:spacing w:line="360" w:lineRule="auto"/>
      <w:jc w:val="both"/>
      <w:outlineLvl w:val="1"/>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hAnsi="Arial" w:cs="Arial"/>
      <w:b/>
      <w:bCs/>
      <w:sz w:val="20"/>
      <w:szCs w:val="20"/>
      <w:lang w:val="es-MX" w:eastAsia="es-ES"/>
    </w:rPr>
  </w:style>
  <w:style w:type="character" w:customStyle="1" w:styleId="Ttulo2Car">
    <w:name w:val="Título 2 Car"/>
    <w:basedOn w:val="Fuentedeprrafopredeter"/>
    <w:link w:val="Ttulo2"/>
    <w:uiPriority w:val="99"/>
    <w:rPr>
      <w:rFonts w:ascii="Arial" w:hAnsi="Arial" w:cs="Arial"/>
      <w:i/>
      <w:iCs/>
      <w:sz w:val="20"/>
      <w:szCs w:val="20"/>
      <w:shd w:val="clear" w:color="auto" w:fill="FFFFFF"/>
      <w:lang w:val="es-ES" w:eastAsia="es-ES"/>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basedOn w:val="Fuentedeprrafopredeter"/>
    <w:link w:val="Piedepgina"/>
    <w:uiPriority w:val="99"/>
    <w:rPr>
      <w:rFonts w:ascii="Arial" w:hAnsi="Arial" w:cs="Arial"/>
      <w:sz w:val="20"/>
      <w:szCs w:val="20"/>
      <w:lang w:val="es-ES" w:eastAsia="es-ES"/>
    </w:rPr>
  </w:style>
  <w:style w:type="character" w:styleId="Nmerodepgina">
    <w:name w:val="page number"/>
    <w:basedOn w:val="Fuentedeprrafopredeter"/>
    <w:uiPriority w:val="99"/>
    <w:rPr>
      <w:rFonts w:ascii="Times New Roman" w:hAnsi="Times New Roman" w:cs="Times New Roman"/>
    </w:rPr>
  </w:style>
  <w:style w:type="paragraph" w:styleId="Ttulo">
    <w:name w:val="Title"/>
    <w:basedOn w:val="Normal"/>
    <w:link w:val="TtuloCar"/>
    <w:uiPriority w:val="99"/>
    <w:qFormat/>
    <w:pPr>
      <w:spacing w:line="360" w:lineRule="auto"/>
      <w:jc w:val="center"/>
    </w:pPr>
    <w:rPr>
      <w:b/>
      <w:bCs/>
      <w:u w:val="single"/>
      <w:lang w:val="es-MX"/>
    </w:rPr>
  </w:style>
  <w:style w:type="character" w:customStyle="1" w:styleId="TtuloCar">
    <w:name w:val="Título Car"/>
    <w:basedOn w:val="Fuentedeprrafopredeter"/>
    <w:link w:val="Ttulo"/>
    <w:uiPriority w:val="99"/>
    <w:rPr>
      <w:rFonts w:ascii="Arial" w:hAnsi="Arial" w:cs="Arial"/>
      <w:b/>
      <w:bCs/>
      <w:sz w:val="20"/>
      <w:szCs w:val="20"/>
      <w:u w:val="single"/>
      <w:lang w:val="es-MX" w:eastAsia="es-ES"/>
    </w:rPr>
  </w:style>
  <w:style w:type="paragraph" w:styleId="Textoindependiente">
    <w:name w:val="Body Text"/>
    <w:basedOn w:val="Normal"/>
    <w:link w:val="TextoindependienteCar"/>
    <w:uiPriority w:val="99"/>
    <w:pPr>
      <w:spacing w:line="360" w:lineRule="auto"/>
      <w:jc w:val="both"/>
    </w:pPr>
    <w:rPr>
      <w:lang w:val="es-MX"/>
    </w:rPr>
  </w:style>
  <w:style w:type="character" w:customStyle="1" w:styleId="TextoindependienteCar">
    <w:name w:val="Texto independiente Car"/>
    <w:basedOn w:val="Fuentedeprrafopredeter"/>
    <w:link w:val="Textoindependiente"/>
    <w:uiPriority w:val="99"/>
    <w:rPr>
      <w:rFonts w:ascii="Arial" w:hAnsi="Arial" w:cs="Arial"/>
      <w:sz w:val="20"/>
      <w:szCs w:val="20"/>
      <w:lang w:val="es-MX" w:eastAsia="es-ES"/>
    </w:rPr>
  </w:style>
  <w:style w:type="paragraph" w:styleId="HTMLconformatoprevio">
    <w:name w:val="HTML Preformatted"/>
    <w:basedOn w:val="Normal"/>
    <w:link w:val="HTMLconformatoprevio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Pr>
      <w:rFonts w:ascii="Arial Unicode MS" w:eastAsia="Arial Unicode MS" w:hAnsi="Arial Unicode MS" w:cs="Arial Unicode M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2762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Tribunal de Cuentas</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tribunal1</cp:lastModifiedBy>
  <cp:revision>2</cp:revision>
  <cp:lastPrinted>2016-02-10T13:59:00Z</cp:lastPrinted>
  <dcterms:created xsi:type="dcterms:W3CDTF">2016-02-11T11:47:00Z</dcterms:created>
  <dcterms:modified xsi:type="dcterms:W3CDTF">2016-02-11T11:47:00Z</dcterms:modified>
</cp:coreProperties>
</file>