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E0" w:rsidRPr="00786EEB" w:rsidRDefault="00F842E0" w:rsidP="00F842E0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525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F842E0" w:rsidRDefault="00F842E0" w:rsidP="00F842E0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F842E0" w:rsidRPr="00762B34" w:rsidRDefault="00F842E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F842E0" w:rsidRPr="00762B34" w:rsidRDefault="00F842E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842E0" w:rsidRPr="00762B34" w:rsidRDefault="00F842E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F842E0" w:rsidRPr="00762B34" w:rsidRDefault="00F842E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842E0" w:rsidRPr="00762B34" w:rsidRDefault="00F842E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 </w:t>
      </w:r>
      <w:r>
        <w:rPr>
          <w:rFonts w:cs="Arial"/>
          <w:b/>
          <w:lang w:val="es-ES_tradnl"/>
        </w:rPr>
        <w:t>17 DE FEBRERO</w:t>
      </w:r>
      <w:r w:rsidRPr="00762B34">
        <w:rPr>
          <w:rFonts w:cs="Arial"/>
          <w:b/>
          <w:lang w:val="es-ES_tradnl"/>
        </w:rPr>
        <w:t xml:space="preserve">  DE 2016</w:t>
      </w:r>
    </w:p>
    <w:p w:rsidR="00F842E0" w:rsidRPr="00762B34" w:rsidRDefault="00F842E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F842E0" w:rsidRPr="00762B34" w:rsidRDefault="00F842E0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 w:rsidR="00046A03">
        <w:rPr>
          <w:rFonts w:cs="Arial"/>
          <w:b/>
          <w:lang w:val="en-US"/>
        </w:rPr>
        <w:t>2015-17-1-0006251</w:t>
      </w:r>
      <w:r w:rsidRPr="00762B34">
        <w:rPr>
          <w:rFonts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cs="Arial"/>
          <w:b/>
          <w:lang w:val="en-US"/>
        </w:rPr>
        <w:t>Ent</w:t>
      </w:r>
      <w:proofErr w:type="spellEnd"/>
      <w:proofErr w:type="gramEnd"/>
      <w:r w:rsidRPr="00762B34">
        <w:rPr>
          <w:rFonts w:cs="Arial"/>
          <w:b/>
          <w:lang w:val="en-US"/>
        </w:rPr>
        <w:t>. N°</w:t>
      </w:r>
      <w:r w:rsidR="00046A03">
        <w:rPr>
          <w:rFonts w:cs="Arial"/>
          <w:b/>
          <w:lang w:val="en-US"/>
        </w:rPr>
        <w:t xml:space="preserve"> 165/16</w:t>
      </w:r>
      <w:r w:rsidRPr="00762B34">
        <w:rPr>
          <w:rFonts w:cs="Arial"/>
          <w:b/>
          <w:lang w:val="en-US"/>
        </w:rPr>
        <w:t>)</w:t>
      </w:r>
    </w:p>
    <w:p w:rsidR="00CC7442" w:rsidRDefault="00CC7442" w:rsidP="00CC7442">
      <w:pPr>
        <w:spacing w:line="360" w:lineRule="auto"/>
        <w:jc w:val="both"/>
        <w:rPr>
          <w:rFonts w:cs="Arial"/>
          <w:b/>
          <w:lang w:val="es-MX"/>
        </w:rPr>
      </w:pPr>
    </w:p>
    <w:p w:rsidR="00CC7442" w:rsidRPr="00A33708" w:rsidRDefault="00CC7442" w:rsidP="00046A0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VISTO:</w:t>
      </w:r>
      <w:r w:rsidR="00046A03">
        <w:rPr>
          <w:rFonts w:cs="Arial"/>
          <w:lang w:val="es-MX"/>
        </w:rPr>
        <w:t xml:space="preserve"> las</w:t>
      </w:r>
      <w:r>
        <w:rPr>
          <w:rFonts w:cs="Arial"/>
          <w:lang w:val="es-MX"/>
        </w:rPr>
        <w:t xml:space="preserve"> actuaciones remitidas por la </w:t>
      </w:r>
      <w:r>
        <w:rPr>
          <w:rFonts w:cs="Arial"/>
          <w:bCs/>
          <w:lang w:val="es-MX"/>
        </w:rPr>
        <w:t xml:space="preserve">Administración Nacional de Educación Pública relacionadas con la reiteración del gasto derivado de la </w:t>
      </w:r>
      <w:r w:rsidRPr="00DD1C0A">
        <w:rPr>
          <w:rFonts w:cs="Arial"/>
          <w:lang w:val="es-MX"/>
        </w:rPr>
        <w:t xml:space="preserve">Licitación Pública Nº </w:t>
      </w:r>
      <w:r>
        <w:rPr>
          <w:rFonts w:cs="Arial"/>
          <w:lang w:val="es-MX"/>
        </w:rPr>
        <w:t>4/15</w:t>
      </w:r>
      <w:r w:rsidR="00483FDF" w:rsidRPr="00483FDF">
        <w:rPr>
          <w:rFonts w:cs="Arial"/>
          <w:lang w:val="es-MX"/>
        </w:rPr>
        <w:t xml:space="preserve"> </w:t>
      </w:r>
      <w:r w:rsidR="00483FDF">
        <w:rPr>
          <w:rFonts w:cs="Arial"/>
          <w:lang w:val="es-MX"/>
        </w:rPr>
        <w:t>del Consejo de Educación Inicial y Primaria</w:t>
      </w:r>
      <w:r w:rsidR="00E41442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para obras de reforma en </w:t>
      </w:r>
      <w:r w:rsidR="00483FDF">
        <w:rPr>
          <w:rFonts w:cs="Arial"/>
          <w:lang w:val="es-MX"/>
        </w:rPr>
        <w:t>la Escuela N° 207 de Montevideo</w:t>
      </w:r>
      <w:r>
        <w:rPr>
          <w:rFonts w:cs="Arial"/>
          <w:lang w:val="es-MX"/>
        </w:rPr>
        <w:t>;</w:t>
      </w:r>
    </w:p>
    <w:p w:rsidR="00CC7442" w:rsidRPr="00FC23E1" w:rsidRDefault="00CC7442" w:rsidP="00046A03">
      <w:pPr>
        <w:spacing w:line="360" w:lineRule="auto"/>
        <w:ind w:firstLine="851"/>
        <w:jc w:val="both"/>
        <w:rPr>
          <w:bCs/>
        </w:rPr>
      </w:pPr>
      <w:r>
        <w:rPr>
          <w:rFonts w:cs="Arial"/>
          <w:b/>
          <w:lang w:val="es-MX"/>
        </w:rPr>
        <w:t>RESULTANDO: 1)</w:t>
      </w:r>
      <w:r>
        <w:rPr>
          <w:rFonts w:cs="Arial"/>
          <w:lang w:val="es-MX"/>
        </w:rPr>
        <w:t xml:space="preserve"> </w:t>
      </w:r>
      <w:r>
        <w:rPr>
          <w:color w:val="000000"/>
        </w:rPr>
        <w:t xml:space="preserve">que por Resolución N° 23, Acta N° 69 de fecha 02.09.15, </w:t>
      </w:r>
      <w:r w:rsidR="00046A03">
        <w:rPr>
          <w:color w:val="000000"/>
        </w:rPr>
        <w:t xml:space="preserve"> </w:t>
      </w:r>
      <w:r>
        <w:rPr>
          <w:color w:val="000000"/>
        </w:rPr>
        <w:t xml:space="preserve">se </w:t>
      </w:r>
      <w:r w:rsidR="00046A03">
        <w:rPr>
          <w:color w:val="000000"/>
        </w:rPr>
        <w:t xml:space="preserve"> </w:t>
      </w:r>
      <w:r>
        <w:rPr>
          <w:color w:val="000000"/>
        </w:rPr>
        <w:t xml:space="preserve">adjudicó </w:t>
      </w:r>
      <w:r w:rsidR="00046A03">
        <w:rPr>
          <w:color w:val="000000"/>
        </w:rPr>
        <w:t xml:space="preserve">  </w:t>
      </w:r>
      <w:r>
        <w:rPr>
          <w:color w:val="000000"/>
        </w:rPr>
        <w:t>dicha</w:t>
      </w:r>
      <w:r w:rsidR="00046A03">
        <w:rPr>
          <w:color w:val="000000"/>
        </w:rPr>
        <w:t xml:space="preserve"> </w:t>
      </w:r>
      <w:r>
        <w:rPr>
          <w:color w:val="000000"/>
        </w:rPr>
        <w:t xml:space="preserve"> obra </w:t>
      </w:r>
      <w:r w:rsidR="00046A03">
        <w:rPr>
          <w:color w:val="000000"/>
        </w:rPr>
        <w:t xml:space="preserve">  </w:t>
      </w:r>
      <w:r>
        <w:rPr>
          <w:color w:val="000000"/>
        </w:rPr>
        <w:t xml:space="preserve">a </w:t>
      </w:r>
      <w:r w:rsidR="00046A03">
        <w:rPr>
          <w:color w:val="000000"/>
        </w:rPr>
        <w:t xml:space="preserve">  </w:t>
      </w:r>
      <w:r>
        <w:rPr>
          <w:color w:val="000000"/>
        </w:rPr>
        <w:t xml:space="preserve">Nuevos </w:t>
      </w:r>
      <w:r w:rsidR="00046A03">
        <w:rPr>
          <w:color w:val="000000"/>
        </w:rPr>
        <w:t xml:space="preserve">  </w:t>
      </w:r>
      <w:r>
        <w:rPr>
          <w:color w:val="000000"/>
        </w:rPr>
        <w:t xml:space="preserve">Tonos </w:t>
      </w:r>
      <w:r w:rsidR="00046A03">
        <w:rPr>
          <w:color w:val="000000"/>
        </w:rPr>
        <w:t xml:space="preserve"> </w:t>
      </w:r>
      <w:r>
        <w:rPr>
          <w:color w:val="000000"/>
        </w:rPr>
        <w:t>S.A por un monto de $</w:t>
      </w:r>
      <w:r w:rsidR="00046A03">
        <w:rPr>
          <w:color w:val="000000"/>
        </w:rPr>
        <w:t xml:space="preserve"> </w:t>
      </w:r>
      <w:r>
        <w:rPr>
          <w:color w:val="000000"/>
        </w:rPr>
        <w:t>11:364.737 por concepto de obr</w:t>
      </w:r>
      <w:r w:rsidR="00046A03">
        <w:rPr>
          <w:color w:val="000000"/>
        </w:rPr>
        <w:t>a prevista, imprevistos, IVA y Leyes S</w:t>
      </w:r>
      <w:r>
        <w:rPr>
          <w:color w:val="000000"/>
        </w:rPr>
        <w:t>ociales;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</w:t>
      </w:r>
    </w:p>
    <w:p w:rsidR="00CC7442" w:rsidRDefault="00046A03" w:rsidP="00046A03">
      <w:pPr>
        <w:pStyle w:val="Textoindependiente"/>
        <w:ind w:firstLine="2694"/>
      </w:pPr>
      <w:r>
        <w:t xml:space="preserve"> </w:t>
      </w:r>
      <w:r w:rsidR="00CC7442">
        <w:rPr>
          <w:b/>
        </w:rPr>
        <w:t>2)</w:t>
      </w:r>
      <w:r>
        <w:t xml:space="preserve"> que en S</w:t>
      </w:r>
      <w:r w:rsidR="00CC7442">
        <w:t xml:space="preserve">esión de fecha 07.10.15 este Tribunal acordó observar el gasto debido a que no surge de las actuaciones que se hubiera llevado a cabo el control de inscripción de los oferentes en el RUPE, y </w:t>
      </w:r>
      <w:r w:rsidR="00483FDF">
        <w:t xml:space="preserve">a </w:t>
      </w:r>
      <w:r w:rsidR="00080AD7">
        <w:t>que el A</w:t>
      </w:r>
      <w:r w:rsidR="00CC7442">
        <w:t>rtículo 10.1 del Pliego de Condiciones Particulare</w:t>
      </w:r>
      <w:r w:rsidR="00080AD7">
        <w:t>s vulnera el A</w:t>
      </w:r>
      <w:r w:rsidR="005460EF">
        <w:t>rtículo 48 del TOCAF</w:t>
      </w:r>
      <w:r w:rsidR="00483FDF">
        <w:t xml:space="preserve"> ya que</w:t>
      </w:r>
      <w:r w:rsidR="00E41442">
        <w:t xml:space="preserve"> la</w:t>
      </w:r>
      <w:r w:rsidR="00483FDF">
        <w:t xml:space="preserve"> documentación exigida no está directamente vinculada a la consideración del objeto de la contratación </w:t>
      </w:r>
      <w:r w:rsidR="008E6CA3">
        <w:t>o</w:t>
      </w:r>
      <w:r w:rsidR="00483FDF">
        <w:t xml:space="preserve"> a la evaluación de la oferta, correspondiendo únicamente al adjudicatario la carga administrativa de demostrar que está en condiciones formales de contratar</w:t>
      </w:r>
      <w:r w:rsidR="005460EF">
        <w:t>;</w:t>
      </w:r>
    </w:p>
    <w:p w:rsidR="005460EF" w:rsidRPr="005460EF" w:rsidRDefault="00080AD7" w:rsidP="00080AD7">
      <w:pPr>
        <w:pStyle w:val="Textoindependiente"/>
        <w:ind w:firstLine="2694"/>
      </w:pPr>
      <w:r>
        <w:t xml:space="preserve"> </w:t>
      </w:r>
      <w:r w:rsidR="005460EF" w:rsidRPr="005460EF">
        <w:rPr>
          <w:b/>
        </w:rPr>
        <w:t>3)</w:t>
      </w:r>
      <w:r w:rsidR="005460EF">
        <w:rPr>
          <w:b/>
        </w:rPr>
        <w:t xml:space="preserve"> </w:t>
      </w:r>
      <w:r w:rsidR="005460EF">
        <w:t>que por Resolución N° 47 Acta ext. N° 20 del 18.12.15 el Consejo Directivo Central dispuso reiterar el gasto argumentando que la Unidad Letrada no comparte la posición de este Tribunal, se</w:t>
      </w:r>
      <w:r>
        <w:t>ñalando que lo requerido en el A</w:t>
      </w:r>
      <w:r w:rsidR="005460EF">
        <w:t>rtículo 10.1 del Pliego de Condiciones Particulares es necesario para controlar el cumplimiento de las condiciones para ofertar;</w:t>
      </w:r>
    </w:p>
    <w:p w:rsidR="00CC7442" w:rsidRDefault="00CC7442" w:rsidP="00046A03">
      <w:pPr>
        <w:pStyle w:val="Textoindependiente"/>
        <w:ind w:firstLine="851"/>
      </w:pPr>
      <w:r w:rsidRPr="005A5B0B">
        <w:rPr>
          <w:b/>
        </w:rPr>
        <w:lastRenderedPageBreak/>
        <w:t xml:space="preserve">CONSIDERANDO: </w:t>
      </w:r>
      <w:r w:rsidRPr="005A5B0B">
        <w:t xml:space="preserve">que </w:t>
      </w:r>
      <w:r>
        <w:t xml:space="preserve">sin perjuicio de </w:t>
      </w:r>
      <w:r w:rsidRPr="005A5B0B">
        <w:t>la argumentación esgrimida</w:t>
      </w:r>
      <w:r>
        <w:t xml:space="preserve">, se mantiene incambiada la </w:t>
      </w:r>
      <w:r w:rsidRPr="005A5B0B">
        <w:t>causal que ameritó la observación oportunamente ef</w:t>
      </w:r>
      <w:r>
        <w:t>ectuada;</w:t>
      </w:r>
      <w:r w:rsidRPr="005A5B0B">
        <w:t xml:space="preserve"> </w:t>
      </w:r>
    </w:p>
    <w:p w:rsidR="00CC7442" w:rsidRPr="005A5B0B" w:rsidRDefault="00CC7442" w:rsidP="00046A03">
      <w:pPr>
        <w:tabs>
          <w:tab w:val="left" w:pos="7485"/>
        </w:tabs>
        <w:spacing w:line="360" w:lineRule="auto"/>
        <w:ind w:firstLine="851"/>
        <w:jc w:val="both"/>
        <w:rPr>
          <w:bCs/>
        </w:rPr>
      </w:pPr>
      <w:r w:rsidRPr="005A5B0B">
        <w:rPr>
          <w:b/>
          <w:lang w:val="es-MX"/>
        </w:rPr>
        <w:t>ATENTO:</w:t>
      </w:r>
      <w:r w:rsidRPr="005A5B0B">
        <w:rPr>
          <w:lang w:val="es-MX"/>
        </w:rPr>
        <w:t xml:space="preserve"> a lo ex</w:t>
      </w:r>
      <w:r w:rsidR="00080AD7">
        <w:rPr>
          <w:lang w:val="es-MX"/>
        </w:rPr>
        <w:t>puesto y a lo dispuesto por el Artículo 211 L</w:t>
      </w:r>
      <w:r w:rsidRPr="005A5B0B">
        <w:rPr>
          <w:lang w:val="es-MX"/>
        </w:rPr>
        <w:t>iteral B) de la Constitución de la República:</w:t>
      </w:r>
    </w:p>
    <w:p w:rsidR="00CC7442" w:rsidRPr="005A5B0B" w:rsidRDefault="00CC7442" w:rsidP="00CC7442">
      <w:pPr>
        <w:jc w:val="both"/>
      </w:pPr>
    </w:p>
    <w:p w:rsidR="00CC7442" w:rsidRPr="005A5B0B" w:rsidRDefault="00046A03" w:rsidP="00046A03">
      <w:pPr>
        <w:jc w:val="center"/>
        <w:rPr>
          <w:b/>
          <w:lang w:val="es-MX"/>
        </w:rPr>
      </w:pPr>
      <w:r>
        <w:rPr>
          <w:b/>
          <w:lang w:val="es-MX"/>
        </w:rPr>
        <w:t>EL TRIBUNAL ACUERDA</w:t>
      </w:r>
    </w:p>
    <w:p w:rsidR="00CC7442" w:rsidRPr="005A5B0B" w:rsidRDefault="00CC7442" w:rsidP="00CC7442">
      <w:pPr>
        <w:keepNext/>
        <w:widowControl w:val="0"/>
        <w:numPr>
          <w:ilvl w:val="0"/>
          <w:numId w:val="1"/>
        </w:numPr>
        <w:suppressAutoHyphens/>
        <w:snapToGrid w:val="0"/>
        <w:spacing w:line="360" w:lineRule="auto"/>
        <w:ind w:right="284"/>
        <w:jc w:val="both"/>
        <w:outlineLvl w:val="6"/>
        <w:rPr>
          <w:rFonts w:cs="Arial"/>
          <w:snapToGrid w:val="0"/>
          <w:spacing w:val="-3"/>
          <w:lang w:val="es-ES_tradnl"/>
        </w:rPr>
      </w:pPr>
      <w:r w:rsidRPr="005A5B0B">
        <w:rPr>
          <w:rFonts w:cs="Arial"/>
          <w:snapToGrid w:val="0"/>
          <w:spacing w:val="-3"/>
          <w:lang w:val="es-MX"/>
        </w:rPr>
        <w:t xml:space="preserve">Mantener la observación formulada con fecha </w:t>
      </w:r>
      <w:r w:rsidR="005460EF">
        <w:rPr>
          <w:rFonts w:cs="Arial"/>
          <w:snapToGrid w:val="0"/>
          <w:spacing w:val="-3"/>
          <w:lang w:val="es-MX"/>
        </w:rPr>
        <w:t>07.10.15</w:t>
      </w:r>
      <w:r w:rsidRPr="005A5B0B">
        <w:rPr>
          <w:rFonts w:cs="Arial"/>
          <w:snapToGrid w:val="0"/>
          <w:spacing w:val="-3"/>
          <w:lang w:val="es-ES_tradnl"/>
        </w:rPr>
        <w:t>.</w:t>
      </w:r>
    </w:p>
    <w:p w:rsidR="008E6CA3" w:rsidRDefault="008E6CA3" w:rsidP="00CC7442">
      <w:pPr>
        <w:keepNext/>
        <w:widowControl w:val="0"/>
        <w:numPr>
          <w:ilvl w:val="0"/>
          <w:numId w:val="1"/>
        </w:numPr>
        <w:suppressAutoHyphens/>
        <w:snapToGrid w:val="0"/>
        <w:spacing w:line="360" w:lineRule="auto"/>
        <w:ind w:right="284"/>
        <w:jc w:val="both"/>
        <w:outlineLvl w:val="6"/>
        <w:rPr>
          <w:rFonts w:cs="Arial"/>
          <w:snapToGrid w:val="0"/>
          <w:spacing w:val="-3"/>
          <w:lang w:val="es-ES_tradnl"/>
        </w:rPr>
      </w:pPr>
      <w:r>
        <w:rPr>
          <w:rFonts w:cs="Arial"/>
          <w:snapToGrid w:val="0"/>
          <w:spacing w:val="-3"/>
          <w:lang w:val="es-ES_tradnl"/>
        </w:rPr>
        <w:t>D</w:t>
      </w:r>
      <w:r w:rsidR="00080AD7">
        <w:rPr>
          <w:rFonts w:cs="Arial"/>
          <w:snapToGrid w:val="0"/>
          <w:spacing w:val="-3"/>
          <w:lang w:val="es-ES_tradnl"/>
        </w:rPr>
        <w:t>ar cuenta a la Asamblea General, y</w:t>
      </w:r>
    </w:p>
    <w:p w:rsidR="00CC7442" w:rsidRPr="005A5B0B" w:rsidRDefault="00CC7442" w:rsidP="00CC7442">
      <w:pPr>
        <w:keepNext/>
        <w:widowControl w:val="0"/>
        <w:numPr>
          <w:ilvl w:val="0"/>
          <w:numId w:val="1"/>
        </w:numPr>
        <w:suppressAutoHyphens/>
        <w:snapToGrid w:val="0"/>
        <w:spacing w:line="360" w:lineRule="auto"/>
        <w:ind w:right="284"/>
        <w:jc w:val="both"/>
        <w:outlineLvl w:val="6"/>
        <w:rPr>
          <w:rFonts w:cs="Arial"/>
          <w:snapToGrid w:val="0"/>
          <w:spacing w:val="-3"/>
          <w:lang w:val="es-ES_tradnl"/>
        </w:rPr>
      </w:pPr>
      <w:r w:rsidRPr="005A5B0B">
        <w:rPr>
          <w:rFonts w:cs="Arial"/>
          <w:snapToGrid w:val="0"/>
          <w:spacing w:val="-3"/>
          <w:lang w:val="es-ES_tradnl"/>
        </w:rPr>
        <w:t>Comunicar a la Administración actuante.</w:t>
      </w:r>
    </w:p>
    <w:p w:rsidR="00CC7442" w:rsidRPr="005A5B0B" w:rsidRDefault="00CC7442" w:rsidP="00CC7442">
      <w:pPr>
        <w:ind w:left="375"/>
      </w:pPr>
    </w:p>
    <w:p w:rsidR="00CC7442" w:rsidRPr="005A5B0B" w:rsidRDefault="00CC7442" w:rsidP="00CC7442">
      <w:pPr>
        <w:ind w:left="375"/>
      </w:pPr>
    </w:p>
    <w:p w:rsidR="00D5272C" w:rsidRDefault="00080AD7">
      <w:r>
        <w:t>mp</w:t>
      </w:r>
      <w:bookmarkStart w:id="0" w:name="_GoBack"/>
      <w:bookmarkEnd w:id="0"/>
    </w:p>
    <w:sectPr w:rsidR="00D5272C" w:rsidSect="00F842E0">
      <w:footerReference w:type="even" r:id="rId8"/>
      <w:footerReference w:type="default" r:id="rId9"/>
      <w:pgSz w:w="11907" w:h="16840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03" w:rsidRDefault="00046A03">
      <w:r>
        <w:separator/>
      </w:r>
    </w:p>
  </w:endnote>
  <w:endnote w:type="continuationSeparator" w:id="0">
    <w:p w:rsidR="00046A03" w:rsidRDefault="0004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03" w:rsidRDefault="00046A0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6A03" w:rsidRDefault="00046A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03" w:rsidRDefault="00046A0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0AD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46A03" w:rsidRDefault="00046A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03" w:rsidRDefault="00046A03">
      <w:r>
        <w:separator/>
      </w:r>
    </w:p>
  </w:footnote>
  <w:footnote w:type="continuationSeparator" w:id="0">
    <w:p w:rsidR="00046A03" w:rsidRDefault="00046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D6C"/>
    <w:multiLevelType w:val="hybridMultilevel"/>
    <w:tmpl w:val="7848FF96"/>
    <w:lvl w:ilvl="0" w:tplc="FE84C60C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42"/>
    <w:rsid w:val="00046A03"/>
    <w:rsid w:val="00080AD7"/>
    <w:rsid w:val="000A10AE"/>
    <w:rsid w:val="001D4BF6"/>
    <w:rsid w:val="003B05AA"/>
    <w:rsid w:val="00483FDF"/>
    <w:rsid w:val="005460EF"/>
    <w:rsid w:val="008E6CA3"/>
    <w:rsid w:val="00A20EE0"/>
    <w:rsid w:val="00C03AD7"/>
    <w:rsid w:val="00CC7442"/>
    <w:rsid w:val="00D5272C"/>
    <w:rsid w:val="00E41442"/>
    <w:rsid w:val="00F8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4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CC74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CC7442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CC7442"/>
  </w:style>
  <w:style w:type="paragraph" w:styleId="Textoindependiente">
    <w:name w:val="Body Text"/>
    <w:basedOn w:val="Normal"/>
    <w:link w:val="TextoindependienteCar"/>
    <w:semiHidden/>
    <w:rsid w:val="00CC7442"/>
    <w:pPr>
      <w:spacing w:line="360" w:lineRule="auto"/>
      <w:jc w:val="both"/>
    </w:pPr>
    <w:rPr>
      <w:rFonts w:cs="Arial"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C7442"/>
    <w:rPr>
      <w:rFonts w:ascii="Arial" w:eastAsia="Times New Roman" w:hAnsi="Arial" w:cs="Arial"/>
      <w:bCs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4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CC74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CC7442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CC7442"/>
  </w:style>
  <w:style w:type="paragraph" w:styleId="Textoindependiente">
    <w:name w:val="Body Text"/>
    <w:basedOn w:val="Normal"/>
    <w:link w:val="TextoindependienteCar"/>
    <w:semiHidden/>
    <w:rsid w:val="00CC7442"/>
    <w:pPr>
      <w:spacing w:line="360" w:lineRule="auto"/>
      <w:jc w:val="both"/>
    </w:pPr>
    <w:rPr>
      <w:rFonts w:cs="Arial"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C7442"/>
    <w:rPr>
      <w:rFonts w:ascii="Arial" w:eastAsia="Times New Roman" w:hAnsi="Arial" w:cs="Arial"/>
      <w:bCs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2016-01-15T12:49:00Z</cp:lastPrinted>
  <dcterms:created xsi:type="dcterms:W3CDTF">2016-02-19T14:43:00Z</dcterms:created>
  <dcterms:modified xsi:type="dcterms:W3CDTF">2016-02-19T15:48:00Z</dcterms:modified>
</cp:coreProperties>
</file>