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897" w:rsidRPr="00786EEB" w:rsidRDefault="00D93897" w:rsidP="00A87EC5">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409</w:t>
      </w:r>
      <w:r w:rsidRPr="00786EEB">
        <w:rPr>
          <w:rFonts w:ascii="Arial" w:hAnsi="Arial" w:cs="Arial"/>
          <w:b/>
          <w:sz w:val="28"/>
          <w:szCs w:val="28"/>
          <w:lang w:val="es-ES_tradnl"/>
        </w:rPr>
        <w:t>/16</w:t>
      </w:r>
    </w:p>
    <w:p w:rsidR="00D93897" w:rsidRDefault="00D93897" w:rsidP="00A87EC5">
      <w:pPr>
        <w:tabs>
          <w:tab w:val="center" w:pos="4253"/>
        </w:tabs>
        <w:suppressAutoHyphens/>
        <w:jc w:val="right"/>
        <w:rPr>
          <w:rFonts w:ascii="Arial" w:hAnsi="Arial" w:cs="Arial"/>
          <w:b/>
          <w:lang w:val="es-ES_tradnl"/>
        </w:rPr>
      </w:pPr>
    </w:p>
    <w:p w:rsidR="00D93897" w:rsidRPr="00D93897" w:rsidRDefault="00D93897" w:rsidP="00D93897">
      <w:pPr>
        <w:tabs>
          <w:tab w:val="center" w:pos="4253"/>
        </w:tabs>
        <w:suppressAutoHyphens/>
        <w:spacing w:after="0" w:line="240" w:lineRule="auto"/>
        <w:jc w:val="center"/>
        <w:rPr>
          <w:rFonts w:ascii="Arial" w:hAnsi="Arial" w:cs="Arial"/>
          <w:b/>
          <w:sz w:val="24"/>
          <w:szCs w:val="24"/>
          <w:lang w:val="es-ES_tradnl"/>
        </w:rPr>
      </w:pPr>
      <w:r w:rsidRPr="00D93897">
        <w:rPr>
          <w:rFonts w:ascii="Arial" w:hAnsi="Arial" w:cs="Arial"/>
          <w:b/>
          <w:sz w:val="24"/>
          <w:szCs w:val="24"/>
          <w:lang w:val="es-ES_tradnl"/>
        </w:rPr>
        <w:t>RESOLUCION ADOPTADA POR EL</w:t>
      </w:r>
    </w:p>
    <w:p w:rsidR="00D93897" w:rsidRPr="00D93897" w:rsidRDefault="00D93897" w:rsidP="00D93897">
      <w:pPr>
        <w:tabs>
          <w:tab w:val="left" w:pos="-720"/>
        </w:tabs>
        <w:suppressAutoHyphens/>
        <w:spacing w:after="0" w:line="240" w:lineRule="auto"/>
        <w:jc w:val="center"/>
        <w:rPr>
          <w:rFonts w:ascii="Arial" w:hAnsi="Arial" w:cs="Arial"/>
          <w:b/>
          <w:sz w:val="24"/>
          <w:szCs w:val="24"/>
          <w:lang w:val="es-ES_tradnl"/>
        </w:rPr>
      </w:pPr>
    </w:p>
    <w:p w:rsidR="00D93897" w:rsidRPr="00D93897" w:rsidRDefault="00D93897" w:rsidP="00D93897">
      <w:pPr>
        <w:tabs>
          <w:tab w:val="center" w:pos="4253"/>
        </w:tabs>
        <w:suppressAutoHyphens/>
        <w:spacing w:after="0" w:line="240" w:lineRule="auto"/>
        <w:jc w:val="center"/>
        <w:rPr>
          <w:rFonts w:ascii="Arial" w:hAnsi="Arial" w:cs="Arial"/>
          <w:b/>
          <w:sz w:val="24"/>
          <w:szCs w:val="24"/>
          <w:lang w:val="es-ES_tradnl"/>
        </w:rPr>
      </w:pPr>
      <w:r w:rsidRPr="00D93897">
        <w:rPr>
          <w:rFonts w:ascii="Arial" w:hAnsi="Arial" w:cs="Arial"/>
          <w:b/>
          <w:sz w:val="24"/>
          <w:szCs w:val="24"/>
          <w:lang w:val="es-ES_tradnl"/>
        </w:rPr>
        <w:t>TRIBUNAL DE CUENTAS</w:t>
      </w:r>
    </w:p>
    <w:p w:rsidR="00D93897" w:rsidRPr="00D93897" w:rsidRDefault="00D93897" w:rsidP="00D93897">
      <w:pPr>
        <w:tabs>
          <w:tab w:val="left" w:pos="-720"/>
        </w:tabs>
        <w:suppressAutoHyphens/>
        <w:spacing w:after="0" w:line="240" w:lineRule="auto"/>
        <w:jc w:val="center"/>
        <w:rPr>
          <w:rFonts w:ascii="Arial" w:hAnsi="Arial" w:cs="Arial"/>
          <w:b/>
          <w:sz w:val="24"/>
          <w:szCs w:val="24"/>
          <w:lang w:val="es-ES_tradnl"/>
        </w:rPr>
      </w:pPr>
    </w:p>
    <w:p w:rsidR="00D93897" w:rsidRPr="00D93897" w:rsidRDefault="00D93897" w:rsidP="00D93897">
      <w:pPr>
        <w:tabs>
          <w:tab w:val="center" w:pos="4253"/>
        </w:tabs>
        <w:suppressAutoHyphens/>
        <w:spacing w:after="0" w:line="240" w:lineRule="auto"/>
        <w:jc w:val="center"/>
        <w:rPr>
          <w:rFonts w:ascii="Arial" w:hAnsi="Arial" w:cs="Arial"/>
          <w:b/>
          <w:sz w:val="24"/>
          <w:szCs w:val="24"/>
          <w:lang w:val="es-ES_tradnl"/>
        </w:rPr>
      </w:pPr>
      <w:r w:rsidRPr="00D93897">
        <w:rPr>
          <w:rFonts w:ascii="Arial" w:hAnsi="Arial" w:cs="Arial"/>
          <w:b/>
          <w:sz w:val="24"/>
          <w:szCs w:val="24"/>
          <w:lang w:val="es-ES_tradnl"/>
        </w:rPr>
        <w:t>EN SESION DE FECHA 17 DE FEBRERO DE 2016</w:t>
      </w:r>
    </w:p>
    <w:p w:rsidR="00D93897" w:rsidRPr="00D93897" w:rsidRDefault="00D93897" w:rsidP="00D93897">
      <w:pPr>
        <w:tabs>
          <w:tab w:val="center" w:pos="4253"/>
        </w:tabs>
        <w:suppressAutoHyphens/>
        <w:spacing w:after="0" w:line="240" w:lineRule="auto"/>
        <w:jc w:val="center"/>
        <w:rPr>
          <w:rFonts w:ascii="Arial" w:hAnsi="Arial" w:cs="Arial"/>
          <w:b/>
          <w:sz w:val="24"/>
          <w:szCs w:val="24"/>
          <w:lang w:val="es-ES_tradnl"/>
        </w:rPr>
      </w:pPr>
    </w:p>
    <w:p w:rsidR="00D93897" w:rsidRPr="00A87EC5" w:rsidRDefault="00D93897" w:rsidP="00D93897">
      <w:pPr>
        <w:tabs>
          <w:tab w:val="center" w:pos="4253"/>
        </w:tabs>
        <w:suppressAutoHyphens/>
        <w:spacing w:after="0" w:line="240" w:lineRule="auto"/>
        <w:jc w:val="center"/>
        <w:rPr>
          <w:rFonts w:ascii="Arial" w:hAnsi="Arial" w:cs="Arial"/>
          <w:b/>
          <w:sz w:val="24"/>
          <w:szCs w:val="24"/>
        </w:rPr>
      </w:pPr>
      <w:r w:rsidRPr="00A87EC5">
        <w:rPr>
          <w:rFonts w:ascii="Arial" w:hAnsi="Arial" w:cs="Arial"/>
          <w:b/>
          <w:sz w:val="24"/>
          <w:szCs w:val="24"/>
        </w:rPr>
        <w:t xml:space="preserve">(E. E. Nº 2015-17-1-0004253, </w:t>
      </w:r>
      <w:proofErr w:type="spellStart"/>
      <w:r w:rsidRPr="00A87EC5">
        <w:rPr>
          <w:rFonts w:ascii="Arial" w:hAnsi="Arial" w:cs="Arial"/>
          <w:b/>
          <w:sz w:val="24"/>
          <w:szCs w:val="24"/>
        </w:rPr>
        <w:t>Ent</w:t>
      </w:r>
      <w:proofErr w:type="spellEnd"/>
      <w:r w:rsidRPr="00A87EC5">
        <w:rPr>
          <w:rFonts w:ascii="Arial" w:hAnsi="Arial" w:cs="Arial"/>
          <w:b/>
          <w:sz w:val="24"/>
          <w:szCs w:val="24"/>
        </w:rPr>
        <w:t>. N° 3466/15)</w:t>
      </w:r>
    </w:p>
    <w:p w:rsidR="00F83552" w:rsidRDefault="00F83552" w:rsidP="00F83552">
      <w:pPr>
        <w:autoSpaceDE w:val="0"/>
        <w:autoSpaceDN w:val="0"/>
        <w:adjustRightInd w:val="0"/>
        <w:spacing w:after="0" w:line="360" w:lineRule="auto"/>
        <w:rPr>
          <w:rFonts w:ascii="Arial" w:hAnsi="Arial" w:cs="Arial"/>
          <w:b/>
          <w:bCs/>
          <w:sz w:val="24"/>
          <w:szCs w:val="24"/>
        </w:rPr>
      </w:pPr>
    </w:p>
    <w:p w:rsidR="00D93897" w:rsidRDefault="00F83552" w:rsidP="00D93897">
      <w:pPr>
        <w:autoSpaceDE w:val="0"/>
        <w:autoSpaceDN w:val="0"/>
        <w:adjustRightInd w:val="0"/>
        <w:spacing w:after="0" w:line="360" w:lineRule="auto"/>
        <w:ind w:firstLine="851"/>
        <w:jc w:val="both"/>
        <w:rPr>
          <w:rFonts w:ascii="Arial" w:hAnsi="Arial" w:cs="Arial"/>
          <w:sz w:val="24"/>
          <w:szCs w:val="24"/>
        </w:rPr>
      </w:pPr>
      <w:r w:rsidRPr="00F83552">
        <w:rPr>
          <w:rFonts w:ascii="Arial" w:hAnsi="Arial" w:cs="Arial"/>
          <w:b/>
          <w:bCs/>
          <w:sz w:val="24"/>
          <w:szCs w:val="24"/>
        </w:rPr>
        <w:t xml:space="preserve">VISTO: </w:t>
      </w:r>
      <w:r w:rsidRPr="00F83552">
        <w:rPr>
          <w:rFonts w:ascii="Arial" w:hAnsi="Arial" w:cs="Arial"/>
          <w:sz w:val="24"/>
          <w:szCs w:val="24"/>
        </w:rPr>
        <w:t>la Rendición de Cuentas y Balance de Ejecución Presupuestal de la</w:t>
      </w:r>
      <w:r w:rsidR="009D79DA">
        <w:rPr>
          <w:rFonts w:ascii="Arial" w:hAnsi="Arial" w:cs="Arial"/>
          <w:sz w:val="24"/>
          <w:szCs w:val="24"/>
        </w:rPr>
        <w:t xml:space="preserve"> </w:t>
      </w:r>
      <w:r w:rsidRPr="00F83552">
        <w:rPr>
          <w:rFonts w:ascii="Arial" w:hAnsi="Arial" w:cs="Arial"/>
          <w:sz w:val="24"/>
          <w:szCs w:val="24"/>
        </w:rPr>
        <w:t>Intendenc</w:t>
      </w:r>
      <w:r w:rsidR="00D93897">
        <w:rPr>
          <w:rFonts w:ascii="Arial" w:hAnsi="Arial" w:cs="Arial"/>
          <w:sz w:val="24"/>
          <w:szCs w:val="24"/>
        </w:rPr>
        <w:t>ia de Salto correspondiente al E</w:t>
      </w:r>
      <w:r w:rsidRPr="00F83552">
        <w:rPr>
          <w:rFonts w:ascii="Arial" w:hAnsi="Arial" w:cs="Arial"/>
          <w:sz w:val="24"/>
          <w:szCs w:val="24"/>
        </w:rPr>
        <w:t>jercicio 2014;</w:t>
      </w:r>
    </w:p>
    <w:p w:rsidR="00D93897" w:rsidRDefault="00F83552" w:rsidP="00D93897">
      <w:pPr>
        <w:autoSpaceDE w:val="0"/>
        <w:autoSpaceDN w:val="0"/>
        <w:adjustRightInd w:val="0"/>
        <w:spacing w:after="0" w:line="360" w:lineRule="auto"/>
        <w:ind w:firstLine="851"/>
        <w:jc w:val="both"/>
        <w:rPr>
          <w:rFonts w:ascii="Arial" w:hAnsi="Arial" w:cs="Arial"/>
          <w:sz w:val="24"/>
          <w:szCs w:val="24"/>
        </w:rPr>
      </w:pPr>
      <w:r w:rsidRPr="00F83552">
        <w:rPr>
          <w:rFonts w:ascii="Arial" w:hAnsi="Arial" w:cs="Arial"/>
          <w:b/>
          <w:bCs/>
          <w:sz w:val="24"/>
          <w:szCs w:val="24"/>
        </w:rPr>
        <w:t xml:space="preserve">RESULTANDO: </w:t>
      </w:r>
      <w:r w:rsidRPr="00F83552">
        <w:rPr>
          <w:rFonts w:ascii="Arial" w:hAnsi="Arial" w:cs="Arial"/>
          <w:sz w:val="24"/>
          <w:szCs w:val="24"/>
        </w:rPr>
        <w:t>que el examen se efectuó de acuerdo con los Principios</w:t>
      </w:r>
      <w:r w:rsidR="009D79DA">
        <w:rPr>
          <w:rFonts w:ascii="Arial" w:hAnsi="Arial" w:cs="Arial"/>
          <w:sz w:val="24"/>
          <w:szCs w:val="24"/>
        </w:rPr>
        <w:t xml:space="preserve"> </w:t>
      </w:r>
      <w:r w:rsidRPr="00F83552">
        <w:rPr>
          <w:rFonts w:ascii="Arial" w:hAnsi="Arial" w:cs="Arial"/>
          <w:sz w:val="24"/>
          <w:szCs w:val="24"/>
        </w:rPr>
        <w:t>Fundamentales de Auditoría (ISSAI 100 y 200) y las Directrices de Auditoría</w:t>
      </w:r>
      <w:r w:rsidR="009D79DA">
        <w:rPr>
          <w:rFonts w:ascii="Arial" w:hAnsi="Arial" w:cs="Arial"/>
          <w:sz w:val="24"/>
          <w:szCs w:val="24"/>
        </w:rPr>
        <w:t xml:space="preserve"> </w:t>
      </w:r>
      <w:r w:rsidRPr="00F83552">
        <w:rPr>
          <w:rFonts w:ascii="Arial" w:hAnsi="Arial" w:cs="Arial"/>
          <w:sz w:val="24"/>
          <w:szCs w:val="24"/>
        </w:rPr>
        <w:t>Financiera (ISSAI 1000 a 1810) de la Organización Internacional de Entidades</w:t>
      </w:r>
      <w:r w:rsidR="009D79DA">
        <w:rPr>
          <w:rFonts w:ascii="Arial" w:hAnsi="Arial" w:cs="Arial"/>
          <w:sz w:val="24"/>
          <w:szCs w:val="24"/>
        </w:rPr>
        <w:t xml:space="preserve"> </w:t>
      </w:r>
      <w:r w:rsidRPr="00F83552">
        <w:rPr>
          <w:rFonts w:ascii="Arial" w:hAnsi="Arial" w:cs="Arial"/>
          <w:sz w:val="24"/>
          <w:szCs w:val="24"/>
        </w:rPr>
        <w:t>Fiscalizadoras Superiores (INTOSAI), habiéndose llevado a cabo los</w:t>
      </w:r>
      <w:r w:rsidR="009D79DA">
        <w:rPr>
          <w:rFonts w:ascii="Arial" w:hAnsi="Arial" w:cs="Arial"/>
          <w:sz w:val="24"/>
          <w:szCs w:val="24"/>
        </w:rPr>
        <w:t xml:space="preserve"> </w:t>
      </w:r>
      <w:r w:rsidRPr="00F83552">
        <w:rPr>
          <w:rFonts w:ascii="Arial" w:hAnsi="Arial" w:cs="Arial"/>
          <w:sz w:val="24"/>
          <w:szCs w:val="24"/>
        </w:rPr>
        <w:t>procedimientos considerados necesarios en las circunstancias;</w:t>
      </w:r>
    </w:p>
    <w:p w:rsidR="00D93897" w:rsidRDefault="00F83552" w:rsidP="00D93897">
      <w:pPr>
        <w:autoSpaceDE w:val="0"/>
        <w:autoSpaceDN w:val="0"/>
        <w:adjustRightInd w:val="0"/>
        <w:spacing w:after="0" w:line="360" w:lineRule="auto"/>
        <w:ind w:firstLine="851"/>
        <w:jc w:val="both"/>
        <w:rPr>
          <w:rFonts w:ascii="Arial" w:hAnsi="Arial" w:cs="Arial"/>
          <w:sz w:val="24"/>
          <w:szCs w:val="24"/>
        </w:rPr>
      </w:pPr>
      <w:r w:rsidRPr="00F83552">
        <w:rPr>
          <w:rFonts w:ascii="Arial" w:hAnsi="Arial" w:cs="Arial"/>
          <w:b/>
          <w:bCs/>
          <w:sz w:val="24"/>
          <w:szCs w:val="24"/>
        </w:rPr>
        <w:t xml:space="preserve">CONSIDERANDO: </w:t>
      </w:r>
      <w:r w:rsidRPr="00F83552">
        <w:rPr>
          <w:rFonts w:ascii="Arial" w:hAnsi="Arial" w:cs="Arial"/>
          <w:sz w:val="24"/>
          <w:szCs w:val="24"/>
        </w:rPr>
        <w:t>que las conclusiones y evidencias obtenidas son las que se</w:t>
      </w:r>
      <w:r w:rsidR="009D79DA">
        <w:rPr>
          <w:rFonts w:ascii="Arial" w:hAnsi="Arial" w:cs="Arial"/>
          <w:sz w:val="24"/>
          <w:szCs w:val="24"/>
        </w:rPr>
        <w:t xml:space="preserve"> </w:t>
      </w:r>
      <w:r w:rsidRPr="00F83552">
        <w:rPr>
          <w:rFonts w:ascii="Arial" w:hAnsi="Arial" w:cs="Arial"/>
          <w:sz w:val="24"/>
          <w:szCs w:val="24"/>
        </w:rPr>
        <w:t>expresan en el Informe de Auditoría, que incluye Dictamen e Informe a la</w:t>
      </w:r>
      <w:r w:rsidR="009D79DA">
        <w:rPr>
          <w:rFonts w:ascii="Arial" w:hAnsi="Arial" w:cs="Arial"/>
          <w:sz w:val="24"/>
          <w:szCs w:val="24"/>
        </w:rPr>
        <w:t xml:space="preserve"> </w:t>
      </w:r>
      <w:r w:rsidRPr="00F83552">
        <w:rPr>
          <w:rFonts w:ascii="Arial" w:hAnsi="Arial" w:cs="Arial"/>
          <w:sz w:val="24"/>
          <w:szCs w:val="24"/>
        </w:rPr>
        <w:t>Administración;</w:t>
      </w:r>
    </w:p>
    <w:p w:rsidR="00F83552" w:rsidRPr="00F83552" w:rsidRDefault="00F83552" w:rsidP="00D93897">
      <w:pPr>
        <w:autoSpaceDE w:val="0"/>
        <w:autoSpaceDN w:val="0"/>
        <w:adjustRightInd w:val="0"/>
        <w:spacing w:after="0" w:line="360" w:lineRule="auto"/>
        <w:ind w:firstLine="851"/>
        <w:jc w:val="both"/>
        <w:rPr>
          <w:rFonts w:ascii="Arial" w:hAnsi="Arial" w:cs="Arial"/>
          <w:sz w:val="24"/>
          <w:szCs w:val="24"/>
        </w:rPr>
      </w:pPr>
      <w:r w:rsidRPr="00F83552">
        <w:rPr>
          <w:rFonts w:ascii="Arial" w:hAnsi="Arial" w:cs="Arial"/>
          <w:b/>
          <w:bCs/>
          <w:sz w:val="24"/>
          <w:szCs w:val="24"/>
        </w:rPr>
        <w:t xml:space="preserve">ATENTO: </w:t>
      </w:r>
      <w:r w:rsidR="00D93897">
        <w:rPr>
          <w:rFonts w:ascii="Arial" w:hAnsi="Arial" w:cs="Arial"/>
          <w:sz w:val="24"/>
          <w:szCs w:val="24"/>
        </w:rPr>
        <w:t>a lo dispuesto por el Artículo 211 Literal</w:t>
      </w:r>
      <w:r w:rsidRPr="00F83552">
        <w:rPr>
          <w:rFonts w:ascii="Arial" w:hAnsi="Arial" w:cs="Arial"/>
          <w:sz w:val="24"/>
          <w:szCs w:val="24"/>
        </w:rPr>
        <w:t xml:space="preserve"> C) de la Constitución de la</w:t>
      </w:r>
      <w:r w:rsidR="009D79DA">
        <w:rPr>
          <w:rFonts w:ascii="Arial" w:hAnsi="Arial" w:cs="Arial"/>
          <w:sz w:val="24"/>
          <w:szCs w:val="24"/>
        </w:rPr>
        <w:t xml:space="preserve"> </w:t>
      </w:r>
      <w:r w:rsidRPr="00F83552">
        <w:rPr>
          <w:rFonts w:ascii="Arial" w:hAnsi="Arial" w:cs="Arial"/>
          <w:sz w:val="24"/>
          <w:szCs w:val="24"/>
        </w:rPr>
        <w:t>República;</w:t>
      </w:r>
    </w:p>
    <w:p w:rsidR="00F83552" w:rsidRPr="00F83552" w:rsidRDefault="00F83552" w:rsidP="003066EA">
      <w:pPr>
        <w:autoSpaceDE w:val="0"/>
        <w:autoSpaceDN w:val="0"/>
        <w:adjustRightInd w:val="0"/>
        <w:spacing w:after="0" w:line="360" w:lineRule="auto"/>
        <w:jc w:val="center"/>
        <w:rPr>
          <w:rFonts w:ascii="Arial" w:hAnsi="Arial" w:cs="Arial"/>
          <w:b/>
          <w:bCs/>
          <w:sz w:val="24"/>
          <w:szCs w:val="24"/>
        </w:rPr>
      </w:pPr>
      <w:r w:rsidRPr="00F83552">
        <w:rPr>
          <w:rFonts w:ascii="Arial" w:hAnsi="Arial" w:cs="Arial"/>
          <w:b/>
          <w:bCs/>
          <w:sz w:val="24"/>
          <w:szCs w:val="24"/>
        </w:rPr>
        <w:t>EL TRIBUNAL ACUERDA</w:t>
      </w:r>
    </w:p>
    <w:p w:rsidR="00F83552" w:rsidRPr="00F83552" w:rsidRDefault="00F83552" w:rsidP="00D93897">
      <w:pPr>
        <w:autoSpaceDE w:val="0"/>
        <w:autoSpaceDN w:val="0"/>
        <w:adjustRightInd w:val="0"/>
        <w:spacing w:after="0" w:line="360" w:lineRule="auto"/>
        <w:ind w:left="284" w:hanging="284"/>
        <w:jc w:val="both"/>
        <w:rPr>
          <w:rFonts w:ascii="Arial" w:hAnsi="Arial" w:cs="Arial"/>
          <w:sz w:val="24"/>
          <w:szCs w:val="24"/>
        </w:rPr>
      </w:pPr>
      <w:r w:rsidRPr="00F83552">
        <w:rPr>
          <w:rFonts w:ascii="Arial" w:hAnsi="Arial" w:cs="Arial"/>
          <w:b/>
          <w:bCs/>
          <w:sz w:val="24"/>
          <w:szCs w:val="24"/>
        </w:rPr>
        <w:t xml:space="preserve">1) </w:t>
      </w:r>
      <w:r w:rsidRPr="00F83552">
        <w:rPr>
          <w:rFonts w:ascii="Arial" w:hAnsi="Arial" w:cs="Arial"/>
          <w:sz w:val="24"/>
          <w:szCs w:val="24"/>
        </w:rPr>
        <w:t>Expedirse respecto a la Rendición de Cuentas y Balance de Ejecución</w:t>
      </w:r>
      <w:r w:rsidR="009D79DA">
        <w:rPr>
          <w:rFonts w:ascii="Arial" w:hAnsi="Arial" w:cs="Arial"/>
          <w:sz w:val="24"/>
          <w:szCs w:val="24"/>
        </w:rPr>
        <w:t xml:space="preserve"> </w:t>
      </w:r>
      <w:r w:rsidRPr="00F83552">
        <w:rPr>
          <w:rFonts w:ascii="Arial" w:hAnsi="Arial" w:cs="Arial"/>
          <w:sz w:val="24"/>
          <w:szCs w:val="24"/>
        </w:rPr>
        <w:t>Presupuestal de la Intendenc</w:t>
      </w:r>
      <w:r w:rsidR="00D93897">
        <w:rPr>
          <w:rFonts w:ascii="Arial" w:hAnsi="Arial" w:cs="Arial"/>
          <w:sz w:val="24"/>
          <w:szCs w:val="24"/>
        </w:rPr>
        <w:t>ia de Salto correspondiente al E</w:t>
      </w:r>
      <w:r w:rsidRPr="00F83552">
        <w:rPr>
          <w:rFonts w:ascii="Arial" w:hAnsi="Arial" w:cs="Arial"/>
          <w:sz w:val="24"/>
          <w:szCs w:val="24"/>
        </w:rPr>
        <w:t>jercicio 2014, en</w:t>
      </w:r>
      <w:r w:rsidR="009D79DA">
        <w:rPr>
          <w:rFonts w:ascii="Arial" w:hAnsi="Arial" w:cs="Arial"/>
          <w:sz w:val="24"/>
          <w:szCs w:val="24"/>
        </w:rPr>
        <w:t xml:space="preserve"> </w:t>
      </w:r>
      <w:r w:rsidRPr="00F83552">
        <w:rPr>
          <w:rFonts w:ascii="Arial" w:hAnsi="Arial" w:cs="Arial"/>
          <w:sz w:val="24"/>
          <w:szCs w:val="24"/>
        </w:rPr>
        <w:t>los términos del Info</w:t>
      </w:r>
      <w:r w:rsidR="00D93897">
        <w:rPr>
          <w:rFonts w:ascii="Arial" w:hAnsi="Arial" w:cs="Arial"/>
          <w:sz w:val="24"/>
          <w:szCs w:val="24"/>
        </w:rPr>
        <w:t>rme de Auditoría que se adjunta;</w:t>
      </w:r>
    </w:p>
    <w:p w:rsidR="00F83552" w:rsidRPr="00F83552" w:rsidRDefault="00F83552" w:rsidP="00D93897">
      <w:pPr>
        <w:autoSpaceDE w:val="0"/>
        <w:autoSpaceDN w:val="0"/>
        <w:adjustRightInd w:val="0"/>
        <w:spacing w:after="0" w:line="360" w:lineRule="auto"/>
        <w:ind w:left="284" w:hanging="284"/>
        <w:jc w:val="both"/>
        <w:rPr>
          <w:rFonts w:ascii="Arial" w:hAnsi="Arial" w:cs="Arial"/>
          <w:sz w:val="24"/>
          <w:szCs w:val="24"/>
        </w:rPr>
      </w:pPr>
      <w:r w:rsidRPr="00F83552">
        <w:rPr>
          <w:rFonts w:ascii="Arial" w:hAnsi="Arial" w:cs="Arial"/>
          <w:b/>
          <w:bCs/>
          <w:sz w:val="24"/>
          <w:szCs w:val="24"/>
        </w:rPr>
        <w:t xml:space="preserve">2) </w:t>
      </w:r>
      <w:r w:rsidRPr="00F83552">
        <w:rPr>
          <w:rFonts w:ascii="Arial" w:hAnsi="Arial" w:cs="Arial"/>
          <w:sz w:val="24"/>
          <w:szCs w:val="24"/>
        </w:rPr>
        <w:t>Comunicar la presente Resolución a la Intendencia y a la Junta</w:t>
      </w:r>
      <w:r w:rsidR="009D79DA">
        <w:rPr>
          <w:rFonts w:ascii="Arial" w:hAnsi="Arial" w:cs="Arial"/>
          <w:sz w:val="24"/>
          <w:szCs w:val="24"/>
        </w:rPr>
        <w:t xml:space="preserve"> </w:t>
      </w:r>
      <w:r w:rsidR="00D93897">
        <w:rPr>
          <w:rFonts w:ascii="Arial" w:hAnsi="Arial" w:cs="Arial"/>
          <w:sz w:val="24"/>
          <w:szCs w:val="24"/>
        </w:rPr>
        <w:t>Departamental de Salto;</w:t>
      </w:r>
    </w:p>
    <w:p w:rsidR="00F83552" w:rsidRDefault="00F83552" w:rsidP="009D79DA">
      <w:pPr>
        <w:autoSpaceDE w:val="0"/>
        <w:autoSpaceDN w:val="0"/>
        <w:adjustRightInd w:val="0"/>
        <w:spacing w:after="0" w:line="360" w:lineRule="auto"/>
        <w:jc w:val="both"/>
        <w:rPr>
          <w:rFonts w:ascii="Arial" w:hAnsi="Arial" w:cs="Arial"/>
          <w:sz w:val="24"/>
          <w:szCs w:val="24"/>
        </w:rPr>
      </w:pPr>
      <w:r w:rsidRPr="00F83552">
        <w:rPr>
          <w:rFonts w:ascii="Arial" w:hAnsi="Arial" w:cs="Arial"/>
          <w:b/>
          <w:bCs/>
          <w:sz w:val="24"/>
          <w:szCs w:val="24"/>
        </w:rPr>
        <w:t xml:space="preserve">3) </w:t>
      </w:r>
      <w:r w:rsidRPr="00F83552">
        <w:rPr>
          <w:rFonts w:ascii="Arial" w:hAnsi="Arial" w:cs="Arial"/>
          <w:sz w:val="24"/>
          <w:szCs w:val="24"/>
        </w:rPr>
        <w:t>Dar cuenta a la Asamblea General.</w:t>
      </w:r>
    </w:p>
    <w:p w:rsidR="00D93897" w:rsidRPr="00A87EC5" w:rsidRDefault="00D93897" w:rsidP="009D79DA">
      <w:pPr>
        <w:autoSpaceDE w:val="0"/>
        <w:autoSpaceDN w:val="0"/>
        <w:adjustRightInd w:val="0"/>
        <w:spacing w:after="0" w:line="360" w:lineRule="auto"/>
        <w:jc w:val="both"/>
        <w:rPr>
          <w:rFonts w:ascii="Arial" w:hAnsi="Arial" w:cs="Arial"/>
          <w:sz w:val="24"/>
          <w:szCs w:val="24"/>
        </w:rPr>
      </w:pPr>
    </w:p>
    <w:p w:rsidR="00A87EC5" w:rsidRPr="00A87EC5" w:rsidRDefault="00A87EC5" w:rsidP="009D79DA">
      <w:pPr>
        <w:autoSpaceDE w:val="0"/>
        <w:autoSpaceDN w:val="0"/>
        <w:adjustRightInd w:val="0"/>
        <w:spacing w:after="0" w:line="360" w:lineRule="auto"/>
        <w:jc w:val="both"/>
        <w:rPr>
          <w:rFonts w:ascii="Arial" w:hAnsi="Arial" w:cs="Arial"/>
          <w:sz w:val="24"/>
          <w:szCs w:val="24"/>
        </w:rPr>
      </w:pPr>
    </w:p>
    <w:p w:rsidR="00A87EC5" w:rsidRPr="00A87EC5" w:rsidRDefault="00A87EC5" w:rsidP="00A87EC5">
      <w:pPr>
        <w:pStyle w:val="Ttulo1"/>
        <w:spacing w:before="0" w:after="0" w:line="360" w:lineRule="auto"/>
        <w:jc w:val="center"/>
        <w:rPr>
          <w:szCs w:val="24"/>
        </w:rPr>
      </w:pPr>
      <w:bookmarkStart w:id="1" w:name="_Toc400023262"/>
      <w:bookmarkStart w:id="2" w:name="_Toc207615170"/>
      <w:r w:rsidRPr="00A87EC5">
        <w:rPr>
          <w:szCs w:val="24"/>
        </w:rPr>
        <w:lastRenderedPageBreak/>
        <w:t>DICTAMEN</w:t>
      </w:r>
      <w:bookmarkEnd w:id="1"/>
    </w:p>
    <w:p w:rsidR="00A87EC5" w:rsidRPr="00A87EC5" w:rsidRDefault="00A87EC5" w:rsidP="00A87EC5">
      <w:pPr>
        <w:rPr>
          <w:rFonts w:ascii="Arial" w:hAnsi="Arial" w:cs="Arial"/>
          <w:sz w:val="24"/>
          <w:szCs w:val="24"/>
        </w:rPr>
      </w:pPr>
    </w:p>
    <w:p w:rsidR="00A87EC5" w:rsidRPr="00A87EC5" w:rsidRDefault="00A87EC5" w:rsidP="00A87EC5">
      <w:pPr>
        <w:pStyle w:val="Subttulo"/>
        <w:rPr>
          <w:rFonts w:ascii="Arial" w:hAnsi="Arial" w:cs="Arial"/>
          <w:b w:val="0"/>
          <w:szCs w:val="24"/>
        </w:rPr>
      </w:pPr>
      <w:r w:rsidRPr="00A87EC5">
        <w:rPr>
          <w:rFonts w:ascii="Arial" w:hAnsi="Arial" w:cs="Arial"/>
          <w:b w:val="0"/>
          <w:szCs w:val="24"/>
        </w:rPr>
        <w:t xml:space="preserve">El Tribunal de Cuentas ha examinado </w:t>
      </w:r>
      <w:smartTag w:uri="urn:schemas-microsoft-com:office:smarttags" w:element="PersonName">
        <w:smartTagPr>
          <w:attr w:name="ProductID" w:val="la Rendici￳n"/>
        </w:smartTagPr>
        <w:r w:rsidRPr="00A87EC5">
          <w:rPr>
            <w:rFonts w:ascii="Arial" w:hAnsi="Arial" w:cs="Arial"/>
            <w:b w:val="0"/>
            <w:szCs w:val="24"/>
          </w:rPr>
          <w:t>la Rendición</w:t>
        </w:r>
      </w:smartTag>
      <w:r w:rsidRPr="00A87EC5">
        <w:rPr>
          <w:rFonts w:ascii="Arial" w:hAnsi="Arial" w:cs="Arial"/>
          <w:b w:val="0"/>
          <w:szCs w:val="24"/>
        </w:rPr>
        <w:t xml:space="preserve"> de Cuentas y el Balance de Ejecución Presupuestal de </w:t>
      </w:r>
      <w:smartTag w:uri="urn:schemas-microsoft-com:office:smarttags" w:element="PersonName">
        <w:smartTagPr>
          <w:attr w:name="ProductID" w:val="la Intendencia"/>
        </w:smartTagPr>
        <w:r w:rsidRPr="00A87EC5">
          <w:rPr>
            <w:rFonts w:ascii="Arial" w:hAnsi="Arial" w:cs="Arial"/>
            <w:b w:val="0"/>
            <w:szCs w:val="24"/>
          </w:rPr>
          <w:t>la Intendencia</w:t>
        </w:r>
      </w:smartTag>
      <w:r w:rsidRPr="00A87EC5">
        <w:rPr>
          <w:rFonts w:ascii="Arial" w:hAnsi="Arial" w:cs="Arial"/>
          <w:b w:val="0"/>
          <w:szCs w:val="24"/>
        </w:rPr>
        <w:t xml:space="preserve"> de Salto, correspondiente al Ejercicio 2014, que comprende los siguientes estados: de ejecución presupuestal con relación a los recursos y a los créditos, resultado del ejercicio, resultado acumulado y otros estados complementarios correspondientes al Ejer</w:t>
      </w:r>
      <w:r w:rsidR="00066996">
        <w:rPr>
          <w:rFonts w:ascii="Arial" w:hAnsi="Arial" w:cs="Arial"/>
          <w:b w:val="0"/>
          <w:szCs w:val="24"/>
        </w:rPr>
        <w:t>cicio finalizado al 31/12/2014.</w:t>
      </w:r>
    </w:p>
    <w:p w:rsidR="00A87EC5" w:rsidRPr="00A87EC5" w:rsidRDefault="00A87EC5" w:rsidP="00A87EC5">
      <w:pPr>
        <w:pStyle w:val="Subttulo"/>
        <w:rPr>
          <w:rFonts w:ascii="Arial" w:hAnsi="Arial" w:cs="Arial"/>
          <w:b w:val="0"/>
          <w:szCs w:val="24"/>
        </w:rPr>
      </w:pPr>
      <w:r w:rsidRPr="00A87EC5">
        <w:rPr>
          <w:rFonts w:ascii="Arial" w:hAnsi="Arial" w:cs="Arial"/>
          <w:b w:val="0"/>
          <w:szCs w:val="24"/>
        </w:rPr>
        <w:t>También se presentan, en caso de corresponder, los incumplimientos legales constatados en el curso de la auditoría efectuada.</w:t>
      </w:r>
    </w:p>
    <w:p w:rsidR="00A87EC5" w:rsidRPr="00A87EC5" w:rsidRDefault="00A87EC5" w:rsidP="00A87EC5">
      <w:pPr>
        <w:pStyle w:val="Subttulo"/>
        <w:rPr>
          <w:rFonts w:ascii="Arial" w:hAnsi="Arial" w:cs="Arial"/>
          <w:b w:val="0"/>
          <w:szCs w:val="24"/>
        </w:rPr>
      </w:pPr>
    </w:p>
    <w:p w:rsidR="00A87EC5" w:rsidRPr="00A87EC5" w:rsidRDefault="00A87EC5" w:rsidP="00A87EC5">
      <w:pPr>
        <w:pStyle w:val="Subttulo"/>
        <w:rPr>
          <w:rFonts w:ascii="Arial" w:hAnsi="Arial" w:cs="Arial"/>
          <w:bCs/>
          <w:szCs w:val="24"/>
        </w:rPr>
      </w:pPr>
      <w:r w:rsidRPr="00A87EC5">
        <w:rPr>
          <w:rFonts w:ascii="Arial" w:hAnsi="Arial" w:cs="Arial"/>
          <w:bCs/>
          <w:szCs w:val="24"/>
        </w:rPr>
        <w:t xml:space="preserve">Responsabilidad de </w:t>
      </w:r>
      <w:smartTag w:uri="urn:schemas-microsoft-com:office:smarttags" w:element="PersonName">
        <w:smartTagPr>
          <w:attr w:name="ProductID" w:val="la Intendencia"/>
        </w:smartTagPr>
        <w:r w:rsidRPr="00A87EC5">
          <w:rPr>
            <w:rFonts w:ascii="Arial" w:hAnsi="Arial" w:cs="Arial"/>
            <w:bCs/>
            <w:szCs w:val="24"/>
          </w:rPr>
          <w:t>la Intendencia</w:t>
        </w:r>
      </w:smartTag>
    </w:p>
    <w:p w:rsidR="00A87EC5" w:rsidRPr="00A87EC5" w:rsidRDefault="00A87EC5" w:rsidP="00A87EC5">
      <w:pPr>
        <w:pStyle w:val="Subttulo"/>
        <w:rPr>
          <w:rFonts w:ascii="Arial" w:hAnsi="Arial" w:cs="Arial"/>
          <w:b w:val="0"/>
          <w:szCs w:val="24"/>
        </w:rPr>
      </w:pPr>
      <w:smartTag w:uri="urn:schemas-microsoft-com:office:smarttags" w:element="PersonName">
        <w:smartTagPr>
          <w:attr w:name="ProductID" w:val="la Intendencia"/>
        </w:smartTagPr>
        <w:r w:rsidRPr="00A87EC5">
          <w:rPr>
            <w:rFonts w:ascii="Arial" w:hAnsi="Arial" w:cs="Arial"/>
            <w:b w:val="0"/>
            <w:szCs w:val="24"/>
          </w:rPr>
          <w:t>La Intendencia</w:t>
        </w:r>
      </w:smartTag>
      <w:r w:rsidRPr="00A87EC5">
        <w:rPr>
          <w:rFonts w:ascii="Arial" w:hAnsi="Arial" w:cs="Arial"/>
          <w:b w:val="0"/>
          <w:szCs w:val="24"/>
        </w:rPr>
        <w:t xml:space="preserve"> de Salto es responsable por la preparación y la razonable presentación de estos estados de acuerdo con la normativa vigente y con </w:t>
      </w:r>
      <w:smartTag w:uri="urn:schemas-microsoft-com:office:smarttags" w:element="PersonName">
        <w:smartTagPr>
          <w:attr w:name="ProductID" w:val="la Resoluci￳n"/>
        </w:smartTagPr>
        <w:r w:rsidRPr="00A87EC5">
          <w:rPr>
            <w:rFonts w:ascii="Arial" w:hAnsi="Arial" w:cs="Arial"/>
            <w:b w:val="0"/>
            <w:szCs w:val="24"/>
          </w:rPr>
          <w:t>la Resolución</w:t>
        </w:r>
      </w:smartTag>
      <w:r w:rsidRPr="00A87EC5">
        <w:rPr>
          <w:rFonts w:ascii="Arial" w:hAnsi="Arial" w:cs="Arial"/>
          <w:b w:val="0"/>
          <w:szCs w:val="24"/>
        </w:rPr>
        <w:t xml:space="preserve"> de este Tribunal de fecha 28/01/04. Esta responsabilidad incluye diseñar, implementar y mantener un sistema de control interno adecuado para la preparación y presentación razonable de los estados mencionados que esté libres de errores significativos, ya sea debido a fraude o error, seleccionar y aplicar políticas contables apropiadas.</w:t>
      </w:r>
    </w:p>
    <w:p w:rsidR="00A87EC5" w:rsidRPr="00A87EC5" w:rsidRDefault="00A87EC5" w:rsidP="00A87EC5">
      <w:pPr>
        <w:pStyle w:val="Subttulo"/>
        <w:rPr>
          <w:rFonts w:ascii="Arial" w:hAnsi="Arial" w:cs="Arial"/>
          <w:b w:val="0"/>
          <w:szCs w:val="24"/>
        </w:rPr>
      </w:pPr>
    </w:p>
    <w:p w:rsidR="00A87EC5" w:rsidRPr="00A87EC5" w:rsidRDefault="00A87EC5" w:rsidP="00A87EC5">
      <w:pPr>
        <w:pStyle w:val="Subttulo"/>
        <w:rPr>
          <w:rFonts w:ascii="Arial" w:hAnsi="Arial" w:cs="Arial"/>
          <w:bCs/>
          <w:szCs w:val="24"/>
        </w:rPr>
      </w:pPr>
      <w:r w:rsidRPr="00A87EC5">
        <w:rPr>
          <w:rFonts w:ascii="Arial" w:hAnsi="Arial" w:cs="Arial"/>
          <w:bCs/>
          <w:szCs w:val="24"/>
        </w:rPr>
        <w:t>Responsabilidad del auditor</w:t>
      </w:r>
    </w:p>
    <w:p w:rsidR="00A87EC5" w:rsidRPr="00A87EC5" w:rsidRDefault="00A87EC5" w:rsidP="00A87EC5">
      <w:pPr>
        <w:pStyle w:val="Textonormal"/>
        <w:widowControl/>
        <w:suppressAutoHyphens w:val="0"/>
        <w:spacing w:line="360" w:lineRule="auto"/>
        <w:rPr>
          <w:rFonts w:ascii="Arial" w:hAnsi="Arial" w:cs="Arial"/>
        </w:rPr>
      </w:pPr>
      <w:r w:rsidRPr="00A87EC5">
        <w:rPr>
          <w:rFonts w:ascii="Arial" w:hAnsi="Arial" w:cs="Arial"/>
          <w:spacing w:val="0"/>
          <w:lang w:val="es-ES"/>
        </w:rPr>
        <w:t>La responsabilidad del Tribunal de Cuentas es expresar una opinión sobre dichos estados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w:t>
      </w:r>
      <w:r w:rsidR="00066996">
        <w:rPr>
          <w:rFonts w:ascii="Arial" w:hAnsi="Arial" w:cs="Arial"/>
          <w:spacing w:val="0"/>
          <w:lang w:val="es-ES"/>
        </w:rPr>
        <w:t>bres de errores significativos.</w:t>
      </w:r>
    </w:p>
    <w:p w:rsidR="00A87EC5" w:rsidRPr="00A87EC5" w:rsidRDefault="00A87EC5" w:rsidP="00A87EC5">
      <w:pPr>
        <w:pStyle w:val="Subttulo"/>
        <w:rPr>
          <w:rFonts w:ascii="Arial" w:hAnsi="Arial" w:cs="Arial"/>
          <w:b w:val="0"/>
          <w:szCs w:val="24"/>
        </w:rPr>
      </w:pPr>
      <w:r w:rsidRPr="00A87EC5">
        <w:rPr>
          <w:rFonts w:ascii="Arial" w:hAnsi="Arial" w:cs="Arial"/>
          <w:b w:val="0"/>
          <w:szCs w:val="24"/>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A87EC5" w:rsidRPr="00A87EC5" w:rsidRDefault="00A87EC5" w:rsidP="00A87EC5">
      <w:pPr>
        <w:pStyle w:val="Textoindependiente"/>
        <w:spacing w:line="360" w:lineRule="auto"/>
        <w:rPr>
          <w:rFonts w:cs="Arial"/>
          <w:szCs w:val="24"/>
        </w:rPr>
      </w:pPr>
      <w:r w:rsidRPr="00A87EC5">
        <w:rPr>
          <w:rFonts w:cs="Arial"/>
          <w:szCs w:val="24"/>
        </w:rPr>
        <w:t>Se considera que la evidencia de auditoría obtenida brinda una base suficiente y apropiada para sustentar la opinión.</w:t>
      </w:r>
    </w:p>
    <w:p w:rsidR="00A87EC5" w:rsidRPr="00A87EC5" w:rsidRDefault="00A87EC5" w:rsidP="00A87EC5">
      <w:pPr>
        <w:pStyle w:val="Textoindependiente"/>
        <w:spacing w:after="0" w:line="360" w:lineRule="auto"/>
        <w:rPr>
          <w:rFonts w:cs="Arial"/>
          <w:b/>
          <w:bCs/>
          <w:szCs w:val="24"/>
        </w:rPr>
      </w:pPr>
      <w:r w:rsidRPr="00A87EC5">
        <w:rPr>
          <w:rFonts w:cs="Arial"/>
          <w:b/>
          <w:bCs/>
          <w:szCs w:val="24"/>
        </w:rPr>
        <w:t>Opinión</w:t>
      </w:r>
    </w:p>
    <w:p w:rsidR="00A87EC5" w:rsidRPr="00A87EC5" w:rsidRDefault="00A87EC5" w:rsidP="00A87EC5">
      <w:pPr>
        <w:pStyle w:val="Textoindependiente"/>
        <w:spacing w:after="0" w:line="360" w:lineRule="auto"/>
        <w:rPr>
          <w:rFonts w:cs="Arial"/>
          <w:szCs w:val="24"/>
        </w:rPr>
      </w:pPr>
      <w:r w:rsidRPr="00A87EC5">
        <w:rPr>
          <w:rFonts w:cs="Arial"/>
          <w:szCs w:val="24"/>
        </w:rPr>
        <w:t>En opinión del Tribunal de Cuentas, los estados mencionados presentan razonablemente, en todos sus aspectos importantes, la ejecución presupuestal en relación a los recursos y a los créditos presupuestales, el resultado del Ejercicio 2014 y el resultado acumu</w:t>
      </w:r>
      <w:r w:rsidRPr="00A87EC5">
        <w:rPr>
          <w:rFonts w:cs="Arial"/>
          <w:szCs w:val="24"/>
        </w:rPr>
        <w:softHyphen/>
        <w:t>lado al 31/12/2014, de acuerdo con las normas establecidas en el TOCAF y a la Resolución de este Tribuna</w:t>
      </w:r>
      <w:r w:rsidR="00066996">
        <w:rPr>
          <w:rFonts w:cs="Arial"/>
          <w:szCs w:val="24"/>
        </w:rPr>
        <w:t>l de fecha 28/01/04.</w:t>
      </w:r>
    </w:p>
    <w:p w:rsidR="00A87EC5" w:rsidRPr="00A87EC5" w:rsidRDefault="00A87EC5" w:rsidP="00A87EC5">
      <w:pPr>
        <w:pStyle w:val="Textoindependiente"/>
        <w:spacing w:after="0" w:line="360" w:lineRule="auto"/>
        <w:rPr>
          <w:rFonts w:cs="Arial"/>
          <w:kern w:val="0"/>
          <w:szCs w:val="24"/>
          <w:lang w:val="es-ES"/>
        </w:rPr>
      </w:pPr>
      <w:r w:rsidRPr="00A87EC5">
        <w:rPr>
          <w:rFonts w:cs="Arial"/>
          <w:kern w:val="0"/>
          <w:szCs w:val="24"/>
          <w:lang w:val="es-ES"/>
        </w:rPr>
        <w:t>Con relación al cumplimiento de la normativa vigente, en el curso de la a</w:t>
      </w:r>
      <w:r w:rsidR="00066996">
        <w:rPr>
          <w:rFonts w:cs="Arial"/>
          <w:kern w:val="0"/>
          <w:szCs w:val="24"/>
          <w:lang w:val="es-ES"/>
        </w:rPr>
        <w:t>uditoría se ha constatado que:</w:t>
      </w:r>
    </w:p>
    <w:p w:rsidR="00A87EC5" w:rsidRPr="00066996" w:rsidRDefault="00A87EC5" w:rsidP="00A87EC5">
      <w:pPr>
        <w:spacing w:line="360" w:lineRule="auto"/>
        <w:jc w:val="both"/>
        <w:rPr>
          <w:rFonts w:ascii="Arial" w:hAnsi="Arial" w:cs="Arial"/>
          <w:sz w:val="24"/>
          <w:szCs w:val="24"/>
          <w:lang w:val="es-ES"/>
        </w:rPr>
      </w:pPr>
    </w:p>
    <w:p w:rsidR="00A87EC5" w:rsidRPr="00A87EC5" w:rsidRDefault="00A87EC5" w:rsidP="00A87EC5">
      <w:pPr>
        <w:spacing w:line="360" w:lineRule="auto"/>
        <w:jc w:val="both"/>
        <w:rPr>
          <w:rFonts w:ascii="Arial" w:hAnsi="Arial" w:cs="Arial"/>
          <w:kern w:val="18"/>
          <w:sz w:val="24"/>
          <w:szCs w:val="24"/>
          <w:lang w:val="es-ES_tradnl"/>
        </w:rPr>
      </w:pPr>
      <w:r w:rsidRPr="00A87EC5">
        <w:rPr>
          <w:rFonts w:ascii="Arial" w:hAnsi="Arial" w:cs="Arial"/>
          <w:b/>
          <w:bCs/>
          <w:kern w:val="18"/>
          <w:sz w:val="24"/>
          <w:szCs w:val="24"/>
          <w:lang w:val="es-ES_tradnl"/>
        </w:rPr>
        <w:t xml:space="preserve">1- Artículo 86 de </w:t>
      </w:r>
      <w:smartTag w:uri="urn:schemas-microsoft-com:office:smarttags" w:element="PersonName">
        <w:smartTagPr>
          <w:attr w:name="ProductID" w:val="la Constituci￳n"/>
        </w:smartTagPr>
        <w:r w:rsidRPr="00A87EC5">
          <w:rPr>
            <w:rFonts w:ascii="Arial" w:hAnsi="Arial" w:cs="Arial"/>
            <w:b/>
            <w:bCs/>
            <w:kern w:val="18"/>
            <w:sz w:val="24"/>
            <w:szCs w:val="24"/>
            <w:lang w:val="es-ES_tradnl"/>
          </w:rPr>
          <w:t>la Constitución</w:t>
        </w:r>
      </w:smartTag>
      <w:r w:rsidRPr="00A87EC5">
        <w:rPr>
          <w:rFonts w:ascii="Arial" w:hAnsi="Arial" w:cs="Arial"/>
          <w:b/>
          <w:bCs/>
          <w:kern w:val="18"/>
          <w:sz w:val="24"/>
          <w:szCs w:val="24"/>
          <w:lang w:val="es-ES_tradnl"/>
        </w:rPr>
        <w:t xml:space="preserve"> de </w:t>
      </w:r>
      <w:smartTag w:uri="urn:schemas-microsoft-com:office:smarttags" w:element="PersonName">
        <w:smartTagPr>
          <w:attr w:name="ProductID" w:val="la Rep￺blica"/>
        </w:smartTagPr>
        <w:r w:rsidRPr="00A87EC5">
          <w:rPr>
            <w:rFonts w:ascii="Arial" w:hAnsi="Arial" w:cs="Arial"/>
            <w:b/>
            <w:bCs/>
            <w:kern w:val="18"/>
            <w:sz w:val="24"/>
            <w:szCs w:val="24"/>
            <w:lang w:val="es-ES_tradnl"/>
          </w:rPr>
          <w:t>la República</w:t>
        </w:r>
      </w:smartTag>
      <w:r w:rsidRPr="00A87EC5">
        <w:rPr>
          <w:rFonts w:ascii="Arial" w:hAnsi="Arial" w:cs="Arial"/>
          <w:b/>
          <w:bCs/>
          <w:kern w:val="18"/>
          <w:sz w:val="24"/>
          <w:szCs w:val="24"/>
          <w:lang w:val="es-ES_tradnl"/>
        </w:rPr>
        <w:t xml:space="preserve"> y Presupuesto Quinquenal 2011-2015 de </w:t>
      </w:r>
      <w:smartTag w:uri="urn:schemas-microsoft-com:office:smarttags" w:element="PersonName">
        <w:smartTagPr>
          <w:attr w:name="ProductID" w:val="la Intendencia"/>
        </w:smartTagPr>
        <w:r w:rsidRPr="00A87EC5">
          <w:rPr>
            <w:rFonts w:ascii="Arial" w:hAnsi="Arial" w:cs="Arial"/>
            <w:b/>
            <w:bCs/>
            <w:kern w:val="18"/>
            <w:sz w:val="24"/>
            <w:szCs w:val="24"/>
            <w:lang w:val="es-ES_tradnl"/>
          </w:rPr>
          <w:t>la Intendencia</w:t>
        </w:r>
      </w:smartTag>
      <w:r w:rsidRPr="00A87EC5">
        <w:rPr>
          <w:rFonts w:ascii="Arial" w:hAnsi="Arial" w:cs="Arial"/>
          <w:b/>
          <w:bCs/>
          <w:kern w:val="18"/>
          <w:sz w:val="24"/>
          <w:szCs w:val="24"/>
          <w:lang w:val="es-ES_tradnl"/>
        </w:rPr>
        <w:t xml:space="preserve">: </w:t>
      </w:r>
      <w:r w:rsidRPr="00A87EC5">
        <w:rPr>
          <w:rFonts w:ascii="Arial" w:hAnsi="Arial" w:cs="Arial"/>
          <w:bCs/>
          <w:kern w:val="18"/>
          <w:sz w:val="24"/>
          <w:szCs w:val="24"/>
          <w:lang w:val="es-ES_tradnl"/>
        </w:rPr>
        <w:t>N</w:t>
      </w:r>
      <w:r w:rsidRPr="00A87EC5">
        <w:rPr>
          <w:rFonts w:ascii="Arial" w:hAnsi="Arial" w:cs="Arial"/>
          <w:kern w:val="18"/>
          <w:sz w:val="24"/>
          <w:szCs w:val="24"/>
          <w:lang w:val="es-ES_tradnl"/>
        </w:rPr>
        <w:t xml:space="preserve">o se dio cumplimiento a la estructura orgánica establecida en la instancia presupuestal, al no respetarse en su totalidad, la estructura de escalafones </w:t>
      </w:r>
      <w:r w:rsidR="00066996">
        <w:rPr>
          <w:rFonts w:ascii="Arial" w:hAnsi="Arial" w:cs="Arial"/>
          <w:kern w:val="18"/>
          <w:sz w:val="24"/>
          <w:szCs w:val="24"/>
          <w:lang w:val="es-ES_tradnl"/>
        </w:rPr>
        <w:t>y cargos funcionales aprobados.</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sz w:val="24"/>
          <w:szCs w:val="24"/>
        </w:rPr>
      </w:pPr>
      <w:r w:rsidRPr="00A87EC5">
        <w:rPr>
          <w:rFonts w:ascii="Arial" w:hAnsi="Arial" w:cs="Arial"/>
          <w:b/>
          <w:bCs/>
          <w:sz w:val="24"/>
          <w:szCs w:val="24"/>
        </w:rPr>
        <w:t>2- Artículo 211 Literal B) de la Constitución de la República y Artículo 87 del TOCAF.</w:t>
      </w:r>
    </w:p>
    <w:p w:rsidR="00A87EC5" w:rsidRPr="00A87EC5" w:rsidRDefault="00A87EC5" w:rsidP="00A87EC5">
      <w:pPr>
        <w:spacing w:line="360" w:lineRule="auto"/>
        <w:jc w:val="both"/>
        <w:rPr>
          <w:rFonts w:ascii="Arial" w:hAnsi="Arial" w:cs="Arial"/>
          <w:kern w:val="1"/>
          <w:sz w:val="24"/>
          <w:szCs w:val="24"/>
        </w:rPr>
      </w:pPr>
      <w:r w:rsidRPr="00A87EC5">
        <w:rPr>
          <w:rFonts w:ascii="Arial" w:hAnsi="Arial" w:cs="Arial"/>
          <w:kern w:val="1"/>
          <w:sz w:val="24"/>
          <w:szCs w:val="24"/>
        </w:rPr>
        <w:t>Durante el Ejercicio la Tesorería realizó pagos a proveedores sin la correspondiente intervención del Contador De</w:t>
      </w:r>
      <w:r w:rsidR="00066996">
        <w:rPr>
          <w:rFonts w:ascii="Arial" w:hAnsi="Arial" w:cs="Arial"/>
          <w:kern w:val="1"/>
          <w:sz w:val="24"/>
          <w:szCs w:val="24"/>
        </w:rPr>
        <w:t>legado del Tribunal de Cuentas.</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sz w:val="24"/>
          <w:szCs w:val="24"/>
        </w:rPr>
      </w:pPr>
      <w:r w:rsidRPr="00A87EC5">
        <w:rPr>
          <w:rFonts w:ascii="Arial" w:hAnsi="Arial" w:cs="Arial"/>
          <w:b/>
          <w:bCs/>
          <w:kern w:val="18"/>
          <w:sz w:val="24"/>
          <w:szCs w:val="24"/>
          <w:lang w:val="es-ES_tradnl"/>
        </w:rPr>
        <w:t xml:space="preserve">3- Artículo 32 de </w:t>
      </w:r>
      <w:smartTag w:uri="urn:schemas-microsoft-com:office:smarttags" w:element="PersonName">
        <w:smartTagPr>
          <w:attr w:name="ProductID" w:val="la Ley"/>
        </w:smartTagPr>
        <w:r w:rsidRPr="00A87EC5">
          <w:rPr>
            <w:rFonts w:ascii="Arial" w:hAnsi="Arial" w:cs="Arial"/>
            <w:b/>
            <w:bCs/>
            <w:kern w:val="18"/>
            <w:sz w:val="24"/>
            <w:szCs w:val="24"/>
            <w:lang w:val="es-ES_tradnl"/>
          </w:rPr>
          <w:t>la Ley</w:t>
        </w:r>
      </w:smartTag>
      <w:r w:rsidRPr="00A87EC5">
        <w:rPr>
          <w:rFonts w:ascii="Arial" w:hAnsi="Arial" w:cs="Arial"/>
          <w:b/>
          <w:bCs/>
          <w:kern w:val="18"/>
          <w:sz w:val="24"/>
          <w:szCs w:val="24"/>
          <w:lang w:val="es-ES_tradnl"/>
        </w:rPr>
        <w:t xml:space="preserve"> Nº 11.923</w:t>
      </w:r>
      <w:r w:rsidRPr="00A87EC5">
        <w:rPr>
          <w:rFonts w:ascii="Arial" w:hAnsi="Arial" w:cs="Arial"/>
          <w:b/>
          <w:bCs/>
          <w:sz w:val="24"/>
          <w:szCs w:val="24"/>
        </w:rPr>
        <w:t xml:space="preserve">: </w:t>
      </w:r>
      <w:r w:rsidRPr="00A87EC5">
        <w:rPr>
          <w:rFonts w:ascii="Arial" w:hAnsi="Arial" w:cs="Arial"/>
          <w:sz w:val="24"/>
          <w:szCs w:val="24"/>
        </w:rPr>
        <w:t>En las contrataciones con profesionales la Intendencia no exigió declaración jurada de no percibir más de una remuneración con cargo a fondos públicos, por lo que no se pudo verificar el cumplimiento de lo dis</w:t>
      </w:r>
      <w:r w:rsidR="00066996">
        <w:rPr>
          <w:rFonts w:ascii="Arial" w:hAnsi="Arial" w:cs="Arial"/>
          <w:sz w:val="24"/>
          <w:szCs w:val="24"/>
        </w:rPr>
        <w:t>puesto por la mencionada norma.</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sz w:val="24"/>
          <w:szCs w:val="24"/>
        </w:rPr>
      </w:pPr>
      <w:r w:rsidRPr="00A87EC5">
        <w:rPr>
          <w:rFonts w:ascii="Arial" w:hAnsi="Arial" w:cs="Arial"/>
          <w:b/>
          <w:sz w:val="24"/>
          <w:szCs w:val="24"/>
        </w:rPr>
        <w:t xml:space="preserve">4- Artículo 12 del TOCAF: </w:t>
      </w:r>
      <w:r w:rsidRPr="00A87EC5">
        <w:rPr>
          <w:rFonts w:ascii="Arial" w:hAnsi="Arial" w:cs="Arial"/>
          <w:sz w:val="24"/>
          <w:szCs w:val="24"/>
        </w:rPr>
        <w:t>Se computó como recurso departamental del Ejercicio, el cheque del BROU Nº 690.728 por $54.306, que fue depositado y cobrado el 05/01/2015.</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b/>
          <w:bCs/>
          <w:sz w:val="24"/>
          <w:szCs w:val="24"/>
        </w:rPr>
      </w:pPr>
      <w:r w:rsidRPr="00A87EC5">
        <w:rPr>
          <w:rFonts w:ascii="Arial" w:hAnsi="Arial" w:cs="Arial"/>
          <w:b/>
          <w:bCs/>
          <w:sz w:val="24"/>
          <w:szCs w:val="24"/>
        </w:rPr>
        <w:t xml:space="preserve">5- Artículo 14 del TOCAF: </w:t>
      </w:r>
      <w:r w:rsidRPr="00A87EC5">
        <w:rPr>
          <w:rFonts w:ascii="Arial" w:hAnsi="Arial" w:cs="Arial"/>
          <w:sz w:val="24"/>
          <w:szCs w:val="24"/>
        </w:rPr>
        <w:t>Se realizaron contratos de arrendamiento de obra y de servicios con efecto retroactivo.</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b/>
          <w:bCs/>
          <w:sz w:val="24"/>
          <w:szCs w:val="24"/>
        </w:rPr>
      </w:pPr>
      <w:r w:rsidRPr="00A87EC5">
        <w:rPr>
          <w:rFonts w:ascii="Arial" w:hAnsi="Arial" w:cs="Arial"/>
          <w:b/>
          <w:bCs/>
          <w:sz w:val="24"/>
          <w:szCs w:val="24"/>
        </w:rPr>
        <w:t xml:space="preserve">6- Artículo 15 del TOCAF: </w:t>
      </w:r>
      <w:r w:rsidRPr="00A87EC5">
        <w:rPr>
          <w:rFonts w:ascii="Arial" w:hAnsi="Arial" w:cs="Arial"/>
          <w:bCs/>
          <w:sz w:val="24"/>
          <w:szCs w:val="24"/>
        </w:rPr>
        <w:t>Se realizaron gastos en el Ejercicio 2014 por un total de $ 377:186.902 sin crédito disponible.</w:t>
      </w:r>
    </w:p>
    <w:p w:rsidR="00A87EC5" w:rsidRPr="00A87EC5" w:rsidRDefault="00A87EC5" w:rsidP="00A87EC5">
      <w:pPr>
        <w:tabs>
          <w:tab w:val="left" w:pos="360"/>
          <w:tab w:val="left" w:pos="540"/>
          <w:tab w:val="num" w:pos="885"/>
          <w:tab w:val="center" w:pos="4419"/>
          <w:tab w:val="right" w:pos="8838"/>
        </w:tabs>
        <w:spacing w:line="360" w:lineRule="auto"/>
        <w:jc w:val="both"/>
        <w:rPr>
          <w:rFonts w:ascii="Arial" w:hAnsi="Arial" w:cs="Arial"/>
          <w:bCs/>
          <w:sz w:val="24"/>
          <w:szCs w:val="24"/>
        </w:rPr>
      </w:pPr>
      <w:r w:rsidRPr="00A87EC5">
        <w:rPr>
          <w:rFonts w:ascii="Arial" w:hAnsi="Arial" w:cs="Arial"/>
          <w:b/>
          <w:bCs/>
          <w:sz w:val="24"/>
          <w:szCs w:val="24"/>
        </w:rPr>
        <w:t xml:space="preserve">7- Artículos 33 y 43 del TOCAF: </w:t>
      </w:r>
      <w:r w:rsidRPr="00A87EC5">
        <w:rPr>
          <w:rFonts w:ascii="Arial" w:hAnsi="Arial" w:cs="Arial"/>
          <w:bCs/>
          <w:sz w:val="24"/>
          <w:szCs w:val="24"/>
        </w:rPr>
        <w:t>Se efectuaron contrataciones sin utilizar el procedimiento de selección que hubiera correspondido de acuerdo con su monto, lo que fue observado por el Contador Delegado. Asimismo, se constataron adquisiciones en forma fraccionada, sin dejar</w:t>
      </w:r>
      <w:r w:rsidR="00066996">
        <w:rPr>
          <w:rFonts w:ascii="Arial" w:hAnsi="Arial" w:cs="Arial"/>
          <w:bCs/>
          <w:sz w:val="24"/>
          <w:szCs w:val="24"/>
        </w:rPr>
        <w:t xml:space="preserve"> constancia de los fundamentos.</w:t>
      </w:r>
    </w:p>
    <w:p w:rsidR="00A87EC5" w:rsidRPr="00A87EC5" w:rsidRDefault="00A87EC5" w:rsidP="00A87EC5">
      <w:pPr>
        <w:tabs>
          <w:tab w:val="left" w:pos="360"/>
          <w:tab w:val="num" w:pos="885"/>
          <w:tab w:val="center" w:pos="4419"/>
          <w:tab w:val="right" w:pos="8838"/>
        </w:tabs>
        <w:spacing w:line="360" w:lineRule="auto"/>
        <w:jc w:val="both"/>
        <w:rPr>
          <w:rFonts w:ascii="Arial" w:hAnsi="Arial" w:cs="Arial"/>
          <w:b/>
          <w:bCs/>
          <w:sz w:val="24"/>
          <w:szCs w:val="24"/>
        </w:rPr>
      </w:pPr>
      <w:r w:rsidRPr="00A87EC5">
        <w:rPr>
          <w:rFonts w:ascii="Arial" w:hAnsi="Arial" w:cs="Arial"/>
          <w:b/>
          <w:bCs/>
          <w:sz w:val="24"/>
          <w:szCs w:val="24"/>
        </w:rPr>
        <w:t xml:space="preserve">8- Artículo 48 del TOCAF: </w:t>
      </w:r>
      <w:r w:rsidRPr="00A87EC5">
        <w:rPr>
          <w:rFonts w:ascii="Arial" w:hAnsi="Arial" w:cs="Arial"/>
          <w:bCs/>
          <w:sz w:val="24"/>
          <w:szCs w:val="24"/>
        </w:rPr>
        <w:t>En los Pliegos de bases y condiciones particulares</w:t>
      </w:r>
      <w:r w:rsidRPr="00A87EC5">
        <w:rPr>
          <w:rFonts w:ascii="Arial" w:hAnsi="Arial" w:cs="Arial"/>
          <w:b/>
          <w:bCs/>
          <w:sz w:val="24"/>
          <w:szCs w:val="24"/>
        </w:rPr>
        <w:t xml:space="preserve"> </w:t>
      </w:r>
      <w:r w:rsidRPr="00A87EC5">
        <w:rPr>
          <w:rFonts w:ascii="Arial" w:hAnsi="Arial" w:cs="Arial"/>
          <w:bCs/>
          <w:sz w:val="24"/>
          <w:szCs w:val="24"/>
        </w:rPr>
        <w:t>se incluyó una cláusula que exigía la presentación de certificados de estar al día con los Organismos Públicos.</w:t>
      </w:r>
    </w:p>
    <w:p w:rsidR="00A87EC5" w:rsidRPr="00A87EC5" w:rsidRDefault="00A87EC5" w:rsidP="00A87EC5">
      <w:pPr>
        <w:tabs>
          <w:tab w:val="left" w:pos="360"/>
          <w:tab w:val="num" w:pos="885"/>
        </w:tabs>
        <w:spacing w:line="360" w:lineRule="auto"/>
        <w:jc w:val="both"/>
        <w:rPr>
          <w:rFonts w:ascii="Arial" w:hAnsi="Arial" w:cs="Arial"/>
          <w:sz w:val="24"/>
          <w:szCs w:val="24"/>
        </w:rPr>
      </w:pPr>
      <w:r w:rsidRPr="00A87EC5">
        <w:rPr>
          <w:rFonts w:ascii="Arial" w:hAnsi="Arial" w:cs="Arial"/>
          <w:b/>
          <w:sz w:val="24"/>
          <w:szCs w:val="24"/>
        </w:rPr>
        <w:t>9- Artículo 94 del TOCAF</w:t>
      </w:r>
      <w:r w:rsidRPr="00A87EC5">
        <w:rPr>
          <w:rFonts w:ascii="Arial" w:hAnsi="Arial" w:cs="Arial"/>
          <w:b/>
          <w:bCs/>
          <w:sz w:val="24"/>
          <w:szCs w:val="24"/>
        </w:rPr>
        <w:t xml:space="preserve"> </w:t>
      </w:r>
      <w:r w:rsidRPr="00A87EC5">
        <w:rPr>
          <w:rFonts w:ascii="Arial" w:hAnsi="Arial" w:cs="Arial"/>
          <w:b/>
          <w:sz w:val="24"/>
          <w:szCs w:val="24"/>
        </w:rPr>
        <w:t>y Ordenanza N° 81 del Tribunal de Cuentas:</w:t>
      </w:r>
      <w:r w:rsidRPr="00A87EC5">
        <w:rPr>
          <w:rFonts w:ascii="Arial" w:hAnsi="Arial" w:cs="Arial"/>
          <w:sz w:val="24"/>
          <w:szCs w:val="24"/>
        </w:rPr>
        <w:t xml:space="preserve"> La Intendencia no cuenta con un sistema de contabilidad patrimonial que le permita cumplir con lo establecido por estas normas.</w:t>
      </w:r>
    </w:p>
    <w:p w:rsidR="00A87EC5" w:rsidRPr="00A87EC5" w:rsidRDefault="00A87EC5" w:rsidP="00A87EC5">
      <w:pPr>
        <w:tabs>
          <w:tab w:val="left" w:pos="360"/>
          <w:tab w:val="num" w:pos="885"/>
        </w:tabs>
        <w:spacing w:line="360" w:lineRule="auto"/>
        <w:jc w:val="both"/>
        <w:rPr>
          <w:rFonts w:ascii="Arial" w:hAnsi="Arial" w:cs="Arial"/>
          <w:sz w:val="24"/>
          <w:szCs w:val="24"/>
        </w:rPr>
      </w:pPr>
      <w:r w:rsidRPr="00A87EC5">
        <w:rPr>
          <w:rFonts w:ascii="Arial" w:hAnsi="Arial" w:cs="Arial"/>
          <w:b/>
          <w:sz w:val="24"/>
          <w:szCs w:val="24"/>
        </w:rPr>
        <w:t>10- Artículo 114 del TOCAF:</w:t>
      </w:r>
      <w:r w:rsidRPr="00A87EC5">
        <w:rPr>
          <w:rFonts w:ascii="Arial" w:hAnsi="Arial" w:cs="Arial"/>
          <w:sz w:val="24"/>
          <w:szCs w:val="24"/>
        </w:rPr>
        <w:t xml:space="preserve"> En el Arqueo de Caja de </w:t>
      </w:r>
      <w:smartTag w:uri="urn:schemas-microsoft-com:office:smarttags" w:element="PersonName">
        <w:smartTagPr>
          <w:attr w:name="ProductID" w:val="La Tesorer￭a"/>
        </w:smartTagPr>
        <w:r w:rsidRPr="00A87EC5">
          <w:rPr>
            <w:rFonts w:ascii="Arial" w:hAnsi="Arial" w:cs="Arial"/>
            <w:sz w:val="24"/>
            <w:szCs w:val="24"/>
          </w:rPr>
          <w:t>la Tesorería</w:t>
        </w:r>
      </w:smartTag>
      <w:r w:rsidRPr="00A87EC5">
        <w:rPr>
          <w:rFonts w:ascii="Arial" w:hAnsi="Arial" w:cs="Arial"/>
          <w:sz w:val="24"/>
          <w:szCs w:val="24"/>
        </w:rPr>
        <w:t xml:space="preserve"> de </w:t>
      </w:r>
      <w:smartTag w:uri="urn:schemas-microsoft-com:office:smarttags" w:element="PersonName">
        <w:smartTagPr>
          <w:attr w:name="ProductID" w:val="la  Intendencia"/>
        </w:smartTagPr>
        <w:r w:rsidRPr="00A87EC5">
          <w:rPr>
            <w:rFonts w:ascii="Arial" w:hAnsi="Arial" w:cs="Arial"/>
            <w:sz w:val="24"/>
            <w:szCs w:val="24"/>
          </w:rPr>
          <w:t>la  Intendencia</w:t>
        </w:r>
      </w:smartTag>
      <w:r w:rsidRPr="00A87EC5">
        <w:rPr>
          <w:rFonts w:ascii="Arial" w:hAnsi="Arial" w:cs="Arial"/>
          <w:sz w:val="24"/>
          <w:szCs w:val="24"/>
        </w:rPr>
        <w:t xml:space="preserve"> al 31/12/14 se constataron fondos a rendir cuenta entregados con una</w:t>
      </w:r>
      <w:r w:rsidR="00066996">
        <w:rPr>
          <w:rFonts w:ascii="Arial" w:hAnsi="Arial" w:cs="Arial"/>
          <w:sz w:val="24"/>
          <w:szCs w:val="24"/>
        </w:rPr>
        <w:t xml:space="preserve"> antigüedad superior a 60 días.</w:t>
      </w:r>
    </w:p>
    <w:p w:rsidR="00A87EC5" w:rsidRPr="00A87EC5" w:rsidRDefault="00A87EC5" w:rsidP="00A87EC5">
      <w:pPr>
        <w:tabs>
          <w:tab w:val="left" w:pos="360"/>
          <w:tab w:val="num" w:pos="885"/>
        </w:tabs>
        <w:spacing w:line="360" w:lineRule="auto"/>
        <w:jc w:val="both"/>
        <w:rPr>
          <w:rFonts w:ascii="Arial" w:hAnsi="Arial" w:cs="Arial"/>
          <w:b/>
          <w:sz w:val="24"/>
          <w:szCs w:val="24"/>
        </w:rPr>
      </w:pPr>
      <w:r w:rsidRPr="00A87EC5">
        <w:rPr>
          <w:rFonts w:ascii="Arial" w:hAnsi="Arial" w:cs="Arial"/>
          <w:b/>
          <w:bCs/>
          <w:color w:val="000000"/>
          <w:sz w:val="24"/>
          <w:szCs w:val="24"/>
        </w:rPr>
        <w:t xml:space="preserve">11- Artículo </w:t>
      </w:r>
      <w:r w:rsidRPr="00A87EC5">
        <w:rPr>
          <w:rFonts w:ascii="Arial" w:hAnsi="Arial" w:cs="Arial"/>
          <w:b/>
          <w:bCs/>
          <w:sz w:val="24"/>
          <w:szCs w:val="24"/>
        </w:rPr>
        <w:t>128 del TOCAF:</w:t>
      </w:r>
      <w:r w:rsidRPr="00A87EC5">
        <w:rPr>
          <w:rFonts w:ascii="Arial" w:hAnsi="Arial" w:cs="Arial"/>
          <w:b/>
          <w:color w:val="000000"/>
          <w:sz w:val="24"/>
          <w:szCs w:val="24"/>
        </w:rPr>
        <w:t xml:space="preserve"> </w:t>
      </w:r>
      <w:r w:rsidRPr="00A87EC5">
        <w:rPr>
          <w:rFonts w:ascii="Arial" w:hAnsi="Arial" w:cs="Arial"/>
          <w:color w:val="000000"/>
          <w:sz w:val="24"/>
          <w:szCs w:val="24"/>
        </w:rPr>
        <w:t>El estado demostrativo del grado de cumplimiento de los objetivos y metas programadas incluye información parcial sobre los mismos al no identificar, para cada obra, las unidades físicas pre</w:t>
      </w:r>
      <w:r w:rsidRPr="00A87EC5">
        <w:rPr>
          <w:rFonts w:ascii="Arial" w:hAnsi="Arial" w:cs="Arial"/>
          <w:color w:val="000000"/>
          <w:sz w:val="24"/>
          <w:szCs w:val="24"/>
        </w:rPr>
        <w:softHyphen/>
        <w:t>vistas y ejecutadas ni los costos previstos y</w:t>
      </w:r>
      <w:r w:rsidR="00066996">
        <w:rPr>
          <w:rFonts w:ascii="Arial" w:hAnsi="Arial" w:cs="Arial"/>
          <w:color w:val="000000"/>
          <w:sz w:val="24"/>
          <w:szCs w:val="24"/>
        </w:rPr>
        <w:t xml:space="preserve"> resultantes para el Ejercicio.</w:t>
      </w:r>
    </w:p>
    <w:p w:rsidR="00A87EC5" w:rsidRPr="00A87EC5" w:rsidRDefault="00A87EC5" w:rsidP="00A87EC5">
      <w:pPr>
        <w:tabs>
          <w:tab w:val="left" w:pos="540"/>
          <w:tab w:val="num" w:pos="885"/>
        </w:tabs>
        <w:spacing w:line="360" w:lineRule="auto"/>
        <w:jc w:val="both"/>
        <w:rPr>
          <w:rFonts w:ascii="Arial" w:hAnsi="Arial" w:cs="Arial"/>
          <w:b/>
          <w:bCs/>
          <w:sz w:val="24"/>
          <w:szCs w:val="24"/>
        </w:rPr>
      </w:pPr>
      <w:r w:rsidRPr="00A87EC5">
        <w:rPr>
          <w:rFonts w:ascii="Arial" w:hAnsi="Arial" w:cs="Arial"/>
          <w:b/>
          <w:bCs/>
          <w:sz w:val="24"/>
          <w:szCs w:val="24"/>
        </w:rPr>
        <w:t>12- Ordenanza Nº 71 y Resolución del 22/12/2010 del Tribunal de Cuentas:</w:t>
      </w:r>
    </w:p>
    <w:p w:rsidR="00A87EC5" w:rsidRPr="00A87EC5" w:rsidRDefault="00A87EC5" w:rsidP="00A87EC5">
      <w:pPr>
        <w:tabs>
          <w:tab w:val="left" w:pos="540"/>
          <w:tab w:val="num" w:pos="885"/>
        </w:tabs>
        <w:spacing w:line="360" w:lineRule="auto"/>
        <w:jc w:val="both"/>
        <w:rPr>
          <w:rFonts w:ascii="Arial" w:hAnsi="Arial" w:cs="Arial"/>
          <w:bCs/>
          <w:sz w:val="24"/>
          <w:szCs w:val="24"/>
        </w:rPr>
      </w:pPr>
      <w:r w:rsidRPr="00A87EC5">
        <w:rPr>
          <w:rFonts w:ascii="Arial" w:hAnsi="Arial" w:cs="Arial"/>
          <w:bCs/>
          <w:sz w:val="24"/>
          <w:szCs w:val="24"/>
        </w:rPr>
        <w:t>Se abonaron en el Ejercicio 2014 $ 41.563.465 por concepto de “Partida por Eficacia”, sin que la misma se encuentre con reglamentación aprobada por la Junta Departamental.</w:t>
      </w:r>
    </w:p>
    <w:p w:rsidR="00A87EC5" w:rsidRPr="00A87EC5" w:rsidRDefault="00A87EC5" w:rsidP="00A87EC5">
      <w:pPr>
        <w:tabs>
          <w:tab w:val="left" w:pos="540"/>
          <w:tab w:val="num" w:pos="885"/>
        </w:tabs>
        <w:spacing w:line="360" w:lineRule="auto"/>
        <w:jc w:val="both"/>
        <w:rPr>
          <w:rFonts w:ascii="Arial" w:hAnsi="Arial" w:cs="Arial"/>
          <w:sz w:val="24"/>
          <w:szCs w:val="24"/>
        </w:rPr>
      </w:pPr>
      <w:r w:rsidRPr="00A87EC5">
        <w:rPr>
          <w:rFonts w:ascii="Arial" w:hAnsi="Arial" w:cs="Arial"/>
          <w:b/>
          <w:bCs/>
          <w:sz w:val="24"/>
          <w:szCs w:val="24"/>
        </w:rPr>
        <w:t xml:space="preserve">13- Artículo 7 de </w:t>
      </w:r>
      <w:smartTag w:uri="urn:schemas-microsoft-com:office:smarttags" w:element="PersonName">
        <w:smartTagPr>
          <w:attr w:name="ProductID" w:val="la Ley N"/>
        </w:smartTagPr>
        <w:r w:rsidRPr="00A87EC5">
          <w:rPr>
            <w:rFonts w:ascii="Arial" w:hAnsi="Arial" w:cs="Arial"/>
            <w:b/>
            <w:bCs/>
            <w:sz w:val="24"/>
            <w:szCs w:val="24"/>
          </w:rPr>
          <w:t>la Ley N</w:t>
        </w:r>
      </w:smartTag>
      <w:r w:rsidRPr="00A87EC5">
        <w:rPr>
          <w:rFonts w:ascii="Arial" w:hAnsi="Arial" w:cs="Arial"/>
          <w:b/>
          <w:bCs/>
          <w:sz w:val="24"/>
          <w:szCs w:val="24"/>
        </w:rPr>
        <w:t>° 13.142, Artículo 1 del Decreto-Ley N° 14.632 y Decreto</w:t>
      </w:r>
      <w:r w:rsidRPr="00A87EC5">
        <w:rPr>
          <w:rFonts w:ascii="Arial" w:hAnsi="Arial" w:cs="Arial"/>
          <w:b/>
          <w:sz w:val="24"/>
          <w:szCs w:val="24"/>
        </w:rPr>
        <w:t xml:space="preserve"> 342/992: </w:t>
      </w:r>
      <w:r w:rsidRPr="00A87EC5">
        <w:rPr>
          <w:rFonts w:ascii="Arial" w:hAnsi="Arial" w:cs="Arial"/>
          <w:sz w:val="24"/>
          <w:szCs w:val="24"/>
        </w:rPr>
        <w:t>En oportunidad de efectuar los pagos de los compromisos contraídos, no se exige a la totalidad de los proveedores, la presentación de los</w:t>
      </w:r>
      <w:r w:rsidR="00066996">
        <w:rPr>
          <w:rFonts w:ascii="Arial" w:hAnsi="Arial" w:cs="Arial"/>
          <w:sz w:val="24"/>
          <w:szCs w:val="24"/>
        </w:rPr>
        <w:t xml:space="preserve"> certificados correspondientes.</w:t>
      </w:r>
    </w:p>
    <w:p w:rsidR="00A87EC5" w:rsidRPr="00A87EC5" w:rsidRDefault="00A87EC5" w:rsidP="00940B64">
      <w:pPr>
        <w:tabs>
          <w:tab w:val="left" w:pos="540"/>
          <w:tab w:val="num" w:pos="885"/>
        </w:tabs>
        <w:spacing w:line="360" w:lineRule="auto"/>
        <w:jc w:val="both"/>
        <w:rPr>
          <w:rFonts w:ascii="Arial" w:hAnsi="Arial" w:cs="Arial"/>
          <w:color w:val="000000"/>
          <w:sz w:val="24"/>
          <w:szCs w:val="24"/>
        </w:rPr>
      </w:pPr>
      <w:r w:rsidRPr="00A87EC5">
        <w:rPr>
          <w:rFonts w:ascii="Arial" w:hAnsi="Arial" w:cs="Arial"/>
          <w:b/>
          <w:sz w:val="24"/>
          <w:szCs w:val="24"/>
        </w:rPr>
        <w:t xml:space="preserve">14- Artículo 40 del Decreto N° 388/92: </w:t>
      </w:r>
      <w:r w:rsidRPr="00A87EC5">
        <w:rPr>
          <w:rFonts w:ascii="Arial" w:hAnsi="Arial" w:cs="Arial"/>
          <w:color w:val="000000"/>
          <w:sz w:val="24"/>
          <w:szCs w:val="24"/>
        </w:rPr>
        <w:t xml:space="preserve">Se constataron en los centros termales, algunas operaciones de ventas que no fueron documentadas en los comprobantes respectivos. En otros casos, también se constataron errores en la determinación </w:t>
      </w:r>
      <w:r w:rsidR="00940B64">
        <w:rPr>
          <w:rFonts w:ascii="Arial" w:hAnsi="Arial" w:cs="Arial"/>
          <w:color w:val="000000"/>
          <w:sz w:val="24"/>
          <w:szCs w:val="24"/>
        </w:rPr>
        <w:t>del Impuesto al Valor Agregado.</w:t>
      </w:r>
    </w:p>
    <w:p w:rsidR="00A87EC5" w:rsidRPr="00A87EC5" w:rsidRDefault="00A87EC5" w:rsidP="00A87EC5">
      <w:pPr>
        <w:tabs>
          <w:tab w:val="left" w:pos="360"/>
          <w:tab w:val="num" w:pos="885"/>
        </w:tabs>
        <w:spacing w:line="360" w:lineRule="auto"/>
        <w:jc w:val="both"/>
        <w:rPr>
          <w:rFonts w:ascii="Arial" w:hAnsi="Arial" w:cs="Arial"/>
          <w:b/>
          <w:bCs/>
          <w:sz w:val="24"/>
          <w:szCs w:val="24"/>
        </w:rPr>
      </w:pPr>
      <w:r w:rsidRPr="00A87EC5">
        <w:rPr>
          <w:rFonts w:ascii="Arial" w:hAnsi="Arial" w:cs="Arial"/>
          <w:b/>
          <w:bCs/>
          <w:sz w:val="24"/>
          <w:szCs w:val="24"/>
        </w:rPr>
        <w:t xml:space="preserve">15- Artículos 20 y 22 del Decreto 3438/55: </w:t>
      </w:r>
      <w:r w:rsidRPr="00A87EC5">
        <w:rPr>
          <w:rFonts w:ascii="Arial" w:hAnsi="Arial" w:cs="Arial"/>
          <w:bCs/>
          <w:sz w:val="24"/>
          <w:szCs w:val="24"/>
        </w:rPr>
        <w:t>Se constataron algunas contrataciones directas de personal técnico profesional realizadas sin cumplir con el procedimiento de selección establecido en dicha norma.</w:t>
      </w:r>
    </w:p>
    <w:p w:rsidR="00A87EC5" w:rsidRPr="00A87EC5" w:rsidRDefault="00A87EC5" w:rsidP="00A87EC5">
      <w:pPr>
        <w:tabs>
          <w:tab w:val="left" w:pos="360"/>
          <w:tab w:val="num" w:pos="885"/>
        </w:tabs>
        <w:spacing w:line="360" w:lineRule="auto"/>
        <w:jc w:val="both"/>
        <w:rPr>
          <w:rFonts w:ascii="Arial" w:hAnsi="Arial" w:cs="Arial"/>
          <w:b/>
          <w:bCs/>
          <w:sz w:val="24"/>
          <w:szCs w:val="24"/>
        </w:rPr>
      </w:pPr>
      <w:r w:rsidRPr="00A87EC5">
        <w:rPr>
          <w:rFonts w:ascii="Arial" w:hAnsi="Arial" w:cs="Arial"/>
          <w:b/>
          <w:bCs/>
          <w:sz w:val="24"/>
          <w:szCs w:val="24"/>
        </w:rPr>
        <w:t xml:space="preserve">16- Artículo 17 del Decreto 5776/90: </w:t>
      </w:r>
      <w:r w:rsidRPr="00A87EC5">
        <w:rPr>
          <w:rFonts w:ascii="Arial" w:hAnsi="Arial" w:cs="Arial"/>
          <w:bCs/>
          <w:sz w:val="24"/>
          <w:szCs w:val="24"/>
        </w:rPr>
        <w:t>En el grupo Técnico-Profesional existen funcionarios presupuestados que perciben extensión horaria.</w:t>
      </w:r>
    </w:p>
    <w:p w:rsidR="00A87EC5" w:rsidRPr="00A87EC5" w:rsidRDefault="00A87EC5" w:rsidP="00A87EC5">
      <w:pPr>
        <w:tabs>
          <w:tab w:val="left" w:pos="360"/>
          <w:tab w:val="num" w:pos="885"/>
        </w:tabs>
        <w:spacing w:line="360" w:lineRule="auto"/>
        <w:jc w:val="both"/>
        <w:rPr>
          <w:rFonts w:ascii="Arial" w:hAnsi="Arial" w:cs="Arial"/>
          <w:b/>
          <w:bCs/>
          <w:sz w:val="24"/>
          <w:szCs w:val="24"/>
        </w:rPr>
      </w:pPr>
      <w:r w:rsidRPr="00A87EC5">
        <w:rPr>
          <w:rFonts w:ascii="Arial" w:hAnsi="Arial" w:cs="Arial"/>
          <w:b/>
          <w:bCs/>
          <w:color w:val="000000"/>
          <w:sz w:val="24"/>
          <w:szCs w:val="24"/>
        </w:rPr>
        <w:t xml:space="preserve">17- Convenio N° 30 de </w:t>
      </w:r>
      <w:smartTag w:uri="urn:schemas-microsoft-com:office:smarttags" w:element="PersonName">
        <w:smartTagPr>
          <w:attr w:name="ProductID" w:val="la OIT"/>
        </w:smartTagPr>
        <w:r w:rsidRPr="00A87EC5">
          <w:rPr>
            <w:rFonts w:ascii="Arial" w:hAnsi="Arial" w:cs="Arial"/>
            <w:b/>
            <w:bCs/>
            <w:color w:val="000000"/>
            <w:sz w:val="24"/>
            <w:szCs w:val="24"/>
          </w:rPr>
          <w:t>la OIT</w:t>
        </w:r>
      </w:smartTag>
      <w:r w:rsidRPr="00A87EC5">
        <w:rPr>
          <w:rFonts w:ascii="Arial" w:hAnsi="Arial" w:cs="Arial"/>
          <w:b/>
          <w:bCs/>
          <w:color w:val="000000"/>
          <w:sz w:val="24"/>
          <w:szCs w:val="24"/>
        </w:rPr>
        <w:t>:</w:t>
      </w:r>
      <w:r w:rsidRPr="00A87EC5">
        <w:rPr>
          <w:rFonts w:ascii="Arial" w:hAnsi="Arial" w:cs="Arial"/>
          <w:color w:val="000000"/>
          <w:sz w:val="24"/>
          <w:szCs w:val="24"/>
        </w:rPr>
        <w:t xml:space="preserve"> Algunos funcionarios realizaron un horario mayor a las 48 horas semanales, no estando comprendidos dentro de las excepciones establecidas en el mismo.</w:t>
      </w:r>
    </w:p>
    <w:p w:rsidR="00A87EC5" w:rsidRPr="00A87EC5" w:rsidRDefault="00A87EC5" w:rsidP="00A87EC5">
      <w:pPr>
        <w:tabs>
          <w:tab w:val="left" w:pos="360"/>
          <w:tab w:val="num" w:pos="885"/>
        </w:tabs>
        <w:spacing w:line="360" w:lineRule="auto"/>
        <w:jc w:val="both"/>
        <w:rPr>
          <w:rFonts w:ascii="Arial" w:hAnsi="Arial" w:cs="Arial"/>
          <w:sz w:val="24"/>
          <w:szCs w:val="24"/>
        </w:rPr>
      </w:pPr>
      <w:r w:rsidRPr="00A87EC5">
        <w:rPr>
          <w:rFonts w:ascii="Arial" w:hAnsi="Arial" w:cs="Arial"/>
          <w:b/>
          <w:bCs/>
          <w:sz w:val="24"/>
          <w:szCs w:val="24"/>
        </w:rPr>
        <w:t xml:space="preserve">18- Resolución del Tribunal de Cuentas de fecha 28/01/2004: </w:t>
      </w:r>
      <w:r w:rsidRPr="00A87EC5">
        <w:rPr>
          <w:rFonts w:ascii="Arial" w:hAnsi="Arial" w:cs="Arial"/>
          <w:sz w:val="24"/>
          <w:szCs w:val="24"/>
        </w:rPr>
        <w:t xml:space="preserve">El documento de </w:t>
      </w:r>
      <w:smartTag w:uri="urn:schemas-microsoft-com:office:smarttags" w:element="PersonName">
        <w:smartTagPr>
          <w:attr w:name="ProductID" w:val="la Rendici￳n"/>
        </w:smartTagPr>
        <w:r w:rsidRPr="00A87EC5">
          <w:rPr>
            <w:rFonts w:ascii="Arial" w:hAnsi="Arial" w:cs="Arial"/>
            <w:sz w:val="24"/>
            <w:szCs w:val="24"/>
          </w:rPr>
          <w:t>la Rendición</w:t>
        </w:r>
      </w:smartTag>
      <w:r w:rsidRPr="00A87EC5">
        <w:rPr>
          <w:rFonts w:ascii="Arial" w:hAnsi="Arial" w:cs="Arial"/>
          <w:sz w:val="24"/>
          <w:szCs w:val="24"/>
        </w:rPr>
        <w:t xml:space="preserve"> de Cuentas presentado no se ajustó, en su totalidad, a lo dispue</w:t>
      </w:r>
      <w:r w:rsidR="00940B64">
        <w:rPr>
          <w:rFonts w:ascii="Arial" w:hAnsi="Arial" w:cs="Arial"/>
          <w:sz w:val="24"/>
          <w:szCs w:val="24"/>
        </w:rPr>
        <w:t>sto en el Instructivo aprobado.</w:t>
      </w:r>
    </w:p>
    <w:p w:rsidR="00A87EC5" w:rsidRDefault="00A87EC5" w:rsidP="00A87EC5">
      <w:pPr>
        <w:jc w:val="right"/>
        <w:rPr>
          <w:rFonts w:ascii="Arial" w:hAnsi="Arial" w:cs="Arial"/>
          <w:sz w:val="24"/>
          <w:szCs w:val="24"/>
        </w:rPr>
      </w:pPr>
      <w:r w:rsidRPr="00A87EC5">
        <w:rPr>
          <w:rFonts w:ascii="Arial" w:hAnsi="Arial" w:cs="Arial"/>
          <w:sz w:val="24"/>
          <w:szCs w:val="24"/>
        </w:rPr>
        <w:t>Mo</w:t>
      </w:r>
      <w:r w:rsidR="00940B64">
        <w:rPr>
          <w:rFonts w:ascii="Arial" w:hAnsi="Arial" w:cs="Arial"/>
          <w:sz w:val="24"/>
          <w:szCs w:val="24"/>
        </w:rPr>
        <w:t>ntevideo, 19 de octubre de 2015</w:t>
      </w:r>
    </w:p>
    <w:p w:rsidR="00940B64" w:rsidRDefault="00940B64" w:rsidP="00A87EC5">
      <w:pPr>
        <w:jc w:val="right"/>
        <w:rPr>
          <w:rFonts w:ascii="Arial" w:hAnsi="Arial" w:cs="Arial"/>
          <w:sz w:val="24"/>
          <w:szCs w:val="24"/>
        </w:rPr>
      </w:pPr>
    </w:p>
    <w:p w:rsidR="00940B64" w:rsidRDefault="00940B64" w:rsidP="00A87EC5">
      <w:pPr>
        <w:jc w:val="right"/>
        <w:rPr>
          <w:rFonts w:ascii="Arial" w:hAnsi="Arial" w:cs="Arial"/>
          <w:sz w:val="24"/>
          <w:szCs w:val="24"/>
        </w:rPr>
      </w:pPr>
    </w:p>
    <w:p w:rsidR="00A87EC5" w:rsidRPr="00A87EC5" w:rsidRDefault="00A87EC5" w:rsidP="00A87EC5">
      <w:pPr>
        <w:keepNext/>
        <w:spacing w:line="360" w:lineRule="auto"/>
        <w:jc w:val="center"/>
        <w:outlineLvl w:val="0"/>
        <w:rPr>
          <w:rFonts w:ascii="Arial" w:hAnsi="Arial" w:cs="Arial"/>
          <w:b/>
          <w:bCs/>
          <w:kern w:val="32"/>
          <w:sz w:val="24"/>
          <w:szCs w:val="24"/>
        </w:rPr>
      </w:pPr>
      <w:bookmarkStart w:id="3" w:name="_Toc400023264"/>
      <w:r w:rsidRPr="00A87EC5">
        <w:rPr>
          <w:rFonts w:ascii="Arial" w:hAnsi="Arial" w:cs="Arial"/>
          <w:b/>
          <w:bCs/>
          <w:kern w:val="32"/>
          <w:sz w:val="24"/>
          <w:szCs w:val="24"/>
        </w:rPr>
        <w:t>INFORME A LA ADMINISTRACIÓN</w:t>
      </w:r>
      <w:bookmarkEnd w:id="3"/>
    </w:p>
    <w:p w:rsidR="00A87EC5" w:rsidRPr="00A87EC5" w:rsidRDefault="00A87EC5" w:rsidP="00A87EC5">
      <w:pPr>
        <w:spacing w:line="360" w:lineRule="auto"/>
        <w:jc w:val="both"/>
        <w:rPr>
          <w:rFonts w:ascii="Arial" w:hAnsi="Arial" w:cs="Arial"/>
          <w:kern w:val="18"/>
          <w:sz w:val="24"/>
          <w:szCs w:val="24"/>
        </w:rPr>
      </w:pPr>
      <w:r w:rsidRPr="00A87EC5">
        <w:rPr>
          <w:rFonts w:ascii="Arial" w:hAnsi="Arial" w:cs="Arial"/>
          <w:kern w:val="18"/>
          <w:sz w:val="24"/>
          <w:szCs w:val="24"/>
        </w:rPr>
        <w:t>El Tribunal de Cuentas ha examinado la Rendición de Cuentas y Balance de Ejecución Presupuestal correspondiente al Ejercicio 2014 y ha emitido su correspondiente Dictamen.</w:t>
      </w:r>
    </w:p>
    <w:p w:rsidR="00A87EC5" w:rsidRDefault="00A87EC5" w:rsidP="00A87EC5">
      <w:pPr>
        <w:spacing w:line="360" w:lineRule="auto"/>
        <w:jc w:val="both"/>
        <w:rPr>
          <w:rFonts w:ascii="Arial" w:hAnsi="Arial" w:cs="Arial"/>
          <w:kern w:val="18"/>
          <w:sz w:val="24"/>
          <w:szCs w:val="24"/>
        </w:rPr>
      </w:pPr>
      <w:r w:rsidRPr="00A87EC5">
        <w:rPr>
          <w:rFonts w:ascii="Arial" w:hAnsi="Arial" w:cs="Arial"/>
          <w:kern w:val="18"/>
          <w:sz w:val="24"/>
          <w:szCs w:val="24"/>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A87EC5" w:rsidRPr="00A87EC5" w:rsidRDefault="00A87EC5" w:rsidP="00A87EC5">
      <w:pPr>
        <w:numPr>
          <w:ilvl w:val="1"/>
          <w:numId w:val="0"/>
        </w:numPr>
        <w:tabs>
          <w:tab w:val="num" w:pos="0"/>
        </w:tabs>
        <w:spacing w:line="360" w:lineRule="auto"/>
        <w:ind w:left="450" w:hanging="450"/>
        <w:outlineLvl w:val="1"/>
        <w:rPr>
          <w:rFonts w:ascii="Arial" w:hAnsi="Arial" w:cs="Arial"/>
          <w:b/>
          <w:kern w:val="18"/>
          <w:sz w:val="24"/>
          <w:szCs w:val="24"/>
        </w:rPr>
      </w:pPr>
      <w:bookmarkStart w:id="4" w:name="_Toc400023265"/>
      <w:r w:rsidRPr="00A87EC5">
        <w:rPr>
          <w:rFonts w:ascii="Arial" w:hAnsi="Arial" w:cs="Arial"/>
          <w:b/>
          <w:kern w:val="18"/>
          <w:sz w:val="24"/>
          <w:szCs w:val="24"/>
        </w:rPr>
        <w:t>1- Constataciones que no afectan la opinión</w:t>
      </w:r>
      <w:bookmarkEnd w:id="4"/>
    </w:p>
    <w:p w:rsidR="00A87EC5" w:rsidRPr="00A87EC5" w:rsidRDefault="00A87EC5" w:rsidP="00A87EC5">
      <w:pPr>
        <w:keepNext/>
        <w:spacing w:line="360" w:lineRule="auto"/>
        <w:jc w:val="both"/>
        <w:outlineLvl w:val="2"/>
        <w:rPr>
          <w:rFonts w:ascii="Arial" w:hAnsi="Arial" w:cs="Arial"/>
          <w:b/>
          <w:bCs/>
          <w:sz w:val="24"/>
          <w:szCs w:val="24"/>
        </w:rPr>
      </w:pPr>
      <w:r w:rsidRPr="00A87EC5">
        <w:rPr>
          <w:rFonts w:ascii="Arial" w:hAnsi="Arial" w:cs="Arial"/>
          <w:b/>
          <w:bCs/>
          <w:sz w:val="24"/>
          <w:szCs w:val="24"/>
        </w:rPr>
        <w:t>1.1- Ajustes al resultado del Ejercicio y al resultado acumulado al 31 de diciembre de 2014</w:t>
      </w:r>
    </w:p>
    <w:p w:rsidR="00A87EC5" w:rsidRPr="00A87EC5" w:rsidRDefault="00A87EC5" w:rsidP="00A87EC5">
      <w:pPr>
        <w:spacing w:line="360" w:lineRule="auto"/>
        <w:jc w:val="both"/>
        <w:rPr>
          <w:rFonts w:ascii="Arial" w:hAnsi="Arial" w:cs="Arial"/>
          <w:kern w:val="18"/>
          <w:sz w:val="24"/>
          <w:szCs w:val="24"/>
          <w:lang w:val="es-ES_tradnl"/>
        </w:rPr>
      </w:pPr>
      <w:r w:rsidRPr="00A87EC5">
        <w:rPr>
          <w:rFonts w:ascii="Arial" w:hAnsi="Arial" w:cs="Arial"/>
          <w:kern w:val="18"/>
          <w:sz w:val="24"/>
          <w:szCs w:val="24"/>
          <w:lang w:val="es-ES_tradnl"/>
        </w:rPr>
        <w:t>Tomando en cuenta lo expresado en el numeral 4 del Dictamen, el resultado del Ejercicio ajustado es de $ 143:241.010 de déficit, siendo el déficit acumulado al 31/12/2014 de $ 727:985.126, según el siguiente detalle:</w:t>
      </w:r>
    </w:p>
    <w:tbl>
      <w:tblPr>
        <w:tblpPr w:leftFromText="141" w:rightFromText="141" w:vertAnchor="text" w:horzAnchor="margin" w:tblpY="274"/>
        <w:tblOverlap w:val="never"/>
        <w:tblW w:w="7360" w:type="dxa"/>
        <w:tblCellMar>
          <w:left w:w="70" w:type="dxa"/>
          <w:right w:w="70" w:type="dxa"/>
        </w:tblCellMar>
        <w:tblLook w:val="04A0" w:firstRow="1" w:lastRow="0" w:firstColumn="1" w:lastColumn="0" w:noHBand="0" w:noVBand="1"/>
      </w:tblPr>
      <w:tblGrid>
        <w:gridCol w:w="5402"/>
        <w:gridCol w:w="83"/>
        <w:gridCol w:w="155"/>
        <w:gridCol w:w="1720"/>
      </w:tblGrid>
      <w:tr w:rsidR="00A87EC5" w:rsidRPr="00A87EC5" w:rsidTr="00A87EC5">
        <w:trPr>
          <w:trHeight w:val="141"/>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r w:rsidRPr="00A87EC5">
              <w:rPr>
                <w:rFonts w:ascii="Arial" w:hAnsi="Arial" w:cs="Arial"/>
                <w:kern w:val="18"/>
                <w:sz w:val="24"/>
                <w:szCs w:val="24"/>
                <w:lang w:val="es-ES_tradnl"/>
              </w:rPr>
              <w:t>Resultado del ejercicio s/ la Intendencia</w:t>
            </w:r>
          </w:p>
        </w:tc>
        <w:tc>
          <w:tcPr>
            <w:tcW w:w="1720" w:type="dxa"/>
            <w:tcBorders>
              <w:top w:val="nil"/>
              <w:left w:val="nil"/>
              <w:bottom w:val="nil"/>
              <w:right w:val="nil"/>
            </w:tcBorders>
            <w:shd w:val="clear" w:color="auto" w:fill="auto"/>
            <w:noWrap/>
            <w:vAlign w:val="bottom"/>
          </w:tcPr>
          <w:p w:rsidR="00A87EC5" w:rsidRPr="00A87EC5" w:rsidRDefault="00A87EC5" w:rsidP="00A87EC5">
            <w:pPr>
              <w:jc w:val="right"/>
              <w:rPr>
                <w:rFonts w:ascii="Arial" w:hAnsi="Arial" w:cs="Arial"/>
                <w:kern w:val="18"/>
                <w:sz w:val="24"/>
                <w:szCs w:val="24"/>
                <w:lang w:val="es-ES_tradnl"/>
              </w:rPr>
            </w:pPr>
            <w:r w:rsidRPr="00A87EC5">
              <w:rPr>
                <w:rFonts w:ascii="Arial" w:hAnsi="Arial" w:cs="Arial"/>
                <w:kern w:val="18"/>
                <w:sz w:val="24"/>
                <w:szCs w:val="24"/>
                <w:lang w:val="es-ES_tradnl"/>
              </w:rPr>
              <w:t>(143:186.704)</w:t>
            </w:r>
          </w:p>
        </w:tc>
      </w:tr>
      <w:tr w:rsidR="00A87EC5" w:rsidRPr="00A87EC5" w:rsidTr="00A87EC5">
        <w:trPr>
          <w:trHeight w:val="141"/>
        </w:trPr>
        <w:tc>
          <w:tcPr>
            <w:tcW w:w="5402" w:type="dxa"/>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u w:val="single"/>
                <w:lang w:val="es-ES_tradnl"/>
              </w:rPr>
            </w:pPr>
            <w:r w:rsidRPr="00A87EC5">
              <w:rPr>
                <w:rFonts w:ascii="Arial" w:hAnsi="Arial" w:cs="Arial"/>
                <w:kern w:val="18"/>
                <w:sz w:val="24"/>
                <w:szCs w:val="24"/>
                <w:u w:val="single"/>
                <w:lang w:val="es-ES_tradnl"/>
              </w:rPr>
              <w:t>Ajustes</w:t>
            </w:r>
          </w:p>
        </w:tc>
        <w:tc>
          <w:tcPr>
            <w:tcW w:w="238" w:type="dxa"/>
            <w:gridSpan w:val="2"/>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p>
        </w:tc>
        <w:tc>
          <w:tcPr>
            <w:tcW w:w="1720" w:type="dxa"/>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p>
        </w:tc>
      </w:tr>
      <w:tr w:rsidR="00A87EC5" w:rsidRPr="00A87EC5" w:rsidTr="00A87EC5">
        <w:trPr>
          <w:trHeight w:val="141"/>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r w:rsidRPr="00A87EC5">
              <w:rPr>
                <w:rFonts w:ascii="Arial" w:hAnsi="Arial" w:cs="Arial"/>
                <w:kern w:val="18"/>
                <w:sz w:val="24"/>
                <w:szCs w:val="24"/>
                <w:lang w:val="es-ES_tradnl"/>
              </w:rPr>
              <w:t>Cheque del 2014 cobrado 5/1/2015</w:t>
            </w:r>
          </w:p>
        </w:tc>
        <w:tc>
          <w:tcPr>
            <w:tcW w:w="1720" w:type="dxa"/>
            <w:tcBorders>
              <w:top w:val="nil"/>
              <w:left w:val="nil"/>
              <w:bottom w:val="nil"/>
              <w:right w:val="nil"/>
            </w:tcBorders>
            <w:shd w:val="clear" w:color="auto" w:fill="auto"/>
            <w:noWrap/>
            <w:vAlign w:val="bottom"/>
          </w:tcPr>
          <w:p w:rsidR="00A87EC5" w:rsidRPr="00A87EC5" w:rsidRDefault="00A87EC5" w:rsidP="00A87EC5">
            <w:pPr>
              <w:jc w:val="right"/>
              <w:rPr>
                <w:rFonts w:ascii="Arial" w:hAnsi="Arial" w:cs="Arial"/>
                <w:kern w:val="18"/>
                <w:sz w:val="24"/>
                <w:szCs w:val="24"/>
                <w:lang w:val="es-ES_tradnl"/>
              </w:rPr>
            </w:pPr>
            <w:r w:rsidRPr="00A87EC5">
              <w:rPr>
                <w:rFonts w:ascii="Arial" w:hAnsi="Arial" w:cs="Arial"/>
                <w:kern w:val="18"/>
                <w:sz w:val="24"/>
                <w:szCs w:val="24"/>
                <w:lang w:val="es-ES_tradnl"/>
              </w:rPr>
              <w:t>(54.306)</w:t>
            </w:r>
          </w:p>
        </w:tc>
      </w:tr>
      <w:tr w:rsidR="00A87EC5" w:rsidRPr="00A87EC5" w:rsidTr="00A87EC5">
        <w:trPr>
          <w:trHeight w:val="43"/>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highlight w:val="yellow"/>
                <w:lang w:val="es-ES_tradnl"/>
              </w:rPr>
            </w:pPr>
          </w:p>
        </w:tc>
        <w:tc>
          <w:tcPr>
            <w:tcW w:w="1720" w:type="dxa"/>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highlight w:val="yellow"/>
                <w:lang w:val="es-ES_tradnl"/>
              </w:rPr>
            </w:pPr>
          </w:p>
        </w:tc>
      </w:tr>
      <w:tr w:rsidR="00A87EC5" w:rsidRPr="00A87EC5" w:rsidTr="00A87EC5">
        <w:trPr>
          <w:trHeight w:val="43"/>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highlight w:val="yellow"/>
                <w:lang w:val="es-ES_tradnl"/>
              </w:rPr>
            </w:pPr>
            <w:r w:rsidRPr="00A87EC5">
              <w:rPr>
                <w:rFonts w:ascii="Arial" w:hAnsi="Arial" w:cs="Arial"/>
                <w:kern w:val="18"/>
                <w:sz w:val="24"/>
                <w:szCs w:val="24"/>
                <w:lang w:val="es-ES_tradnl"/>
              </w:rPr>
              <w:t>Resultado del Ejercicio ajustado</w:t>
            </w:r>
          </w:p>
        </w:tc>
        <w:tc>
          <w:tcPr>
            <w:tcW w:w="1720" w:type="dxa"/>
            <w:tcBorders>
              <w:top w:val="single" w:sz="4" w:space="0" w:color="auto"/>
              <w:left w:val="nil"/>
              <w:bottom w:val="single" w:sz="4" w:space="0" w:color="auto"/>
              <w:right w:val="nil"/>
            </w:tcBorders>
            <w:shd w:val="clear" w:color="auto" w:fill="auto"/>
            <w:noWrap/>
            <w:vAlign w:val="bottom"/>
          </w:tcPr>
          <w:p w:rsidR="00A87EC5" w:rsidRPr="00A87EC5" w:rsidRDefault="00A87EC5" w:rsidP="00A87EC5">
            <w:pPr>
              <w:jc w:val="right"/>
              <w:rPr>
                <w:rFonts w:ascii="Arial" w:hAnsi="Arial" w:cs="Arial"/>
                <w:kern w:val="18"/>
                <w:sz w:val="24"/>
                <w:szCs w:val="24"/>
                <w:highlight w:val="yellow"/>
                <w:lang w:val="es-ES_tradnl"/>
              </w:rPr>
            </w:pPr>
            <w:r w:rsidRPr="00A87EC5">
              <w:rPr>
                <w:rFonts w:ascii="Arial" w:hAnsi="Arial" w:cs="Arial"/>
                <w:kern w:val="18"/>
                <w:sz w:val="24"/>
                <w:szCs w:val="24"/>
                <w:lang w:val="es-ES_tradnl"/>
              </w:rPr>
              <w:t>(143:241.010)</w:t>
            </w:r>
          </w:p>
        </w:tc>
      </w:tr>
      <w:tr w:rsidR="00A87EC5" w:rsidRPr="00A87EC5" w:rsidTr="00A87EC5">
        <w:trPr>
          <w:trHeight w:val="148"/>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p>
        </w:tc>
        <w:tc>
          <w:tcPr>
            <w:tcW w:w="1720" w:type="dxa"/>
            <w:tcBorders>
              <w:top w:val="single" w:sz="4" w:space="0" w:color="auto"/>
              <w:left w:val="nil"/>
              <w:bottom w:val="nil"/>
              <w:right w:val="nil"/>
            </w:tcBorders>
            <w:shd w:val="clear" w:color="auto" w:fill="auto"/>
            <w:noWrap/>
            <w:vAlign w:val="bottom"/>
          </w:tcPr>
          <w:p w:rsidR="00A87EC5" w:rsidRPr="00A87EC5" w:rsidRDefault="00A87EC5" w:rsidP="00A87EC5">
            <w:pPr>
              <w:jc w:val="right"/>
              <w:rPr>
                <w:rFonts w:ascii="Arial" w:hAnsi="Arial" w:cs="Arial"/>
                <w:kern w:val="18"/>
                <w:sz w:val="24"/>
                <w:szCs w:val="24"/>
                <w:lang w:val="es-ES_tradnl"/>
              </w:rPr>
            </w:pPr>
          </w:p>
        </w:tc>
      </w:tr>
      <w:tr w:rsidR="00A87EC5" w:rsidRPr="00A87EC5" w:rsidTr="00A87EC5">
        <w:trPr>
          <w:trHeight w:val="148"/>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highlight w:val="yellow"/>
                <w:lang w:val="es-ES_tradnl"/>
              </w:rPr>
            </w:pPr>
            <w:r w:rsidRPr="00A87EC5">
              <w:rPr>
                <w:rFonts w:ascii="Arial" w:hAnsi="Arial" w:cs="Arial"/>
                <w:kern w:val="18"/>
                <w:sz w:val="24"/>
                <w:szCs w:val="24"/>
                <w:lang w:val="es-ES_tradnl"/>
              </w:rPr>
              <w:t>Resultado acumulado s/ la Intendencia</w:t>
            </w:r>
          </w:p>
        </w:tc>
        <w:tc>
          <w:tcPr>
            <w:tcW w:w="1720" w:type="dxa"/>
            <w:tcBorders>
              <w:top w:val="nil"/>
              <w:left w:val="nil"/>
              <w:bottom w:val="nil"/>
              <w:right w:val="nil"/>
            </w:tcBorders>
            <w:shd w:val="clear" w:color="auto" w:fill="auto"/>
            <w:noWrap/>
            <w:vAlign w:val="bottom"/>
          </w:tcPr>
          <w:p w:rsidR="00A87EC5" w:rsidRPr="00A87EC5" w:rsidRDefault="00A87EC5" w:rsidP="00A87EC5">
            <w:pPr>
              <w:jc w:val="center"/>
              <w:rPr>
                <w:rFonts w:ascii="Arial" w:hAnsi="Arial" w:cs="Arial"/>
                <w:kern w:val="18"/>
                <w:sz w:val="24"/>
                <w:szCs w:val="24"/>
                <w:highlight w:val="yellow"/>
                <w:lang w:val="es-ES_tradnl"/>
              </w:rPr>
            </w:pPr>
            <w:r w:rsidRPr="00A87EC5">
              <w:rPr>
                <w:rFonts w:ascii="Arial" w:hAnsi="Arial" w:cs="Arial"/>
                <w:kern w:val="18"/>
                <w:sz w:val="24"/>
                <w:szCs w:val="24"/>
                <w:lang w:val="es-ES_tradnl"/>
              </w:rPr>
              <w:t xml:space="preserve">   (727:930.820)    </w:t>
            </w:r>
          </w:p>
        </w:tc>
      </w:tr>
      <w:tr w:rsidR="00A87EC5" w:rsidRPr="00A87EC5" w:rsidTr="00A87EC5">
        <w:trPr>
          <w:trHeight w:val="141"/>
        </w:trPr>
        <w:tc>
          <w:tcPr>
            <w:tcW w:w="5485" w:type="dxa"/>
            <w:gridSpan w:val="2"/>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r w:rsidRPr="00A87EC5">
              <w:rPr>
                <w:rFonts w:ascii="Arial" w:hAnsi="Arial" w:cs="Arial"/>
                <w:kern w:val="18"/>
                <w:sz w:val="24"/>
                <w:szCs w:val="24"/>
                <w:lang w:val="es-ES_tradnl"/>
              </w:rPr>
              <w:t xml:space="preserve"> </w:t>
            </w:r>
            <w:r w:rsidRPr="00A87EC5">
              <w:rPr>
                <w:rFonts w:ascii="Arial" w:hAnsi="Arial" w:cs="Arial"/>
                <w:kern w:val="18"/>
                <w:sz w:val="24"/>
                <w:szCs w:val="24"/>
                <w:u w:val="single"/>
                <w:lang w:val="es-ES_tradnl"/>
              </w:rPr>
              <w:t>Ajustes</w:t>
            </w:r>
            <w:r w:rsidRPr="00A87EC5">
              <w:rPr>
                <w:rFonts w:ascii="Arial" w:hAnsi="Arial" w:cs="Arial"/>
                <w:kern w:val="18"/>
                <w:sz w:val="24"/>
                <w:szCs w:val="24"/>
                <w:lang w:val="es-ES_tradnl"/>
              </w:rPr>
              <w:t xml:space="preserve">                               </w:t>
            </w:r>
          </w:p>
        </w:tc>
        <w:tc>
          <w:tcPr>
            <w:tcW w:w="155" w:type="dxa"/>
            <w:tcBorders>
              <w:top w:val="nil"/>
              <w:left w:val="nil"/>
              <w:right w:val="nil"/>
            </w:tcBorders>
            <w:shd w:val="clear" w:color="auto" w:fill="auto"/>
            <w:noWrap/>
            <w:vAlign w:val="bottom"/>
          </w:tcPr>
          <w:p w:rsidR="00A87EC5" w:rsidRPr="00A87EC5" w:rsidRDefault="00A87EC5" w:rsidP="00A87EC5">
            <w:pPr>
              <w:jc w:val="right"/>
              <w:rPr>
                <w:rFonts w:ascii="Arial" w:hAnsi="Arial" w:cs="Arial"/>
                <w:kern w:val="18"/>
                <w:sz w:val="24"/>
                <w:szCs w:val="24"/>
                <w:lang w:val="es-ES_tradnl"/>
              </w:rPr>
            </w:pPr>
            <w:r w:rsidRPr="00A87EC5">
              <w:rPr>
                <w:rFonts w:ascii="Arial" w:hAnsi="Arial" w:cs="Arial"/>
                <w:kern w:val="18"/>
                <w:sz w:val="24"/>
                <w:szCs w:val="24"/>
                <w:lang w:val="es-ES_tradnl"/>
              </w:rPr>
              <w:t xml:space="preserve">     </w:t>
            </w:r>
          </w:p>
        </w:tc>
        <w:tc>
          <w:tcPr>
            <w:tcW w:w="1720" w:type="dxa"/>
            <w:tcBorders>
              <w:top w:val="nil"/>
              <w:left w:val="nil"/>
              <w:bottom w:val="single" w:sz="4" w:space="0" w:color="auto"/>
              <w:right w:val="nil"/>
            </w:tcBorders>
            <w:shd w:val="clear" w:color="auto" w:fill="auto"/>
            <w:noWrap/>
            <w:vAlign w:val="bottom"/>
          </w:tcPr>
          <w:p w:rsidR="00A87EC5" w:rsidRPr="00A87EC5" w:rsidRDefault="00A87EC5" w:rsidP="00A87EC5">
            <w:pPr>
              <w:ind w:left="686"/>
              <w:rPr>
                <w:rFonts w:ascii="Arial" w:hAnsi="Arial" w:cs="Arial"/>
                <w:kern w:val="18"/>
                <w:sz w:val="24"/>
                <w:szCs w:val="24"/>
                <w:lang w:val="es-ES_tradnl"/>
              </w:rPr>
            </w:pPr>
            <w:r w:rsidRPr="00A87EC5">
              <w:rPr>
                <w:rFonts w:ascii="Arial" w:hAnsi="Arial" w:cs="Arial"/>
                <w:kern w:val="18"/>
                <w:sz w:val="24"/>
                <w:szCs w:val="24"/>
                <w:lang w:val="es-ES_tradnl"/>
              </w:rPr>
              <w:t xml:space="preserve">                   (54.306)                     </w:t>
            </w:r>
          </w:p>
        </w:tc>
      </w:tr>
      <w:tr w:rsidR="00A87EC5" w:rsidRPr="00A87EC5" w:rsidTr="00A87EC5">
        <w:trPr>
          <w:trHeight w:val="141"/>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p>
          <w:p w:rsidR="00A87EC5" w:rsidRPr="00A87EC5" w:rsidRDefault="00A87EC5" w:rsidP="00A87EC5">
            <w:pPr>
              <w:rPr>
                <w:rFonts w:ascii="Arial" w:hAnsi="Arial" w:cs="Arial"/>
                <w:kern w:val="18"/>
                <w:sz w:val="24"/>
                <w:szCs w:val="24"/>
                <w:lang w:val="es-ES_tradnl"/>
              </w:rPr>
            </w:pPr>
            <w:r w:rsidRPr="00A87EC5">
              <w:rPr>
                <w:rFonts w:ascii="Arial" w:hAnsi="Arial" w:cs="Arial"/>
                <w:kern w:val="18"/>
                <w:sz w:val="24"/>
                <w:szCs w:val="24"/>
                <w:lang w:val="es-ES_tradnl"/>
              </w:rPr>
              <w:t>Resultado Acumulado ajustado</w:t>
            </w:r>
          </w:p>
        </w:tc>
        <w:tc>
          <w:tcPr>
            <w:tcW w:w="1720" w:type="dxa"/>
            <w:tcBorders>
              <w:top w:val="single" w:sz="4" w:space="0" w:color="auto"/>
              <w:left w:val="nil"/>
              <w:bottom w:val="single" w:sz="4" w:space="0" w:color="auto"/>
              <w:right w:val="nil"/>
            </w:tcBorders>
            <w:shd w:val="clear" w:color="auto" w:fill="auto"/>
            <w:noWrap/>
            <w:vAlign w:val="bottom"/>
          </w:tcPr>
          <w:p w:rsidR="00A87EC5" w:rsidRPr="00A87EC5" w:rsidRDefault="00A87EC5" w:rsidP="00A87EC5">
            <w:pPr>
              <w:jc w:val="right"/>
              <w:rPr>
                <w:rFonts w:ascii="Arial" w:hAnsi="Arial" w:cs="Arial"/>
                <w:kern w:val="18"/>
                <w:sz w:val="24"/>
                <w:szCs w:val="24"/>
                <w:lang w:val="es-ES_tradnl"/>
              </w:rPr>
            </w:pPr>
            <w:r w:rsidRPr="00A87EC5">
              <w:rPr>
                <w:rFonts w:ascii="Arial" w:hAnsi="Arial" w:cs="Arial"/>
                <w:kern w:val="18"/>
                <w:sz w:val="24"/>
                <w:szCs w:val="24"/>
                <w:lang w:val="es-ES_tradnl"/>
              </w:rPr>
              <w:t>(727:985.126)</w:t>
            </w:r>
          </w:p>
        </w:tc>
      </w:tr>
      <w:tr w:rsidR="00A87EC5" w:rsidRPr="00A87EC5" w:rsidTr="00A87EC5">
        <w:trPr>
          <w:gridAfter w:val="1"/>
          <w:wAfter w:w="1720" w:type="dxa"/>
          <w:trHeight w:val="141"/>
        </w:trPr>
        <w:tc>
          <w:tcPr>
            <w:tcW w:w="5640" w:type="dxa"/>
            <w:gridSpan w:val="3"/>
            <w:tcBorders>
              <w:top w:val="nil"/>
              <w:left w:val="nil"/>
              <w:bottom w:val="nil"/>
              <w:right w:val="nil"/>
            </w:tcBorders>
            <w:shd w:val="clear" w:color="auto" w:fill="auto"/>
            <w:noWrap/>
            <w:vAlign w:val="bottom"/>
          </w:tcPr>
          <w:p w:rsidR="00A87EC5" w:rsidRPr="00A87EC5" w:rsidRDefault="00A87EC5" w:rsidP="00A87EC5">
            <w:pPr>
              <w:rPr>
                <w:rFonts w:ascii="Arial" w:hAnsi="Arial" w:cs="Arial"/>
                <w:kern w:val="18"/>
                <w:sz w:val="24"/>
                <w:szCs w:val="24"/>
                <w:lang w:val="es-ES_tradnl"/>
              </w:rPr>
            </w:pPr>
          </w:p>
        </w:tc>
      </w:tr>
    </w:tbl>
    <w:p w:rsidR="00A87EC5" w:rsidRPr="00A87EC5" w:rsidRDefault="00A87EC5"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940B64" w:rsidRDefault="00940B64" w:rsidP="00A87EC5">
      <w:pPr>
        <w:spacing w:line="360" w:lineRule="auto"/>
        <w:rPr>
          <w:rFonts w:ascii="Arial" w:hAnsi="Arial" w:cs="Arial"/>
          <w:b/>
          <w:sz w:val="24"/>
          <w:szCs w:val="24"/>
        </w:rPr>
      </w:pPr>
    </w:p>
    <w:p w:rsidR="00A87EC5" w:rsidRPr="00A87EC5" w:rsidRDefault="00A87EC5" w:rsidP="00A87EC5">
      <w:pPr>
        <w:spacing w:line="360" w:lineRule="auto"/>
        <w:rPr>
          <w:rFonts w:ascii="Arial" w:hAnsi="Arial" w:cs="Arial"/>
          <w:b/>
          <w:sz w:val="24"/>
          <w:szCs w:val="24"/>
        </w:rPr>
      </w:pPr>
      <w:r w:rsidRPr="00A87EC5">
        <w:rPr>
          <w:rFonts w:ascii="Arial" w:hAnsi="Arial" w:cs="Arial"/>
          <w:b/>
          <w:sz w:val="24"/>
          <w:szCs w:val="24"/>
        </w:rPr>
        <w:t>1.2 Juicios pendientes contra la Intendencia</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En el documento de la Rendición de Cuentas 2014 se presentó un listado de los juicios en trámite contra la Intendencia, los que totalizan $ 118:892.243, U$S 30:267.201 y UR 288, y se informa sobre el estado de los mismos. Las eventuales erogaciones resultantes pueden modificar el resultado acumulado al 31/12/2014 de la Intendencia.</w:t>
      </w:r>
    </w:p>
    <w:p w:rsidR="00A87EC5" w:rsidRPr="00A87EC5" w:rsidRDefault="00A87EC5" w:rsidP="00A87EC5">
      <w:pPr>
        <w:spacing w:line="360" w:lineRule="auto"/>
        <w:jc w:val="both"/>
        <w:rPr>
          <w:rFonts w:ascii="Arial" w:hAnsi="Arial" w:cs="Arial"/>
          <w:sz w:val="24"/>
          <w:szCs w:val="24"/>
        </w:rPr>
      </w:pPr>
    </w:p>
    <w:p w:rsidR="00A87EC5" w:rsidRPr="00A87EC5" w:rsidRDefault="00940B64" w:rsidP="00A87EC5">
      <w:pPr>
        <w:keepNext/>
        <w:spacing w:line="360" w:lineRule="auto"/>
        <w:jc w:val="both"/>
        <w:outlineLvl w:val="2"/>
        <w:rPr>
          <w:rFonts w:ascii="Arial" w:hAnsi="Arial" w:cs="Arial"/>
          <w:b/>
          <w:bCs/>
          <w:sz w:val="24"/>
          <w:szCs w:val="24"/>
        </w:rPr>
      </w:pPr>
      <w:r>
        <w:rPr>
          <w:rFonts w:ascii="Arial" w:hAnsi="Arial" w:cs="Arial"/>
          <w:b/>
          <w:bCs/>
          <w:sz w:val="24"/>
          <w:szCs w:val="24"/>
        </w:rPr>
        <w:t>2- Incumplimiento de normas</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Con referencia al incumplimiento de normas corresponde realizar las siguientes consideraciones:</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2.1- Artículo 86 de la Constitución de la República y Presupuesto Quinquenal 2011-2015 de la Intendencia.</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Al 31/12/2014 el total de funcionarios de la Intendencia es de 1959, entre presupuestados, contratados y zafrales, cantidad que excede en 161 a los previstos presupuestalmente en la Modificación Presupuestal del 2012-2015, de 1798. Por lo expuesto, la Intendencia creó empleos y no se ajustó a la estructura orgánica administrativa aprobada por la Junta Departamental.</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 xml:space="preserve"> 2.2-  Resolución del Tribunal de Cuentas de fecha 28/01/2004.</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lang w:eastAsia="ar-SA"/>
        </w:rPr>
        <w:t>El documento presentado no se ajustó en su totalidad a lo preceptuado en dicha norma, ya que:</w:t>
      </w:r>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color w:val="000000"/>
          <w:sz w:val="24"/>
          <w:szCs w:val="24"/>
        </w:rPr>
        <w:t>-en el Estado Demostrativo del Grado de Cumplimiento de los Objetivos y Metas, no se identificó para cada obra las unidades físicas previstas y ejecutadas, ni las inversiones comprometidas y</w:t>
      </w:r>
      <w:r w:rsidR="006E1A8A">
        <w:rPr>
          <w:rFonts w:ascii="Arial" w:hAnsi="Arial" w:cs="Arial"/>
          <w:color w:val="000000"/>
          <w:sz w:val="24"/>
          <w:szCs w:val="24"/>
        </w:rPr>
        <w:t xml:space="preserve"> no ejecutadas en el Ejercicio;</w:t>
      </w:r>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sz w:val="24"/>
          <w:szCs w:val="24"/>
        </w:rPr>
        <w:t>-no se incluyó el Estado 3.3.5 de los Compromisos de Inversión no Ejecutados al cierre, detallando el programa, objeto, concepto e importe del total de compr</w:t>
      </w:r>
      <w:r w:rsidR="00940B64">
        <w:rPr>
          <w:rFonts w:ascii="Arial" w:hAnsi="Arial" w:cs="Arial"/>
          <w:sz w:val="24"/>
          <w:szCs w:val="24"/>
        </w:rPr>
        <w:t>omisos pendientes de ejecución;</w:t>
      </w:r>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color w:val="000000"/>
          <w:sz w:val="24"/>
          <w:szCs w:val="24"/>
        </w:rPr>
        <w:t>-no constan en las conciliaciones bancarias remitidas, el nombre del funcionario que las realizó ni de quien las controló;</w:t>
      </w:r>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color w:val="000000"/>
          <w:sz w:val="24"/>
          <w:szCs w:val="24"/>
        </w:rPr>
        <w:t>-no se dejó expresa constancia de que el Estado 3.6.2, comprende a la totalidad de las cuentas bancarias y caj</w:t>
      </w:r>
      <w:r w:rsidR="00940B64">
        <w:rPr>
          <w:rFonts w:ascii="Arial" w:hAnsi="Arial" w:cs="Arial"/>
          <w:color w:val="000000"/>
          <w:sz w:val="24"/>
          <w:szCs w:val="24"/>
        </w:rPr>
        <w:t>as de la Intendencia Municipal;</w:t>
      </w:r>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color w:val="000000"/>
          <w:sz w:val="24"/>
          <w:szCs w:val="24"/>
        </w:rPr>
        <w:t>-no se incluyó copia del inventario de activos que integran el patrimonio municipal al cierre de ejercicio (Estado Nº 15);</w:t>
      </w:r>
    </w:p>
    <w:p w:rsidR="00A87EC5" w:rsidRPr="00A87EC5" w:rsidRDefault="00A87EC5" w:rsidP="00A87EC5">
      <w:pPr>
        <w:spacing w:line="360" w:lineRule="auto"/>
        <w:jc w:val="both"/>
        <w:rPr>
          <w:rFonts w:ascii="Arial" w:hAnsi="Arial" w:cs="Arial"/>
          <w:b/>
          <w:color w:val="000000"/>
          <w:sz w:val="24"/>
          <w:szCs w:val="24"/>
        </w:rPr>
      </w:pPr>
      <w:r w:rsidRPr="00A87EC5">
        <w:rPr>
          <w:rFonts w:ascii="Arial" w:hAnsi="Arial" w:cs="Arial"/>
          <w:color w:val="000000"/>
          <w:sz w:val="24"/>
          <w:szCs w:val="24"/>
        </w:rPr>
        <w:t>-no se especificó la antigüedad de los fondos indisponibles;</w:t>
      </w:r>
    </w:p>
    <w:p w:rsidR="00A87EC5" w:rsidRPr="00A87EC5" w:rsidRDefault="00A87EC5" w:rsidP="00A87EC5">
      <w:pPr>
        <w:spacing w:line="360" w:lineRule="auto"/>
        <w:ind w:left="142" w:hanging="142"/>
        <w:jc w:val="both"/>
        <w:rPr>
          <w:rFonts w:ascii="Arial" w:hAnsi="Arial" w:cs="Arial"/>
          <w:color w:val="000000"/>
          <w:sz w:val="24"/>
          <w:szCs w:val="24"/>
        </w:rPr>
      </w:pPr>
      <w:r w:rsidRPr="00A87EC5">
        <w:rPr>
          <w:rFonts w:ascii="Arial" w:hAnsi="Arial" w:cs="Arial"/>
          <w:sz w:val="24"/>
          <w:szCs w:val="24"/>
        </w:rPr>
        <w:t>-</w:t>
      </w:r>
      <w:r w:rsidRPr="00A87EC5">
        <w:rPr>
          <w:rFonts w:ascii="Arial" w:hAnsi="Arial" w:cs="Arial"/>
          <w:color w:val="000000"/>
          <w:sz w:val="24"/>
          <w:szCs w:val="24"/>
        </w:rPr>
        <w:t>no se proporcionó la información respecto al detalle de los arrendamientos de obras y  servicios vigentes.</w:t>
      </w:r>
    </w:p>
    <w:p w:rsidR="00A87EC5" w:rsidRPr="00A87EC5" w:rsidRDefault="00A87EC5" w:rsidP="00A87EC5">
      <w:pPr>
        <w:keepNext/>
        <w:spacing w:before="240" w:line="360" w:lineRule="auto"/>
        <w:jc w:val="both"/>
        <w:outlineLvl w:val="2"/>
        <w:rPr>
          <w:rFonts w:ascii="Arial" w:hAnsi="Arial" w:cs="Arial"/>
          <w:bCs/>
          <w:sz w:val="24"/>
          <w:szCs w:val="24"/>
        </w:rPr>
      </w:pPr>
      <w:bookmarkStart w:id="5" w:name="_Toc179282297"/>
      <w:bookmarkStart w:id="6" w:name="_Toc400023267"/>
      <w:r w:rsidRPr="00A87EC5">
        <w:rPr>
          <w:rFonts w:ascii="Arial" w:hAnsi="Arial" w:cs="Arial"/>
          <w:b/>
          <w:bCs/>
          <w:sz w:val="24"/>
          <w:szCs w:val="24"/>
        </w:rPr>
        <w:t xml:space="preserve">3- </w:t>
      </w:r>
      <w:bookmarkEnd w:id="5"/>
      <w:bookmarkEnd w:id="6"/>
      <w:r w:rsidRPr="00A87EC5">
        <w:rPr>
          <w:rFonts w:ascii="Arial" w:hAnsi="Arial" w:cs="Arial"/>
          <w:b/>
          <w:bCs/>
          <w:sz w:val="24"/>
          <w:szCs w:val="24"/>
        </w:rPr>
        <w:t>Debilidades de control interno.</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3.1-  Manuales de procedimientos.</w:t>
      </w:r>
    </w:p>
    <w:p w:rsidR="00A87EC5" w:rsidRPr="00A87EC5" w:rsidRDefault="00A87EC5" w:rsidP="00A87EC5">
      <w:pPr>
        <w:spacing w:line="360" w:lineRule="auto"/>
        <w:jc w:val="both"/>
        <w:rPr>
          <w:rFonts w:ascii="Arial" w:hAnsi="Arial" w:cs="Arial"/>
          <w:color w:val="000000"/>
          <w:kern w:val="18"/>
          <w:sz w:val="24"/>
          <w:szCs w:val="24"/>
        </w:rPr>
      </w:pPr>
      <w:r w:rsidRPr="00A87EC5">
        <w:rPr>
          <w:rFonts w:ascii="Arial" w:hAnsi="Arial" w:cs="Arial"/>
          <w:color w:val="000000"/>
          <w:kern w:val="18"/>
          <w:sz w:val="24"/>
          <w:szCs w:val="24"/>
        </w:rPr>
        <w:t xml:space="preserve">En la Intendencia no existen manuales de procedimientos de compras ni de funciones donde se establezcan competencias y responsabilidades de los funcionarios. Esto implica que cada oficina actúe según su propio criterio </w:t>
      </w:r>
      <w:r w:rsidR="00940B64">
        <w:rPr>
          <w:rFonts w:ascii="Arial" w:hAnsi="Arial" w:cs="Arial"/>
          <w:color w:val="000000"/>
          <w:kern w:val="18"/>
          <w:sz w:val="24"/>
          <w:szCs w:val="24"/>
        </w:rPr>
        <w:t>y sin procedimientos definidos.</w:t>
      </w:r>
    </w:p>
    <w:p w:rsidR="00A87EC5" w:rsidRPr="00A87EC5" w:rsidRDefault="00A87EC5" w:rsidP="00940B64">
      <w:pPr>
        <w:spacing w:line="360" w:lineRule="auto"/>
        <w:jc w:val="both"/>
        <w:rPr>
          <w:rFonts w:ascii="Arial" w:hAnsi="Arial" w:cs="Arial"/>
          <w:b/>
          <w:sz w:val="24"/>
          <w:szCs w:val="24"/>
        </w:rPr>
      </w:pPr>
      <w:r w:rsidRPr="00A87EC5">
        <w:rPr>
          <w:rFonts w:ascii="Arial" w:hAnsi="Arial" w:cs="Arial"/>
          <w:b/>
          <w:sz w:val="24"/>
          <w:szCs w:val="24"/>
        </w:rPr>
        <w:t>3.2- Actualización de datos de los funcionarios.</w:t>
      </w:r>
    </w:p>
    <w:p w:rsidR="00A87EC5" w:rsidRPr="00A87EC5" w:rsidRDefault="00A87EC5" w:rsidP="00A87EC5">
      <w:pPr>
        <w:spacing w:line="360" w:lineRule="auto"/>
        <w:ind w:hanging="284"/>
        <w:jc w:val="both"/>
        <w:rPr>
          <w:rFonts w:ascii="Arial" w:hAnsi="Arial" w:cs="Arial"/>
          <w:sz w:val="24"/>
          <w:szCs w:val="24"/>
        </w:rPr>
      </w:pPr>
      <w:r w:rsidRPr="00A87EC5">
        <w:rPr>
          <w:rFonts w:ascii="Arial" w:hAnsi="Arial" w:cs="Arial"/>
          <w:sz w:val="24"/>
          <w:szCs w:val="24"/>
        </w:rPr>
        <w:t xml:space="preserve">    No se lleva un registro actualizado de la situación personal de los funcionarios lo que origina que se paguen partidas que no corresponden, tales como el Hogar Constituido, o que se liquiden incorrectamente las retenciones salariales por no contar con los datos actualizados para la liquidación del IRPF,  respecto de la cantidad de hijos a cargo, si se aplica mínimo no imponible, aporte a la Caja Profesiona</w:t>
      </w:r>
      <w:r w:rsidR="00940B64">
        <w:rPr>
          <w:rFonts w:ascii="Arial" w:hAnsi="Arial" w:cs="Arial"/>
          <w:sz w:val="24"/>
          <w:szCs w:val="24"/>
        </w:rPr>
        <w:t>l en caso que corresponda, etc.</w:t>
      </w:r>
    </w:p>
    <w:p w:rsidR="00A87EC5" w:rsidRPr="00A87EC5" w:rsidRDefault="00A87EC5" w:rsidP="00940B64">
      <w:pPr>
        <w:spacing w:line="360" w:lineRule="auto"/>
        <w:jc w:val="both"/>
        <w:rPr>
          <w:rFonts w:ascii="Arial" w:hAnsi="Arial" w:cs="Arial"/>
          <w:b/>
          <w:snapToGrid w:val="0"/>
          <w:sz w:val="24"/>
          <w:szCs w:val="24"/>
        </w:rPr>
      </w:pPr>
      <w:r w:rsidRPr="00A87EC5">
        <w:rPr>
          <w:rFonts w:ascii="Arial" w:hAnsi="Arial" w:cs="Arial"/>
          <w:b/>
          <w:sz w:val="24"/>
          <w:szCs w:val="24"/>
        </w:rPr>
        <w:t xml:space="preserve">3.3- </w:t>
      </w:r>
      <w:r w:rsidRPr="00A87EC5">
        <w:rPr>
          <w:rFonts w:ascii="Arial" w:hAnsi="Arial" w:cs="Arial"/>
          <w:b/>
          <w:snapToGrid w:val="0"/>
          <w:sz w:val="24"/>
          <w:szCs w:val="24"/>
        </w:rPr>
        <w:t>Controles de Stock.</w:t>
      </w:r>
    </w:p>
    <w:p w:rsidR="00A87EC5" w:rsidRPr="00A87EC5" w:rsidRDefault="00A87EC5" w:rsidP="006E1A8A">
      <w:pPr>
        <w:spacing w:line="360" w:lineRule="auto"/>
        <w:jc w:val="both"/>
        <w:rPr>
          <w:rFonts w:ascii="Arial" w:hAnsi="Arial" w:cs="Arial"/>
          <w:sz w:val="24"/>
          <w:szCs w:val="24"/>
        </w:rPr>
      </w:pPr>
      <w:r w:rsidRPr="00A87EC5">
        <w:rPr>
          <w:rFonts w:ascii="Arial" w:hAnsi="Arial" w:cs="Arial"/>
          <w:sz w:val="24"/>
          <w:szCs w:val="24"/>
        </w:rPr>
        <w:t xml:space="preserve">Los recuentos de stock son realizados por el encargado del sector correspondiente, no existiendo otros controles por parte de personal externo a </w:t>
      </w:r>
      <w:proofErr w:type="gramStart"/>
      <w:r w:rsidRPr="00A87EC5">
        <w:rPr>
          <w:rFonts w:ascii="Arial" w:hAnsi="Arial" w:cs="Arial"/>
          <w:sz w:val="24"/>
          <w:szCs w:val="24"/>
        </w:rPr>
        <w:t>dicho</w:t>
      </w:r>
      <w:proofErr w:type="gramEnd"/>
      <w:r w:rsidRPr="00A87EC5">
        <w:rPr>
          <w:rFonts w:ascii="Arial" w:hAnsi="Arial" w:cs="Arial"/>
          <w:sz w:val="24"/>
          <w:szCs w:val="24"/>
        </w:rPr>
        <w:t xml:space="preserve"> sector.</w:t>
      </w:r>
    </w:p>
    <w:p w:rsidR="00A87EC5" w:rsidRPr="00A87EC5" w:rsidRDefault="00A87EC5" w:rsidP="00940B64">
      <w:pPr>
        <w:spacing w:line="360" w:lineRule="auto"/>
        <w:jc w:val="both"/>
        <w:rPr>
          <w:rFonts w:ascii="Arial" w:hAnsi="Arial" w:cs="Arial"/>
          <w:b/>
          <w:bCs/>
          <w:sz w:val="24"/>
          <w:szCs w:val="24"/>
        </w:rPr>
      </w:pPr>
      <w:r w:rsidRPr="00A87EC5">
        <w:rPr>
          <w:rFonts w:ascii="Arial" w:hAnsi="Arial" w:cs="Arial"/>
          <w:b/>
          <w:bCs/>
          <w:sz w:val="24"/>
          <w:szCs w:val="24"/>
        </w:rPr>
        <w:t xml:space="preserve">3.4- </w:t>
      </w:r>
      <w:r w:rsidRPr="00A87EC5">
        <w:rPr>
          <w:rFonts w:ascii="Arial" w:hAnsi="Arial" w:cs="Arial"/>
          <w:b/>
          <w:sz w:val="24"/>
          <w:szCs w:val="24"/>
        </w:rPr>
        <w:t>Articulo 119 del TOCAF</w:t>
      </w:r>
      <w:r w:rsidR="006E1A8A">
        <w:rPr>
          <w:rFonts w:ascii="Arial" w:hAnsi="Arial" w:cs="Arial"/>
          <w:b/>
          <w:bCs/>
          <w:sz w:val="24"/>
          <w:szCs w:val="24"/>
        </w:rPr>
        <w:t>.</w:t>
      </w:r>
    </w:p>
    <w:p w:rsidR="00A87EC5" w:rsidRPr="00A87EC5" w:rsidRDefault="00A87EC5" w:rsidP="00A87EC5">
      <w:pPr>
        <w:spacing w:line="360" w:lineRule="auto"/>
        <w:ind w:hanging="340"/>
        <w:jc w:val="both"/>
        <w:rPr>
          <w:rFonts w:ascii="Arial" w:hAnsi="Arial" w:cs="Arial"/>
          <w:bCs/>
          <w:sz w:val="24"/>
          <w:szCs w:val="24"/>
        </w:rPr>
      </w:pPr>
      <w:r w:rsidRPr="00A87EC5">
        <w:rPr>
          <w:rFonts w:ascii="Arial" w:hAnsi="Arial" w:cs="Arial"/>
          <w:bCs/>
          <w:sz w:val="24"/>
          <w:szCs w:val="24"/>
        </w:rPr>
        <w:t xml:space="preserve">      Durante el Ejercicio 2014 no se realizaron arqueos periódicos en las distintas Tesorerías ni en las Cajas Chicas; incluso en estas últimas, no se realizó el  arqueo al cierre de Ejercicio.</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sz w:val="24"/>
          <w:szCs w:val="24"/>
        </w:rPr>
        <w:t>3.5-</w:t>
      </w:r>
      <w:r w:rsidRPr="00A87EC5">
        <w:rPr>
          <w:rFonts w:ascii="Arial" w:hAnsi="Arial" w:cs="Arial"/>
          <w:sz w:val="24"/>
          <w:szCs w:val="24"/>
        </w:rPr>
        <w:t xml:space="preserve"> </w:t>
      </w:r>
      <w:r w:rsidRPr="00A87EC5">
        <w:rPr>
          <w:rFonts w:ascii="Arial" w:hAnsi="Arial" w:cs="Arial"/>
          <w:b/>
          <w:bCs/>
          <w:sz w:val="24"/>
          <w:szCs w:val="24"/>
        </w:rPr>
        <w:t>Partidas a rendir.</w:t>
      </w:r>
    </w:p>
    <w:p w:rsidR="00A87EC5" w:rsidRDefault="00A87EC5" w:rsidP="00A87EC5">
      <w:pPr>
        <w:spacing w:line="360" w:lineRule="auto"/>
        <w:jc w:val="both"/>
        <w:rPr>
          <w:rFonts w:ascii="Arial" w:hAnsi="Arial" w:cs="Arial"/>
          <w:bCs/>
          <w:sz w:val="24"/>
          <w:szCs w:val="24"/>
        </w:rPr>
      </w:pPr>
      <w:r w:rsidRPr="00A87EC5">
        <w:rPr>
          <w:rFonts w:ascii="Arial" w:hAnsi="Arial" w:cs="Arial"/>
          <w:bCs/>
          <w:sz w:val="24"/>
          <w:szCs w:val="24"/>
        </w:rPr>
        <w:t>Se incluyeron dentro del saldo de este concepto, partidas rendidas y no descargadas por la Tesorería Municipal, que deben ajustarse.</w:t>
      </w:r>
    </w:p>
    <w:p w:rsidR="006E1A8A" w:rsidRPr="00A87EC5" w:rsidRDefault="006E1A8A" w:rsidP="00A87EC5">
      <w:pPr>
        <w:spacing w:line="360" w:lineRule="auto"/>
        <w:jc w:val="both"/>
        <w:rPr>
          <w:rFonts w:ascii="Arial" w:hAnsi="Arial" w:cs="Arial"/>
          <w:bCs/>
          <w:sz w:val="24"/>
          <w:szCs w:val="24"/>
        </w:rPr>
      </w:pP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bCs/>
          <w:sz w:val="24"/>
          <w:szCs w:val="24"/>
        </w:rPr>
        <w:t>3.6-Docu</w:t>
      </w:r>
      <w:r w:rsidR="00940B64">
        <w:rPr>
          <w:rFonts w:ascii="Arial" w:hAnsi="Arial" w:cs="Arial"/>
          <w:b/>
          <w:bCs/>
          <w:sz w:val="24"/>
          <w:szCs w:val="24"/>
        </w:rPr>
        <w:t>mentación valores en Garantía.</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Cs/>
          <w:sz w:val="24"/>
          <w:szCs w:val="24"/>
        </w:rPr>
        <w:t>La recepción y devolución de los valores recibidos en garantía, no cuentan con documentación de respaldo</w:t>
      </w:r>
      <w:r w:rsidR="00940B64">
        <w:rPr>
          <w:rFonts w:ascii="Arial" w:hAnsi="Arial" w:cs="Arial"/>
          <w:bCs/>
          <w:sz w:val="24"/>
          <w:szCs w:val="24"/>
        </w:rPr>
        <w:t>.</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bCs/>
          <w:sz w:val="24"/>
          <w:szCs w:val="24"/>
        </w:rPr>
        <w:t>3.7-</w:t>
      </w:r>
      <w:r w:rsidRPr="00A87EC5">
        <w:rPr>
          <w:rFonts w:ascii="Arial" w:hAnsi="Arial" w:cs="Arial"/>
          <w:b/>
          <w:sz w:val="24"/>
          <w:szCs w:val="24"/>
        </w:rPr>
        <w:t>Guías de semovientes.</w:t>
      </w:r>
    </w:p>
    <w:p w:rsidR="00A87EC5" w:rsidRPr="00A87EC5" w:rsidRDefault="00A87EC5" w:rsidP="00940B64">
      <w:pPr>
        <w:spacing w:line="360" w:lineRule="auto"/>
        <w:jc w:val="both"/>
        <w:rPr>
          <w:rFonts w:ascii="Arial" w:hAnsi="Arial" w:cs="Arial"/>
          <w:sz w:val="24"/>
          <w:szCs w:val="24"/>
        </w:rPr>
      </w:pPr>
      <w:r w:rsidRPr="00A87EC5">
        <w:rPr>
          <w:rFonts w:ascii="Arial" w:hAnsi="Arial" w:cs="Arial"/>
          <w:sz w:val="24"/>
          <w:szCs w:val="24"/>
        </w:rPr>
        <w:t>No se real</w:t>
      </w:r>
      <w:r w:rsidR="00267C49">
        <w:rPr>
          <w:rFonts w:ascii="Arial" w:hAnsi="Arial" w:cs="Arial"/>
          <w:sz w:val="24"/>
          <w:szCs w:val="24"/>
        </w:rPr>
        <w:t>izan arqueos de estos valores.</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sz w:val="24"/>
          <w:szCs w:val="24"/>
        </w:rPr>
        <w:t>3.8-</w:t>
      </w:r>
      <w:r w:rsidRPr="00A87EC5">
        <w:rPr>
          <w:rFonts w:ascii="Arial" w:hAnsi="Arial" w:cs="Arial"/>
          <w:sz w:val="24"/>
          <w:szCs w:val="24"/>
        </w:rPr>
        <w:t xml:space="preserve"> </w:t>
      </w:r>
      <w:r w:rsidRPr="00A87EC5">
        <w:rPr>
          <w:rFonts w:ascii="Arial" w:hAnsi="Arial" w:cs="Arial"/>
          <w:b/>
          <w:bCs/>
          <w:sz w:val="24"/>
          <w:szCs w:val="24"/>
        </w:rPr>
        <w:t>Alojamientos pendientes de facturación.</w:t>
      </w:r>
    </w:p>
    <w:p w:rsidR="00A87EC5" w:rsidRPr="00A87EC5" w:rsidRDefault="00A87EC5" w:rsidP="00A87EC5">
      <w:pPr>
        <w:spacing w:line="360" w:lineRule="auto"/>
        <w:jc w:val="both"/>
        <w:rPr>
          <w:rFonts w:ascii="Arial" w:hAnsi="Arial" w:cs="Arial"/>
          <w:bCs/>
          <w:sz w:val="24"/>
          <w:szCs w:val="24"/>
        </w:rPr>
      </w:pPr>
      <w:r w:rsidRPr="00A87EC5">
        <w:rPr>
          <w:rFonts w:ascii="Arial" w:hAnsi="Arial" w:cs="Arial"/>
          <w:bCs/>
          <w:sz w:val="24"/>
          <w:szCs w:val="24"/>
        </w:rPr>
        <w:t xml:space="preserve">El sistema informático de Termas de </w:t>
      </w:r>
      <w:proofErr w:type="spellStart"/>
      <w:r w:rsidRPr="00A87EC5">
        <w:rPr>
          <w:rFonts w:ascii="Arial" w:hAnsi="Arial" w:cs="Arial"/>
          <w:bCs/>
          <w:sz w:val="24"/>
          <w:szCs w:val="24"/>
        </w:rPr>
        <w:t>Arapey</w:t>
      </w:r>
      <w:proofErr w:type="spellEnd"/>
      <w:r w:rsidRPr="00A87EC5">
        <w:rPr>
          <w:rFonts w:ascii="Arial" w:hAnsi="Arial" w:cs="Arial"/>
          <w:bCs/>
          <w:sz w:val="24"/>
          <w:szCs w:val="24"/>
        </w:rPr>
        <w:t xml:space="preserve"> muestra que existen alojamientos pendientes de facturación, sin que haya resolución expresa del ordenador competente que habilite la baja de estas transacciones por no </w:t>
      </w:r>
      <w:r w:rsidR="00267C49">
        <w:rPr>
          <w:rFonts w:ascii="Arial" w:hAnsi="Arial" w:cs="Arial"/>
          <w:bCs/>
          <w:sz w:val="24"/>
          <w:szCs w:val="24"/>
        </w:rPr>
        <w:t>haberse concretado el servicio.</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sz w:val="24"/>
          <w:szCs w:val="24"/>
        </w:rPr>
        <w:t xml:space="preserve">3.9- </w:t>
      </w:r>
      <w:r w:rsidRPr="00A87EC5">
        <w:rPr>
          <w:rFonts w:ascii="Arial" w:hAnsi="Arial" w:cs="Arial"/>
          <w:b/>
          <w:bCs/>
          <w:sz w:val="24"/>
          <w:szCs w:val="24"/>
        </w:rPr>
        <w:t>Conciliaciones de acreedores.</w:t>
      </w:r>
    </w:p>
    <w:p w:rsidR="00A87EC5" w:rsidRPr="00A87EC5" w:rsidRDefault="00A87EC5" w:rsidP="00A87EC5">
      <w:pPr>
        <w:spacing w:line="360" w:lineRule="auto"/>
        <w:jc w:val="both"/>
        <w:rPr>
          <w:rFonts w:ascii="Arial" w:hAnsi="Arial" w:cs="Arial"/>
          <w:bCs/>
          <w:sz w:val="24"/>
          <w:szCs w:val="24"/>
        </w:rPr>
      </w:pPr>
      <w:r w:rsidRPr="00A87EC5">
        <w:rPr>
          <w:rFonts w:ascii="Arial" w:hAnsi="Arial" w:cs="Arial"/>
          <w:bCs/>
          <w:sz w:val="24"/>
          <w:szCs w:val="24"/>
        </w:rPr>
        <w:t>La Contaduría no realizó conciliaciones periódicas con sus acreedores, por lo que no se tiene la suficiente certeza sobre expuestos en la Rendición de Cuentas. En el caso del leasing de maquinarias con el MTOP, el saldo final informado en la Rendición de Cuentas 2013 no coincide con el inicial del 2014 ya que éste fue modificado como consecuencia de la conciliación realizada con el referido Organismo.</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sz w:val="24"/>
          <w:szCs w:val="24"/>
        </w:rPr>
        <w:t xml:space="preserve">3.10- </w:t>
      </w:r>
      <w:r w:rsidRPr="00A87EC5">
        <w:rPr>
          <w:rFonts w:ascii="Arial" w:hAnsi="Arial" w:cs="Arial"/>
          <w:b/>
          <w:bCs/>
          <w:sz w:val="24"/>
          <w:szCs w:val="24"/>
        </w:rPr>
        <w:t>Tipo de cambio de cierre.</w:t>
      </w:r>
    </w:p>
    <w:p w:rsidR="00A87EC5" w:rsidRPr="00A87EC5" w:rsidRDefault="00A87EC5" w:rsidP="00A87EC5">
      <w:pPr>
        <w:spacing w:line="360" w:lineRule="auto"/>
        <w:jc w:val="both"/>
        <w:rPr>
          <w:rFonts w:ascii="Arial" w:hAnsi="Arial" w:cs="Arial"/>
          <w:bCs/>
          <w:sz w:val="24"/>
          <w:szCs w:val="24"/>
        </w:rPr>
      </w:pPr>
      <w:r w:rsidRPr="00A87EC5">
        <w:rPr>
          <w:rFonts w:ascii="Arial" w:hAnsi="Arial" w:cs="Arial"/>
          <w:bCs/>
          <w:sz w:val="24"/>
          <w:szCs w:val="24"/>
        </w:rPr>
        <w:t>El tipo de cambio empleado para convertir los euros de la cuenta bancaria del BROU en esa moneda, no corresponde con el tipo de cambio de cierre del BCU al 31/12/2014.</w:t>
      </w:r>
    </w:p>
    <w:p w:rsidR="00A87EC5" w:rsidRPr="00A87EC5" w:rsidRDefault="00A87EC5" w:rsidP="00A87EC5">
      <w:pPr>
        <w:spacing w:line="360" w:lineRule="auto"/>
        <w:jc w:val="both"/>
        <w:rPr>
          <w:rFonts w:ascii="Arial" w:hAnsi="Arial" w:cs="Arial"/>
          <w:b/>
          <w:bCs/>
          <w:sz w:val="24"/>
          <w:szCs w:val="24"/>
        </w:rPr>
      </w:pPr>
      <w:r w:rsidRPr="00A87EC5">
        <w:rPr>
          <w:rFonts w:ascii="Arial" w:hAnsi="Arial" w:cs="Arial"/>
          <w:b/>
          <w:bCs/>
          <w:sz w:val="24"/>
          <w:szCs w:val="24"/>
        </w:rPr>
        <w:t>3.11- Certificados de DGI.</w:t>
      </w:r>
    </w:p>
    <w:p w:rsidR="00A87EC5" w:rsidRPr="00A87EC5" w:rsidRDefault="00A87EC5" w:rsidP="00A87EC5">
      <w:pPr>
        <w:spacing w:line="360" w:lineRule="auto"/>
        <w:jc w:val="both"/>
        <w:rPr>
          <w:rFonts w:ascii="Arial" w:hAnsi="Arial" w:cs="Arial"/>
          <w:bCs/>
          <w:sz w:val="24"/>
          <w:szCs w:val="24"/>
        </w:rPr>
      </w:pPr>
      <w:r w:rsidRPr="00A87EC5">
        <w:rPr>
          <w:rFonts w:ascii="Arial" w:hAnsi="Arial" w:cs="Arial"/>
          <w:bCs/>
          <w:sz w:val="24"/>
          <w:szCs w:val="24"/>
        </w:rPr>
        <w:t>El saldo de caja incluye certificados al cobro emitidos por la DGI por $ 90.975, de los cuales $ 71.257 corresponden a certificados cuyas fechas de vencimiento han ca</w:t>
      </w:r>
      <w:r w:rsidR="00267C49">
        <w:rPr>
          <w:rFonts w:ascii="Arial" w:hAnsi="Arial" w:cs="Arial"/>
          <w:bCs/>
          <w:sz w:val="24"/>
          <w:szCs w:val="24"/>
        </w:rPr>
        <w:t>ducado.</w:t>
      </w:r>
    </w:p>
    <w:p w:rsidR="00A87EC5" w:rsidRPr="00A87EC5" w:rsidRDefault="00A87EC5" w:rsidP="00A87EC5">
      <w:pPr>
        <w:keepNext/>
        <w:spacing w:before="240" w:after="60"/>
        <w:jc w:val="both"/>
        <w:outlineLvl w:val="1"/>
        <w:rPr>
          <w:rFonts w:ascii="Arial" w:hAnsi="Arial" w:cs="Arial"/>
          <w:b/>
          <w:kern w:val="18"/>
          <w:sz w:val="24"/>
          <w:szCs w:val="24"/>
        </w:rPr>
      </w:pPr>
      <w:bookmarkStart w:id="7" w:name="_Toc341790985"/>
      <w:bookmarkStart w:id="8" w:name="_Toc364954072"/>
      <w:r w:rsidRPr="00A87EC5">
        <w:rPr>
          <w:rFonts w:ascii="Arial" w:hAnsi="Arial" w:cs="Arial"/>
          <w:b/>
          <w:kern w:val="18"/>
          <w:sz w:val="24"/>
          <w:szCs w:val="24"/>
        </w:rPr>
        <w:t>4- Recomendaciones</w:t>
      </w:r>
      <w:bookmarkEnd w:id="7"/>
      <w:bookmarkEnd w:id="8"/>
      <w:r w:rsidRPr="00A87EC5">
        <w:rPr>
          <w:rFonts w:ascii="Arial" w:hAnsi="Arial" w:cs="Arial"/>
          <w:b/>
          <w:kern w:val="18"/>
          <w:sz w:val="24"/>
          <w:szCs w:val="24"/>
        </w:rPr>
        <w:t>.</w:t>
      </w:r>
    </w:p>
    <w:p w:rsidR="00A87EC5" w:rsidRPr="00A87EC5" w:rsidRDefault="00A87EC5" w:rsidP="00A87EC5">
      <w:pPr>
        <w:rPr>
          <w:rFonts w:ascii="Arial" w:hAnsi="Arial" w:cs="Arial"/>
          <w:sz w:val="24"/>
          <w:szCs w:val="24"/>
        </w:rPr>
      </w:pPr>
    </w:p>
    <w:p w:rsidR="00A87EC5" w:rsidRPr="00A87EC5" w:rsidRDefault="00A87EC5" w:rsidP="00A87EC5">
      <w:pPr>
        <w:spacing w:line="360" w:lineRule="auto"/>
        <w:jc w:val="both"/>
        <w:outlineLvl w:val="1"/>
        <w:rPr>
          <w:rFonts w:ascii="Arial" w:hAnsi="Arial" w:cs="Arial"/>
          <w:b/>
          <w:kern w:val="18"/>
          <w:sz w:val="24"/>
          <w:szCs w:val="24"/>
        </w:rPr>
      </w:pPr>
      <w:bookmarkStart w:id="9" w:name="_Toc341790986"/>
      <w:bookmarkStart w:id="10" w:name="_Toc364954073"/>
      <w:r w:rsidRPr="00A87EC5">
        <w:rPr>
          <w:rFonts w:ascii="Arial" w:hAnsi="Arial" w:cs="Arial"/>
          <w:b/>
          <w:kern w:val="18"/>
          <w:sz w:val="24"/>
          <w:szCs w:val="24"/>
        </w:rPr>
        <w:t>4.1</w:t>
      </w:r>
      <w:bookmarkStart w:id="11" w:name="_Toc239757117"/>
      <w:bookmarkStart w:id="12" w:name="_Toc341790991"/>
      <w:bookmarkStart w:id="13" w:name="_Toc364954078"/>
      <w:bookmarkEnd w:id="9"/>
      <w:bookmarkEnd w:id="10"/>
      <w:r w:rsidRPr="00A87EC5">
        <w:rPr>
          <w:rFonts w:ascii="Arial" w:hAnsi="Arial" w:cs="Arial"/>
          <w:b/>
          <w:kern w:val="18"/>
          <w:sz w:val="24"/>
          <w:szCs w:val="24"/>
        </w:rPr>
        <w:t xml:space="preserve"> Recomendaciones de Ejercicios anteriores no cumplidas</w:t>
      </w:r>
      <w:bookmarkEnd w:id="11"/>
      <w:bookmarkEnd w:id="12"/>
      <w:bookmarkEnd w:id="13"/>
      <w:r w:rsidRPr="00A87EC5">
        <w:rPr>
          <w:rFonts w:ascii="Arial" w:hAnsi="Arial" w:cs="Arial"/>
          <w:b/>
          <w:kern w:val="18"/>
          <w:sz w:val="24"/>
          <w:szCs w:val="24"/>
        </w:rPr>
        <w:t>.</w:t>
      </w:r>
    </w:p>
    <w:p w:rsidR="00A87EC5" w:rsidRPr="00A87EC5" w:rsidRDefault="00A87EC5" w:rsidP="00A87EC5">
      <w:pPr>
        <w:keepNext/>
        <w:spacing w:line="360" w:lineRule="auto"/>
        <w:jc w:val="both"/>
        <w:outlineLvl w:val="2"/>
        <w:rPr>
          <w:rFonts w:ascii="Arial" w:hAnsi="Arial" w:cs="Arial"/>
          <w:b/>
          <w:bCs/>
          <w:sz w:val="24"/>
          <w:szCs w:val="24"/>
        </w:rPr>
      </w:pPr>
      <w:bookmarkStart w:id="14" w:name="_Toc341790992"/>
      <w:bookmarkStart w:id="15" w:name="_Toc364954079"/>
      <w:bookmarkStart w:id="16" w:name="_Toc239757118"/>
      <w:r w:rsidRPr="00A87EC5">
        <w:rPr>
          <w:rFonts w:ascii="Arial" w:hAnsi="Arial" w:cs="Arial"/>
          <w:b/>
          <w:bCs/>
          <w:kern w:val="18"/>
          <w:sz w:val="24"/>
          <w:szCs w:val="24"/>
        </w:rPr>
        <w:t xml:space="preserve">4.1.1 </w:t>
      </w:r>
      <w:r w:rsidRPr="00A87EC5">
        <w:rPr>
          <w:rFonts w:ascii="Arial" w:hAnsi="Arial" w:cs="Arial"/>
          <w:b/>
          <w:bCs/>
          <w:sz w:val="24"/>
          <w:szCs w:val="24"/>
        </w:rPr>
        <w:t xml:space="preserve"> </w:t>
      </w:r>
      <w:r w:rsidRPr="00A87EC5">
        <w:rPr>
          <w:rFonts w:ascii="Arial" w:hAnsi="Arial" w:cs="Arial"/>
          <w:b/>
          <w:sz w:val="24"/>
          <w:szCs w:val="24"/>
        </w:rPr>
        <w:t>Modificación Presupuestal 2012–2015</w:t>
      </w:r>
      <w:bookmarkEnd w:id="14"/>
      <w:bookmarkEnd w:id="15"/>
      <w:r w:rsidRPr="00A87EC5">
        <w:rPr>
          <w:rFonts w:ascii="Arial" w:hAnsi="Arial" w:cs="Arial"/>
          <w:b/>
          <w:bCs/>
          <w:sz w:val="24"/>
          <w:szCs w:val="24"/>
        </w:rPr>
        <w:t>.</w:t>
      </w:r>
    </w:p>
    <w:p w:rsidR="00A87EC5" w:rsidRPr="00A87EC5" w:rsidRDefault="00A87EC5" w:rsidP="00A87EC5">
      <w:pPr>
        <w:widowControl w:val="0"/>
        <w:spacing w:line="360" w:lineRule="auto"/>
        <w:jc w:val="both"/>
        <w:rPr>
          <w:rFonts w:ascii="Arial" w:hAnsi="Arial" w:cs="Arial"/>
          <w:sz w:val="24"/>
          <w:szCs w:val="24"/>
        </w:rPr>
      </w:pPr>
      <w:r w:rsidRPr="00A87EC5">
        <w:rPr>
          <w:rFonts w:ascii="Arial" w:hAnsi="Arial" w:cs="Arial"/>
          <w:sz w:val="24"/>
          <w:szCs w:val="24"/>
        </w:rPr>
        <w:t>A efectos de cumplir con la estructura orgánica aprobada por la Junta Departamental, la Intendencia deberá ajustar el número de funcionarios a lo previsto presupuestalmente, respetando los e</w:t>
      </w:r>
      <w:r w:rsidR="00267C49">
        <w:rPr>
          <w:rFonts w:ascii="Arial" w:hAnsi="Arial" w:cs="Arial"/>
          <w:sz w:val="24"/>
          <w:szCs w:val="24"/>
        </w:rPr>
        <w:t>scalafones y cargos aprobados.</w:t>
      </w:r>
    </w:p>
    <w:p w:rsidR="00A87EC5" w:rsidRPr="00A87EC5" w:rsidRDefault="00A87EC5" w:rsidP="00A87EC5">
      <w:pPr>
        <w:keepNext/>
        <w:spacing w:before="240" w:after="60" w:line="360" w:lineRule="auto"/>
        <w:jc w:val="both"/>
        <w:outlineLvl w:val="2"/>
        <w:rPr>
          <w:rFonts w:ascii="Arial" w:hAnsi="Arial" w:cs="Arial"/>
          <w:b/>
          <w:bCs/>
          <w:sz w:val="24"/>
          <w:szCs w:val="24"/>
        </w:rPr>
      </w:pPr>
      <w:bookmarkStart w:id="17" w:name="_Toc341790993"/>
      <w:bookmarkStart w:id="18" w:name="_Toc364954080"/>
      <w:r w:rsidRPr="00A87EC5">
        <w:rPr>
          <w:rFonts w:ascii="Arial" w:hAnsi="Arial" w:cs="Arial"/>
          <w:b/>
          <w:bCs/>
          <w:sz w:val="24"/>
          <w:szCs w:val="24"/>
        </w:rPr>
        <w:t xml:space="preserve">4.1.2 </w:t>
      </w:r>
      <w:r w:rsidRPr="00A87EC5">
        <w:rPr>
          <w:rFonts w:ascii="Arial" w:hAnsi="Arial" w:cs="Arial"/>
          <w:b/>
          <w:spacing w:val="-8"/>
          <w:kern w:val="18"/>
          <w:sz w:val="24"/>
          <w:szCs w:val="24"/>
        </w:rPr>
        <w:t>Artículo</w:t>
      </w:r>
      <w:r w:rsidRPr="00A87EC5">
        <w:rPr>
          <w:rFonts w:ascii="Arial" w:hAnsi="Arial" w:cs="Arial"/>
          <w:b/>
          <w:spacing w:val="-8"/>
          <w:kern w:val="20"/>
          <w:sz w:val="24"/>
          <w:szCs w:val="24"/>
          <w:lang w:val="es-ES_tradnl"/>
        </w:rPr>
        <w:t xml:space="preserve"> 32 de la Ley N°</w:t>
      </w:r>
      <w:r w:rsidRPr="00A87EC5">
        <w:rPr>
          <w:rFonts w:ascii="Arial" w:hAnsi="Arial" w:cs="Arial"/>
          <w:b/>
          <w:kern w:val="20"/>
          <w:sz w:val="24"/>
          <w:szCs w:val="24"/>
          <w:lang w:val="es-ES_tradnl"/>
        </w:rPr>
        <w:t xml:space="preserve"> 11.923</w:t>
      </w:r>
      <w:bookmarkEnd w:id="17"/>
      <w:bookmarkEnd w:id="18"/>
    </w:p>
    <w:p w:rsidR="00A87EC5" w:rsidRPr="00A87EC5" w:rsidRDefault="00A87EC5" w:rsidP="00A87EC5">
      <w:pPr>
        <w:spacing w:line="360" w:lineRule="auto"/>
        <w:jc w:val="both"/>
        <w:rPr>
          <w:rFonts w:ascii="Arial" w:hAnsi="Arial" w:cs="Arial"/>
          <w:kern w:val="20"/>
          <w:sz w:val="24"/>
          <w:szCs w:val="24"/>
          <w:lang w:val="es-ES_tradnl"/>
        </w:rPr>
      </w:pPr>
      <w:r w:rsidRPr="00A87EC5">
        <w:rPr>
          <w:rFonts w:ascii="Arial" w:hAnsi="Arial" w:cs="Arial"/>
          <w:spacing w:val="-8"/>
          <w:kern w:val="18"/>
          <w:sz w:val="24"/>
          <w:szCs w:val="24"/>
        </w:rPr>
        <w:t>L</w:t>
      </w:r>
      <w:r w:rsidRPr="00A87EC5">
        <w:rPr>
          <w:rFonts w:ascii="Arial" w:hAnsi="Arial" w:cs="Arial"/>
          <w:kern w:val="20"/>
          <w:sz w:val="24"/>
          <w:szCs w:val="24"/>
          <w:lang w:val="es-ES_tradnl"/>
        </w:rPr>
        <w:t>os funcionarios que contrate la Intendencia, deberán firmar una declaración jurada donde conste que no perciben más de una remuneración con cargo a fondos públicos.</w:t>
      </w:r>
      <w:bookmarkStart w:id="19" w:name="_Toc341790995"/>
      <w:bookmarkStart w:id="20" w:name="_Toc364954082"/>
    </w:p>
    <w:p w:rsidR="00A87EC5" w:rsidRPr="00A87EC5" w:rsidRDefault="00A87EC5" w:rsidP="00A87EC5">
      <w:pPr>
        <w:spacing w:line="360" w:lineRule="auto"/>
        <w:jc w:val="both"/>
        <w:rPr>
          <w:rFonts w:ascii="Arial" w:hAnsi="Arial" w:cs="Arial"/>
          <w:kern w:val="20"/>
          <w:sz w:val="24"/>
          <w:szCs w:val="24"/>
          <w:lang w:val="es-ES_tradnl"/>
        </w:rPr>
      </w:pPr>
      <w:r w:rsidRPr="00A87EC5">
        <w:rPr>
          <w:rFonts w:ascii="Arial" w:hAnsi="Arial" w:cs="Arial"/>
          <w:b/>
          <w:bCs/>
          <w:sz w:val="24"/>
          <w:szCs w:val="24"/>
        </w:rPr>
        <w:t>4.1.3 Artículos 43 y 33 del TOCAF</w:t>
      </w:r>
      <w:bookmarkStart w:id="21" w:name="_Toc341790997"/>
      <w:bookmarkStart w:id="22" w:name="_Toc364954084"/>
      <w:bookmarkEnd w:id="19"/>
      <w:bookmarkEnd w:id="20"/>
    </w:p>
    <w:p w:rsidR="00A87EC5" w:rsidRPr="00A87EC5" w:rsidRDefault="00A87EC5" w:rsidP="00A87EC5">
      <w:pPr>
        <w:spacing w:line="360" w:lineRule="auto"/>
        <w:jc w:val="both"/>
        <w:rPr>
          <w:rFonts w:ascii="Arial" w:hAnsi="Arial" w:cs="Arial"/>
          <w:kern w:val="20"/>
          <w:sz w:val="24"/>
          <w:szCs w:val="24"/>
          <w:lang w:val="es-ES_tradnl"/>
        </w:rPr>
      </w:pPr>
      <w:r w:rsidRPr="00A87EC5">
        <w:rPr>
          <w:rFonts w:ascii="Arial" w:hAnsi="Arial" w:cs="Arial"/>
          <w:bCs/>
          <w:sz w:val="24"/>
          <w:szCs w:val="24"/>
        </w:rPr>
        <w:t xml:space="preserve">La Intendencia deberá adoptar las medidas necesarias para contratar los </w:t>
      </w:r>
      <w:proofErr w:type="gramStart"/>
      <w:r w:rsidRPr="00A87EC5">
        <w:rPr>
          <w:rFonts w:ascii="Arial" w:hAnsi="Arial" w:cs="Arial"/>
          <w:bCs/>
          <w:sz w:val="24"/>
          <w:szCs w:val="24"/>
        </w:rPr>
        <w:t>suministros</w:t>
      </w:r>
      <w:proofErr w:type="gramEnd"/>
      <w:r w:rsidRPr="00A87EC5">
        <w:rPr>
          <w:rFonts w:ascii="Arial" w:hAnsi="Arial" w:cs="Arial"/>
          <w:bCs/>
          <w:sz w:val="24"/>
          <w:szCs w:val="24"/>
        </w:rPr>
        <w:t xml:space="preserve"> o servicios por grupos de artículos o servicios, de forma de facilitar la presentación del mayor número posible de oferentes, teniendo en cuenta el procedimiento de contratación que corresponda. Sin perjuicio de lo dispuesto precedentemente, los ordenadores, bajo su responsabilidad, podrán fraccionar las compras dejando expresa constancia de su fundamento y de su conveniencia para el servicio.</w:t>
      </w:r>
    </w:p>
    <w:p w:rsidR="00A87EC5" w:rsidRPr="00A87EC5" w:rsidRDefault="00A87EC5" w:rsidP="00A87EC5">
      <w:pPr>
        <w:keepNext/>
        <w:spacing w:before="240" w:after="60" w:line="360" w:lineRule="auto"/>
        <w:jc w:val="both"/>
        <w:outlineLvl w:val="2"/>
        <w:rPr>
          <w:rFonts w:ascii="Arial" w:hAnsi="Arial" w:cs="Arial"/>
          <w:b/>
          <w:bCs/>
          <w:sz w:val="24"/>
          <w:szCs w:val="24"/>
        </w:rPr>
      </w:pPr>
      <w:r w:rsidRPr="00A87EC5">
        <w:rPr>
          <w:rFonts w:ascii="Arial" w:hAnsi="Arial" w:cs="Arial"/>
          <w:b/>
          <w:bCs/>
          <w:sz w:val="24"/>
          <w:szCs w:val="24"/>
        </w:rPr>
        <w:t xml:space="preserve">4.1.4 </w:t>
      </w:r>
      <w:r w:rsidRPr="00A87EC5">
        <w:rPr>
          <w:rFonts w:ascii="Arial" w:hAnsi="Arial" w:cs="Arial"/>
          <w:b/>
          <w:color w:val="000000"/>
          <w:sz w:val="24"/>
          <w:szCs w:val="24"/>
        </w:rPr>
        <w:t xml:space="preserve">Artículo </w:t>
      </w:r>
      <w:r w:rsidRPr="00A87EC5">
        <w:rPr>
          <w:rFonts w:ascii="Arial" w:hAnsi="Arial" w:cs="Arial"/>
          <w:b/>
          <w:bCs/>
          <w:sz w:val="24"/>
          <w:szCs w:val="24"/>
        </w:rPr>
        <w:t xml:space="preserve">94 del TOCAF y </w:t>
      </w:r>
      <w:r w:rsidRPr="00A87EC5">
        <w:rPr>
          <w:rFonts w:ascii="Arial" w:hAnsi="Arial" w:cs="Arial"/>
          <w:b/>
          <w:color w:val="000000"/>
          <w:sz w:val="24"/>
          <w:szCs w:val="24"/>
        </w:rPr>
        <w:t>Ordenanza Nº 81 del Tribunal de Cuentas</w:t>
      </w:r>
      <w:bookmarkEnd w:id="21"/>
      <w:bookmarkEnd w:id="22"/>
      <w:r w:rsidR="00267C49">
        <w:rPr>
          <w:rFonts w:ascii="Arial" w:hAnsi="Arial" w:cs="Arial"/>
          <w:b/>
          <w:bCs/>
          <w:sz w:val="24"/>
          <w:szCs w:val="24"/>
        </w:rPr>
        <w:t>.</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sz w:val="24"/>
          <w:szCs w:val="24"/>
        </w:rPr>
        <w:t xml:space="preserve">La Comuna deberá dar cumplimiento a lo establecido </w:t>
      </w:r>
      <w:r w:rsidRPr="00A87EC5">
        <w:rPr>
          <w:rFonts w:ascii="Arial" w:hAnsi="Arial" w:cs="Arial"/>
          <w:color w:val="000000"/>
          <w:sz w:val="24"/>
          <w:szCs w:val="24"/>
        </w:rPr>
        <w:t xml:space="preserve">en las citadas normas a los efectos de exponer su gestión financiera en forma </w:t>
      </w:r>
      <w:r w:rsidR="00267C49">
        <w:rPr>
          <w:rFonts w:ascii="Arial" w:hAnsi="Arial" w:cs="Arial"/>
          <w:color w:val="000000"/>
          <w:sz w:val="24"/>
          <w:szCs w:val="24"/>
        </w:rPr>
        <w:t>adecuada.</w:t>
      </w:r>
    </w:p>
    <w:p w:rsidR="00A87EC5" w:rsidRPr="00A87EC5" w:rsidRDefault="00A87EC5" w:rsidP="00A87EC5">
      <w:pPr>
        <w:keepNext/>
        <w:spacing w:before="240" w:after="60" w:line="360" w:lineRule="auto"/>
        <w:jc w:val="both"/>
        <w:outlineLvl w:val="2"/>
        <w:rPr>
          <w:rFonts w:ascii="Arial" w:hAnsi="Arial" w:cs="Arial"/>
          <w:b/>
          <w:bCs/>
          <w:sz w:val="24"/>
          <w:szCs w:val="24"/>
        </w:rPr>
      </w:pPr>
      <w:bookmarkStart w:id="23" w:name="_Toc341791000"/>
      <w:bookmarkStart w:id="24" w:name="_Toc364954087"/>
      <w:r w:rsidRPr="00A87EC5">
        <w:rPr>
          <w:rFonts w:ascii="Arial" w:hAnsi="Arial" w:cs="Arial"/>
          <w:b/>
          <w:bCs/>
          <w:sz w:val="24"/>
          <w:szCs w:val="24"/>
        </w:rPr>
        <w:t>4.1.5 Procedimientos de contratación de funcionarios</w:t>
      </w:r>
      <w:bookmarkEnd w:id="23"/>
      <w:bookmarkEnd w:id="24"/>
      <w:r w:rsidRPr="00A87EC5">
        <w:rPr>
          <w:rFonts w:ascii="Arial" w:hAnsi="Arial" w:cs="Arial"/>
          <w:b/>
          <w:bCs/>
          <w:sz w:val="24"/>
          <w:szCs w:val="24"/>
        </w:rPr>
        <w:t>.</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color w:val="000000"/>
          <w:sz w:val="24"/>
          <w:szCs w:val="24"/>
        </w:rPr>
        <w:t>Se recomienda recurrir a los procedimientos de contratación correspondientes de acuerdo co</w:t>
      </w:r>
      <w:r w:rsidR="00267C49">
        <w:rPr>
          <w:rFonts w:ascii="Arial" w:hAnsi="Arial" w:cs="Arial"/>
          <w:color w:val="000000"/>
          <w:sz w:val="24"/>
          <w:szCs w:val="24"/>
        </w:rPr>
        <w:t>n el escalafón de que se trate.</w:t>
      </w:r>
    </w:p>
    <w:p w:rsidR="00A87EC5" w:rsidRPr="00A87EC5" w:rsidRDefault="00A87EC5" w:rsidP="00A87EC5">
      <w:pPr>
        <w:keepNext/>
        <w:spacing w:before="240" w:after="60" w:line="360" w:lineRule="auto"/>
        <w:jc w:val="both"/>
        <w:outlineLvl w:val="2"/>
        <w:rPr>
          <w:rFonts w:ascii="Arial" w:hAnsi="Arial" w:cs="Arial"/>
          <w:b/>
          <w:bCs/>
          <w:sz w:val="24"/>
          <w:szCs w:val="24"/>
        </w:rPr>
      </w:pPr>
      <w:bookmarkStart w:id="25" w:name="_Toc341791002"/>
      <w:bookmarkStart w:id="26" w:name="_Toc364954089"/>
      <w:r w:rsidRPr="00A87EC5">
        <w:rPr>
          <w:rFonts w:ascii="Arial" w:hAnsi="Arial" w:cs="Arial"/>
          <w:b/>
          <w:bCs/>
          <w:sz w:val="24"/>
          <w:szCs w:val="24"/>
        </w:rPr>
        <w:t xml:space="preserve">4.1.6 </w:t>
      </w:r>
      <w:r w:rsidRPr="00A87EC5">
        <w:rPr>
          <w:rFonts w:ascii="Arial" w:hAnsi="Arial" w:cs="Arial"/>
          <w:b/>
          <w:color w:val="000000"/>
          <w:sz w:val="24"/>
          <w:szCs w:val="24"/>
        </w:rPr>
        <w:t>Convenio N° 30 de la OIT</w:t>
      </w:r>
      <w:bookmarkEnd w:id="25"/>
      <w:bookmarkEnd w:id="26"/>
      <w:r w:rsidR="00267C49">
        <w:rPr>
          <w:rFonts w:ascii="Arial" w:hAnsi="Arial" w:cs="Arial"/>
          <w:b/>
          <w:bCs/>
          <w:sz w:val="24"/>
          <w:szCs w:val="24"/>
        </w:rPr>
        <w:t>.</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color w:val="000000"/>
          <w:sz w:val="24"/>
          <w:szCs w:val="24"/>
        </w:rPr>
        <w:t>La Intendencia debe tener presente que el otorgamiento de horas extras a sus funcionarios debe realizarse verificando la exigencia de que no se podrán trabajar más de c</w:t>
      </w:r>
      <w:r w:rsidR="00267C49">
        <w:rPr>
          <w:rFonts w:ascii="Arial" w:hAnsi="Arial" w:cs="Arial"/>
          <w:color w:val="000000"/>
          <w:sz w:val="24"/>
          <w:szCs w:val="24"/>
        </w:rPr>
        <w:t>uarenta y ocho horas semanales.</w:t>
      </w:r>
    </w:p>
    <w:p w:rsidR="00A87EC5" w:rsidRPr="00A87EC5" w:rsidRDefault="00A87EC5" w:rsidP="00A87EC5">
      <w:pPr>
        <w:keepNext/>
        <w:spacing w:before="240" w:after="60" w:line="360" w:lineRule="auto"/>
        <w:jc w:val="both"/>
        <w:outlineLvl w:val="2"/>
        <w:rPr>
          <w:rFonts w:ascii="Arial" w:hAnsi="Arial" w:cs="Arial"/>
          <w:b/>
          <w:bCs/>
          <w:color w:val="000000"/>
          <w:sz w:val="24"/>
          <w:szCs w:val="24"/>
        </w:rPr>
      </w:pPr>
      <w:bookmarkStart w:id="27" w:name="_Toc341791003"/>
      <w:bookmarkStart w:id="28" w:name="_Toc364954090"/>
      <w:r w:rsidRPr="00A87EC5">
        <w:rPr>
          <w:rFonts w:ascii="Arial" w:hAnsi="Arial" w:cs="Arial"/>
          <w:b/>
          <w:bCs/>
          <w:sz w:val="24"/>
          <w:szCs w:val="24"/>
        </w:rPr>
        <w:t>4.1.7 Arrendamientos de servicio</w:t>
      </w:r>
      <w:bookmarkEnd w:id="27"/>
      <w:bookmarkEnd w:id="28"/>
      <w:r w:rsidRPr="00A87EC5">
        <w:rPr>
          <w:rFonts w:ascii="Arial" w:hAnsi="Arial" w:cs="Arial"/>
          <w:b/>
          <w:bCs/>
          <w:sz w:val="24"/>
          <w:szCs w:val="24"/>
        </w:rPr>
        <w:t>.</w:t>
      </w:r>
    </w:p>
    <w:p w:rsidR="00A87EC5" w:rsidRPr="00A87EC5" w:rsidRDefault="00A87EC5" w:rsidP="00A87EC5">
      <w:pPr>
        <w:widowControl w:val="0"/>
        <w:spacing w:line="360" w:lineRule="auto"/>
        <w:jc w:val="both"/>
        <w:rPr>
          <w:rFonts w:ascii="Arial" w:hAnsi="Arial" w:cs="Arial"/>
          <w:sz w:val="24"/>
          <w:szCs w:val="24"/>
          <w:highlight w:val="yellow"/>
        </w:rPr>
      </w:pPr>
      <w:r w:rsidRPr="00A87EC5">
        <w:rPr>
          <w:rFonts w:ascii="Arial" w:hAnsi="Arial" w:cs="Arial"/>
          <w:sz w:val="24"/>
          <w:szCs w:val="24"/>
        </w:rPr>
        <w:t>Se deberá incluir el detalle referente a los contratos de arrendamientos de servicio vigentes, a efectos de cumplir con lo establecido sobre este punto en el Instructivo del Tr</w:t>
      </w:r>
      <w:r w:rsidR="00267C49">
        <w:rPr>
          <w:rFonts w:ascii="Arial" w:hAnsi="Arial" w:cs="Arial"/>
          <w:sz w:val="24"/>
          <w:szCs w:val="24"/>
        </w:rPr>
        <w:t>ibunal de Cuentas del 28/01/04.</w:t>
      </w:r>
    </w:p>
    <w:p w:rsidR="00A87EC5" w:rsidRPr="00A87EC5" w:rsidRDefault="00A87EC5" w:rsidP="00A87EC5">
      <w:pPr>
        <w:keepNext/>
        <w:spacing w:before="240" w:after="60" w:line="360" w:lineRule="auto"/>
        <w:jc w:val="both"/>
        <w:outlineLvl w:val="2"/>
        <w:rPr>
          <w:rFonts w:ascii="Arial" w:hAnsi="Arial" w:cs="Arial"/>
          <w:b/>
          <w:bCs/>
          <w:color w:val="000000"/>
          <w:sz w:val="24"/>
          <w:szCs w:val="24"/>
        </w:rPr>
      </w:pPr>
      <w:bookmarkStart w:id="29" w:name="_Toc341791004"/>
      <w:bookmarkStart w:id="30" w:name="_Toc364954091"/>
      <w:r w:rsidRPr="00A87EC5">
        <w:rPr>
          <w:rFonts w:ascii="Arial" w:hAnsi="Arial" w:cs="Arial"/>
          <w:b/>
          <w:bCs/>
          <w:sz w:val="24"/>
          <w:szCs w:val="24"/>
        </w:rPr>
        <w:t xml:space="preserve">4.1.8 </w:t>
      </w:r>
      <w:bookmarkEnd w:id="29"/>
      <w:bookmarkEnd w:id="30"/>
      <w:r w:rsidRPr="00A87EC5">
        <w:rPr>
          <w:rFonts w:ascii="Arial" w:hAnsi="Arial" w:cs="Arial"/>
          <w:b/>
          <w:bCs/>
          <w:sz w:val="24"/>
          <w:szCs w:val="24"/>
        </w:rPr>
        <w:t>Resolución del Trib</w:t>
      </w:r>
      <w:r w:rsidR="00267C49">
        <w:rPr>
          <w:rFonts w:ascii="Arial" w:hAnsi="Arial" w:cs="Arial"/>
          <w:b/>
          <w:bCs/>
          <w:sz w:val="24"/>
          <w:szCs w:val="24"/>
        </w:rPr>
        <w:t>unal de Cuentas del 11/05/2005.</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color w:val="000000"/>
          <w:sz w:val="24"/>
          <w:szCs w:val="24"/>
        </w:rPr>
        <w:t xml:space="preserve">La Intendencia debe instrumentar procedimientos de seguimiento y control de las concesiones otorgadas a los efectos de que </w:t>
      </w:r>
      <w:r w:rsidRPr="00A87EC5">
        <w:rPr>
          <w:rFonts w:ascii="Arial" w:eastAsia="Arial Unicode MS" w:hAnsi="Arial" w:cs="Arial"/>
          <w:sz w:val="24"/>
          <w:szCs w:val="24"/>
        </w:rPr>
        <w:t>antes del 31 de enero y del 31 de julio de cada año, los jerarcas de los Organismos referidos, como así también los Organismos reguladores de las concesiones, comunicarán al Tribunal de Cuentas los informes correspondientes al semestre anterior, producidos por las Comisiones de Control o por las Oficinas que tengan a su cargo la verificación del cumplimiento de los Contratos correspondientes.</w:t>
      </w:r>
    </w:p>
    <w:p w:rsidR="00A87EC5" w:rsidRPr="00A87EC5" w:rsidRDefault="00A87EC5" w:rsidP="00A87EC5">
      <w:pPr>
        <w:keepNext/>
        <w:spacing w:before="240" w:after="60" w:line="360" w:lineRule="auto"/>
        <w:jc w:val="both"/>
        <w:outlineLvl w:val="2"/>
        <w:rPr>
          <w:rFonts w:ascii="Arial" w:hAnsi="Arial" w:cs="Arial"/>
          <w:b/>
          <w:bCs/>
          <w:color w:val="000000"/>
          <w:sz w:val="24"/>
          <w:szCs w:val="24"/>
        </w:rPr>
      </w:pPr>
      <w:bookmarkStart w:id="31" w:name="_Toc341791005"/>
      <w:bookmarkStart w:id="32" w:name="_Toc364954092"/>
      <w:r w:rsidRPr="00A87EC5">
        <w:rPr>
          <w:rFonts w:ascii="Arial" w:hAnsi="Arial" w:cs="Arial"/>
          <w:b/>
          <w:bCs/>
          <w:sz w:val="24"/>
          <w:szCs w:val="24"/>
        </w:rPr>
        <w:t xml:space="preserve">4.1.9 </w:t>
      </w:r>
      <w:bookmarkEnd w:id="31"/>
      <w:bookmarkEnd w:id="32"/>
      <w:r w:rsidRPr="00A87EC5">
        <w:rPr>
          <w:rFonts w:ascii="Arial" w:hAnsi="Arial" w:cs="Arial"/>
          <w:b/>
          <w:bCs/>
          <w:sz w:val="24"/>
          <w:szCs w:val="24"/>
        </w:rPr>
        <w:t>Articulo 15 del TOCAF</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color w:val="000000"/>
          <w:sz w:val="24"/>
          <w:szCs w:val="24"/>
        </w:rPr>
        <w:t>Se recomienda incrementar el uso del mecanismo de la trasposición entre objetos, aplicando las normas presupuestales de la Intendencia vigentes en la materia, a los efectos d</w:t>
      </w:r>
      <w:r w:rsidR="00267C49">
        <w:rPr>
          <w:rFonts w:ascii="Arial" w:hAnsi="Arial" w:cs="Arial"/>
          <w:color w:val="000000"/>
          <w:sz w:val="24"/>
          <w:szCs w:val="24"/>
        </w:rPr>
        <w:t>e evitar los excesos de gastos.</w:t>
      </w:r>
    </w:p>
    <w:p w:rsidR="00A87EC5" w:rsidRPr="00A87EC5" w:rsidRDefault="00A87EC5" w:rsidP="00A87EC5">
      <w:pPr>
        <w:keepNext/>
        <w:spacing w:before="240" w:after="60" w:line="360" w:lineRule="auto"/>
        <w:jc w:val="both"/>
        <w:outlineLvl w:val="2"/>
        <w:rPr>
          <w:rFonts w:ascii="Arial" w:hAnsi="Arial" w:cs="Arial"/>
          <w:b/>
          <w:bCs/>
          <w:sz w:val="24"/>
          <w:szCs w:val="24"/>
        </w:rPr>
      </w:pPr>
      <w:r w:rsidRPr="00A87EC5">
        <w:rPr>
          <w:rFonts w:ascii="Arial" w:hAnsi="Arial" w:cs="Arial"/>
          <w:b/>
          <w:bCs/>
          <w:sz w:val="24"/>
          <w:szCs w:val="24"/>
        </w:rPr>
        <w:t>4.1.</w:t>
      </w:r>
      <w:r w:rsidR="00267C49">
        <w:rPr>
          <w:rFonts w:ascii="Arial" w:hAnsi="Arial" w:cs="Arial"/>
          <w:b/>
          <w:bCs/>
          <w:sz w:val="24"/>
          <w:szCs w:val="24"/>
        </w:rPr>
        <w:t>10 Contratos retroactivos.</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Intendencia deberá planificar con tiempo la firma de contratos de arrendamiento de obra y de servicios, de modo que el comienzo real de los mismos coi</w:t>
      </w:r>
      <w:r w:rsidR="00267C49">
        <w:rPr>
          <w:rFonts w:ascii="Arial" w:hAnsi="Arial" w:cs="Arial"/>
          <w:sz w:val="24"/>
          <w:szCs w:val="24"/>
        </w:rPr>
        <w:t>ncida con la fecha de la firma.</w:t>
      </w:r>
    </w:p>
    <w:p w:rsidR="00A87EC5" w:rsidRPr="00A87EC5" w:rsidRDefault="00A87EC5" w:rsidP="00A87EC5">
      <w:pPr>
        <w:keepNext/>
        <w:spacing w:before="240" w:after="60" w:line="360" w:lineRule="auto"/>
        <w:jc w:val="both"/>
        <w:outlineLvl w:val="2"/>
        <w:rPr>
          <w:rFonts w:ascii="Arial" w:hAnsi="Arial" w:cs="Arial"/>
          <w:b/>
          <w:bCs/>
          <w:sz w:val="24"/>
          <w:szCs w:val="24"/>
        </w:rPr>
      </w:pPr>
      <w:r w:rsidRPr="00A87EC5">
        <w:rPr>
          <w:rFonts w:ascii="Arial" w:hAnsi="Arial" w:cs="Arial"/>
          <w:b/>
          <w:bCs/>
          <w:sz w:val="24"/>
          <w:szCs w:val="24"/>
        </w:rPr>
        <w:t>4.1.11 Actualización de datos de los funcionarios.</w:t>
      </w:r>
    </w:p>
    <w:p w:rsidR="00A87EC5" w:rsidRPr="00A87EC5" w:rsidRDefault="00A87EC5" w:rsidP="00A87EC5">
      <w:pPr>
        <w:spacing w:line="360" w:lineRule="auto"/>
        <w:jc w:val="both"/>
        <w:rPr>
          <w:rFonts w:ascii="Arial" w:hAnsi="Arial" w:cs="Arial"/>
          <w:sz w:val="24"/>
          <w:szCs w:val="24"/>
          <w:shd w:val="clear" w:color="auto" w:fill="00B0F0"/>
        </w:rPr>
      </w:pPr>
      <w:r w:rsidRPr="00A87EC5">
        <w:rPr>
          <w:rFonts w:ascii="Arial" w:hAnsi="Arial" w:cs="Arial"/>
          <w:sz w:val="24"/>
          <w:szCs w:val="24"/>
        </w:rPr>
        <w:t>Deberá llevarse un registro de la situación personal de los funcionarios y exigir a todo el personal la presentación del formulario 3100 de la DGI, a efectos de contar con los datos actualizados para la liquidación del IRPF y para el cobro de ciertas partidas (por ejemplo: Hogar Constituido).</w:t>
      </w:r>
    </w:p>
    <w:p w:rsidR="00A87EC5" w:rsidRPr="00A87EC5" w:rsidRDefault="00A87EC5" w:rsidP="00A87EC5">
      <w:pPr>
        <w:spacing w:line="360" w:lineRule="auto"/>
        <w:jc w:val="both"/>
        <w:rPr>
          <w:rFonts w:ascii="Arial" w:hAnsi="Arial" w:cs="Arial"/>
          <w:color w:val="000000"/>
          <w:sz w:val="24"/>
          <w:szCs w:val="24"/>
        </w:rPr>
      </w:pPr>
      <w:bookmarkStart w:id="33" w:name="_Hlt269458964"/>
      <w:bookmarkEnd w:id="16"/>
      <w:bookmarkEnd w:id="33"/>
      <w:r w:rsidRPr="00A87EC5">
        <w:rPr>
          <w:rFonts w:ascii="Arial" w:hAnsi="Arial" w:cs="Arial"/>
          <w:b/>
          <w:sz w:val="24"/>
          <w:szCs w:val="24"/>
        </w:rPr>
        <w:t xml:space="preserve">4.1.12 </w:t>
      </w:r>
      <w:r w:rsidRPr="00A87EC5">
        <w:rPr>
          <w:rFonts w:ascii="Arial" w:hAnsi="Arial" w:cs="Arial"/>
          <w:b/>
          <w:color w:val="000000"/>
          <w:sz w:val="24"/>
          <w:szCs w:val="24"/>
        </w:rPr>
        <w:t>Articulo 48 del TOCAF</w:t>
      </w:r>
    </w:p>
    <w:p w:rsidR="00A87EC5" w:rsidRPr="00A87EC5" w:rsidRDefault="00A87EC5" w:rsidP="00A87EC5">
      <w:pPr>
        <w:widowControl w:val="0"/>
        <w:spacing w:line="360" w:lineRule="auto"/>
        <w:jc w:val="both"/>
        <w:rPr>
          <w:rFonts w:ascii="Arial" w:hAnsi="Arial" w:cs="Arial"/>
          <w:color w:val="000000"/>
          <w:sz w:val="24"/>
          <w:szCs w:val="24"/>
        </w:rPr>
      </w:pPr>
      <w:r w:rsidRPr="00A87EC5">
        <w:rPr>
          <w:rFonts w:ascii="Arial" w:hAnsi="Arial" w:cs="Arial"/>
          <w:color w:val="000000"/>
          <w:sz w:val="24"/>
          <w:szCs w:val="24"/>
        </w:rPr>
        <w:t>En el Pliego de bases y condiciones particulares no se debe exigir a los oferentes la presentación de los certificados de estar al d</w:t>
      </w:r>
      <w:r w:rsidR="00267C49">
        <w:rPr>
          <w:rFonts w:ascii="Arial" w:hAnsi="Arial" w:cs="Arial"/>
          <w:color w:val="000000"/>
          <w:sz w:val="24"/>
          <w:szCs w:val="24"/>
        </w:rPr>
        <w:t>ía con los Organismos públicos.</w:t>
      </w:r>
    </w:p>
    <w:p w:rsidR="00A87EC5" w:rsidRPr="00A87EC5" w:rsidRDefault="00A87EC5" w:rsidP="00A87EC5">
      <w:pPr>
        <w:widowControl w:val="0"/>
        <w:spacing w:line="360" w:lineRule="auto"/>
        <w:jc w:val="both"/>
        <w:rPr>
          <w:rFonts w:ascii="Arial" w:hAnsi="Arial" w:cs="Arial"/>
          <w:sz w:val="24"/>
          <w:szCs w:val="24"/>
        </w:rPr>
      </w:pPr>
      <w:r w:rsidRPr="00A87EC5">
        <w:rPr>
          <w:rFonts w:ascii="Arial" w:hAnsi="Arial" w:cs="Arial"/>
          <w:b/>
          <w:sz w:val="24"/>
          <w:szCs w:val="24"/>
        </w:rPr>
        <w:t xml:space="preserve">4.1.13 Facturación en Termas de </w:t>
      </w:r>
      <w:proofErr w:type="spellStart"/>
      <w:r w:rsidRPr="00A87EC5">
        <w:rPr>
          <w:rFonts w:ascii="Arial" w:hAnsi="Arial" w:cs="Arial"/>
          <w:b/>
          <w:sz w:val="24"/>
          <w:szCs w:val="24"/>
        </w:rPr>
        <w:t>Arapey</w:t>
      </w:r>
      <w:proofErr w:type="spellEnd"/>
      <w:r w:rsidRPr="00A87EC5">
        <w:rPr>
          <w:rFonts w:ascii="Arial" w:hAnsi="Arial" w:cs="Arial"/>
          <w:b/>
          <w:sz w:val="24"/>
          <w:szCs w:val="24"/>
        </w:rPr>
        <w:t>.</w:t>
      </w:r>
    </w:p>
    <w:p w:rsidR="00A87EC5" w:rsidRPr="00A87EC5" w:rsidRDefault="00A87EC5" w:rsidP="00A87EC5">
      <w:pPr>
        <w:widowControl w:val="0"/>
        <w:spacing w:line="360" w:lineRule="auto"/>
        <w:jc w:val="both"/>
        <w:rPr>
          <w:rFonts w:ascii="Arial" w:hAnsi="Arial" w:cs="Arial"/>
          <w:sz w:val="24"/>
          <w:szCs w:val="24"/>
        </w:rPr>
      </w:pPr>
      <w:r w:rsidRPr="00A87EC5">
        <w:rPr>
          <w:rFonts w:ascii="Arial" w:hAnsi="Arial" w:cs="Arial"/>
          <w:sz w:val="24"/>
          <w:szCs w:val="24"/>
        </w:rPr>
        <w:t>Se recomienda realizar un relevamiento del sistema de facturación de los centros termales del Departamento y, fundamentalmente, instruir al personal que factura en todo lo referente a la normativa vigente en materia de documentación de operaciones, con énfasis en lo concerniente</w:t>
      </w:r>
      <w:r w:rsidR="00267C49">
        <w:rPr>
          <w:rFonts w:ascii="Arial" w:hAnsi="Arial" w:cs="Arial"/>
          <w:sz w:val="24"/>
          <w:szCs w:val="24"/>
        </w:rPr>
        <w:t xml:space="preserve"> al sector turístico.</w:t>
      </w:r>
    </w:p>
    <w:p w:rsidR="00A87EC5" w:rsidRPr="00A87EC5" w:rsidRDefault="00A87EC5" w:rsidP="00A87EC5">
      <w:pPr>
        <w:spacing w:line="360" w:lineRule="auto"/>
        <w:jc w:val="both"/>
        <w:outlineLvl w:val="1"/>
        <w:rPr>
          <w:rFonts w:ascii="Arial" w:hAnsi="Arial" w:cs="Arial"/>
          <w:color w:val="000000"/>
          <w:sz w:val="24"/>
          <w:szCs w:val="24"/>
        </w:rPr>
      </w:pPr>
      <w:bookmarkStart w:id="34" w:name="_Toc364954093"/>
      <w:bookmarkStart w:id="35" w:name="_Toc239757141"/>
      <w:bookmarkStart w:id="36" w:name="_Toc341791006"/>
      <w:r w:rsidRPr="00A87EC5">
        <w:rPr>
          <w:rFonts w:ascii="Arial" w:hAnsi="Arial" w:cs="Arial"/>
          <w:b/>
          <w:kern w:val="18"/>
          <w:sz w:val="24"/>
          <w:szCs w:val="24"/>
        </w:rPr>
        <w:t>4.2 Recomendaciones del Ejercicio</w:t>
      </w:r>
      <w:bookmarkEnd w:id="34"/>
      <w:r w:rsidRPr="00A87EC5">
        <w:rPr>
          <w:rFonts w:ascii="Arial" w:hAnsi="Arial" w:cs="Arial"/>
          <w:b/>
          <w:kern w:val="18"/>
          <w:sz w:val="24"/>
          <w:szCs w:val="24"/>
        </w:rPr>
        <w:t>.</w:t>
      </w:r>
      <w:bookmarkEnd w:id="35"/>
      <w:bookmarkEnd w:id="36"/>
    </w:p>
    <w:p w:rsidR="00A87EC5" w:rsidRPr="00A87EC5" w:rsidRDefault="00A87EC5" w:rsidP="00A87EC5">
      <w:pPr>
        <w:spacing w:line="360" w:lineRule="auto"/>
        <w:jc w:val="both"/>
        <w:rPr>
          <w:rFonts w:ascii="Arial" w:hAnsi="Arial" w:cs="Arial"/>
          <w:color w:val="000000"/>
          <w:sz w:val="24"/>
          <w:szCs w:val="24"/>
        </w:rPr>
      </w:pPr>
      <w:r w:rsidRPr="00A87EC5">
        <w:rPr>
          <w:rFonts w:ascii="Arial" w:hAnsi="Arial" w:cs="Arial"/>
          <w:color w:val="000000"/>
          <w:sz w:val="24"/>
          <w:szCs w:val="24"/>
        </w:rPr>
        <w:t>Se reiteran las recomendaciones del apartado 4.1 y se agregan las siguientes:</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4.2.1 Resolución del Trib</w:t>
      </w:r>
      <w:r w:rsidR="006E1A8A">
        <w:rPr>
          <w:rFonts w:ascii="Arial" w:hAnsi="Arial" w:cs="Arial"/>
          <w:b/>
          <w:sz w:val="24"/>
          <w:szCs w:val="24"/>
        </w:rPr>
        <w:t>unal de Cuentas del 28/01/2004.</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Intendencia deberá dar cumplimiento en su totalidad con lo dispuesto en cuanto a la presentación de la información financiera en el documento de Rendición de Cuentas.</w:t>
      </w:r>
    </w:p>
    <w:p w:rsidR="00A87EC5" w:rsidRPr="00A87EC5" w:rsidRDefault="00A87EC5" w:rsidP="00A87EC5">
      <w:pPr>
        <w:spacing w:line="360" w:lineRule="auto"/>
        <w:jc w:val="both"/>
        <w:rPr>
          <w:rFonts w:ascii="Arial" w:hAnsi="Arial" w:cs="Arial"/>
          <w:sz w:val="24"/>
          <w:szCs w:val="24"/>
        </w:rPr>
      </w:pPr>
      <w:r w:rsidRPr="00A87EC5">
        <w:rPr>
          <w:rFonts w:ascii="Arial" w:hAnsi="Arial" w:cs="Arial"/>
          <w:b/>
          <w:sz w:val="24"/>
          <w:szCs w:val="24"/>
        </w:rPr>
        <w:t>4.2.2</w:t>
      </w:r>
      <w:r w:rsidRPr="00A87EC5">
        <w:rPr>
          <w:rFonts w:ascii="Arial" w:hAnsi="Arial" w:cs="Arial"/>
          <w:sz w:val="24"/>
          <w:szCs w:val="24"/>
        </w:rPr>
        <w:t xml:space="preserve"> </w:t>
      </w:r>
      <w:r w:rsidRPr="00A87EC5">
        <w:rPr>
          <w:rFonts w:ascii="Arial" w:hAnsi="Arial" w:cs="Arial"/>
          <w:b/>
          <w:bCs/>
          <w:sz w:val="24"/>
          <w:szCs w:val="24"/>
        </w:rPr>
        <w:t>Artículo 211 Literal B) de la Constitución de la República y Artículo 87 del TOCAF</w:t>
      </w:r>
      <w:r w:rsidRPr="00A87EC5">
        <w:rPr>
          <w:rFonts w:ascii="Arial" w:hAnsi="Arial" w:cs="Arial"/>
          <w:sz w:val="24"/>
          <w:szCs w:val="24"/>
        </w:rPr>
        <w:t>.</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Tesorería no debe realizar pagos sin la intervención previa del Contador Delegado del Tribunal de Cuentas.</w:t>
      </w:r>
    </w:p>
    <w:p w:rsidR="00A87EC5" w:rsidRPr="00A87EC5" w:rsidRDefault="006E1A8A" w:rsidP="00A87EC5">
      <w:pPr>
        <w:spacing w:line="360" w:lineRule="auto"/>
        <w:jc w:val="both"/>
        <w:rPr>
          <w:rFonts w:ascii="Arial" w:hAnsi="Arial" w:cs="Arial"/>
          <w:b/>
          <w:sz w:val="24"/>
          <w:szCs w:val="24"/>
        </w:rPr>
      </w:pPr>
      <w:r>
        <w:rPr>
          <w:rFonts w:ascii="Arial" w:hAnsi="Arial" w:cs="Arial"/>
          <w:b/>
          <w:sz w:val="24"/>
          <w:szCs w:val="24"/>
        </w:rPr>
        <w:t>4.2.3 Articulo 20 del TOCAF</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Intendencia no debe computar como recursos del Ejercicio, aquéllos que aún no están disponibles en Caja o Cuenta Bancaria.</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4.2</w:t>
      </w:r>
      <w:r w:rsidR="00267C49">
        <w:rPr>
          <w:rFonts w:ascii="Arial" w:hAnsi="Arial" w:cs="Arial"/>
          <w:b/>
          <w:sz w:val="24"/>
          <w:szCs w:val="24"/>
        </w:rPr>
        <w:t>.4 Artículos 88 y 132 del TOCAF</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Tesorería debe realizar un seguimiento y control de los fondos a rendir cuenta, de forma que se cumplan los plazos y todo otro requisito al respecto, dando de baja del registro respectivo aquellas partidas que fueron rendidas.</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 xml:space="preserve">4.2.5 </w:t>
      </w:r>
      <w:r w:rsidRPr="00A87EC5">
        <w:rPr>
          <w:rFonts w:ascii="Arial" w:hAnsi="Arial" w:cs="Arial"/>
          <w:b/>
          <w:bCs/>
          <w:sz w:val="24"/>
          <w:szCs w:val="24"/>
        </w:rPr>
        <w:t>Artículo 7 de la Ley N° 13.142, Artículo 1 del Decreto-Ley N° 14.632, Decreto</w:t>
      </w:r>
      <w:r w:rsidRPr="00A87EC5">
        <w:rPr>
          <w:rFonts w:ascii="Arial" w:hAnsi="Arial" w:cs="Arial"/>
          <w:b/>
          <w:sz w:val="24"/>
          <w:szCs w:val="24"/>
        </w:rPr>
        <w:t xml:space="preserve"> 342/992.</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Las oficinas de las Tesorerías deben controlar la presentación de los certificados exigidos a todo proveedor, previo al pago de los mismos, dejando constancia de tal extremo.</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4.2.6 Pago de partidas por eficacia.</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Intendencia no debe abonar partidas por eficacia, sin que las mismas se encuentren con reglamentación aprobada por la Junta Departamental.</w:t>
      </w: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4.2.7 Manuales de Procedimientos.</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Intendencia debe contar con manuales de procedimientos de compras y funciones, donde se establezcan las competencias y responsabilidades de los funcionarios.</w:t>
      </w:r>
    </w:p>
    <w:p w:rsidR="00A87EC5" w:rsidRPr="00A87EC5" w:rsidRDefault="00267C49" w:rsidP="00A87EC5">
      <w:pPr>
        <w:spacing w:line="360" w:lineRule="auto"/>
        <w:jc w:val="both"/>
        <w:rPr>
          <w:rFonts w:ascii="Arial" w:hAnsi="Arial" w:cs="Arial"/>
          <w:b/>
          <w:sz w:val="24"/>
          <w:szCs w:val="24"/>
        </w:rPr>
      </w:pPr>
      <w:r>
        <w:rPr>
          <w:rFonts w:ascii="Arial" w:hAnsi="Arial" w:cs="Arial"/>
          <w:b/>
          <w:sz w:val="24"/>
          <w:szCs w:val="24"/>
        </w:rPr>
        <w:t>4.2.8  Articulo 119 del TOCAF</w:t>
      </w:r>
    </w:p>
    <w:p w:rsidR="00A87EC5" w:rsidRDefault="00A87EC5" w:rsidP="00A87EC5">
      <w:pPr>
        <w:spacing w:line="360" w:lineRule="auto"/>
        <w:jc w:val="both"/>
        <w:rPr>
          <w:rFonts w:ascii="Arial" w:hAnsi="Arial" w:cs="Arial"/>
          <w:sz w:val="24"/>
          <w:szCs w:val="24"/>
        </w:rPr>
      </w:pPr>
      <w:r w:rsidRPr="00A87EC5">
        <w:rPr>
          <w:rFonts w:ascii="Arial" w:hAnsi="Arial" w:cs="Arial"/>
          <w:sz w:val="24"/>
          <w:szCs w:val="24"/>
        </w:rPr>
        <w:t xml:space="preserve">Se deben realizar arqueos de fondos y valores (incluso las guías de semovientes), ya sean rutinarios y/o sorpresivos y de forma periódica, en las distintas Tesorerías y en todas las Cajas Chicas, </w:t>
      </w:r>
      <w:r w:rsidR="00267C49">
        <w:rPr>
          <w:rFonts w:ascii="Arial" w:hAnsi="Arial" w:cs="Arial"/>
          <w:sz w:val="24"/>
          <w:szCs w:val="24"/>
        </w:rPr>
        <w:t>incluso al cierre de Ejercicio.</w:t>
      </w:r>
    </w:p>
    <w:p w:rsidR="006E1A8A" w:rsidRPr="00A87EC5" w:rsidRDefault="006E1A8A" w:rsidP="00A87EC5">
      <w:pPr>
        <w:spacing w:line="360" w:lineRule="auto"/>
        <w:jc w:val="both"/>
        <w:rPr>
          <w:rFonts w:ascii="Arial" w:hAnsi="Arial" w:cs="Arial"/>
          <w:sz w:val="24"/>
          <w:szCs w:val="24"/>
        </w:rPr>
      </w:pPr>
    </w:p>
    <w:p w:rsidR="00A87EC5" w:rsidRPr="00A87EC5" w:rsidRDefault="00A87EC5" w:rsidP="00A87EC5">
      <w:pPr>
        <w:spacing w:line="360" w:lineRule="auto"/>
        <w:jc w:val="both"/>
        <w:rPr>
          <w:rFonts w:ascii="Arial" w:hAnsi="Arial" w:cs="Arial"/>
          <w:b/>
          <w:sz w:val="24"/>
          <w:szCs w:val="24"/>
        </w:rPr>
      </w:pPr>
      <w:r w:rsidRPr="00A87EC5">
        <w:rPr>
          <w:rFonts w:ascii="Arial" w:hAnsi="Arial" w:cs="Arial"/>
          <w:b/>
          <w:sz w:val="24"/>
          <w:szCs w:val="24"/>
        </w:rPr>
        <w:t>4.2.9 Valores en Garantía.</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recepción y devolución de los valores recibidos en garantía, deben contar con un documento propio de respaldo y un registro de los mismos.</w:t>
      </w:r>
    </w:p>
    <w:p w:rsidR="00A87EC5" w:rsidRPr="00A87EC5" w:rsidRDefault="00A87EC5" w:rsidP="00A87EC5">
      <w:pPr>
        <w:spacing w:line="360" w:lineRule="auto"/>
        <w:jc w:val="both"/>
        <w:rPr>
          <w:rFonts w:ascii="Arial" w:hAnsi="Arial" w:cs="Arial"/>
          <w:sz w:val="24"/>
          <w:szCs w:val="24"/>
        </w:rPr>
      </w:pPr>
      <w:r w:rsidRPr="00A87EC5">
        <w:rPr>
          <w:rFonts w:ascii="Arial" w:hAnsi="Arial" w:cs="Arial"/>
          <w:b/>
          <w:sz w:val="24"/>
          <w:szCs w:val="24"/>
        </w:rPr>
        <w:t>4.2.10 Conciliaciones con acreedores.</w:t>
      </w:r>
    </w:p>
    <w:p w:rsidR="00A87EC5" w:rsidRPr="00A87EC5" w:rsidRDefault="00A87EC5" w:rsidP="00A87EC5">
      <w:pPr>
        <w:spacing w:line="360" w:lineRule="auto"/>
        <w:jc w:val="both"/>
        <w:rPr>
          <w:rFonts w:ascii="Arial" w:hAnsi="Arial" w:cs="Arial"/>
          <w:sz w:val="24"/>
          <w:szCs w:val="24"/>
        </w:rPr>
      </w:pPr>
      <w:r w:rsidRPr="00A87EC5">
        <w:rPr>
          <w:rFonts w:ascii="Arial" w:hAnsi="Arial" w:cs="Arial"/>
          <w:sz w:val="24"/>
          <w:szCs w:val="24"/>
        </w:rPr>
        <w:t>La Contaduría de la Intendencia debe realizar conciliaciones periódicas con sus acreedores.</w:t>
      </w:r>
    </w:p>
    <w:p w:rsidR="00A87EC5" w:rsidRPr="00A87EC5" w:rsidRDefault="00A87EC5" w:rsidP="00A87EC5">
      <w:pPr>
        <w:jc w:val="right"/>
        <w:rPr>
          <w:rFonts w:ascii="Arial" w:hAnsi="Arial" w:cs="Arial"/>
          <w:sz w:val="24"/>
          <w:szCs w:val="24"/>
        </w:rPr>
      </w:pPr>
      <w:r w:rsidRPr="00A87EC5">
        <w:rPr>
          <w:rFonts w:ascii="Arial" w:hAnsi="Arial" w:cs="Arial"/>
          <w:sz w:val="24"/>
          <w:szCs w:val="24"/>
        </w:rPr>
        <w:t>Mo</w:t>
      </w:r>
      <w:r w:rsidR="00267C49">
        <w:rPr>
          <w:rFonts w:ascii="Arial" w:hAnsi="Arial" w:cs="Arial"/>
          <w:sz w:val="24"/>
          <w:szCs w:val="24"/>
        </w:rPr>
        <w:t>ntevideo, 19 de octubre de 2015</w:t>
      </w:r>
    </w:p>
    <w:p w:rsidR="00A87EC5" w:rsidRPr="00A87EC5" w:rsidRDefault="00A87EC5" w:rsidP="00A87EC5">
      <w:pPr>
        <w:widowControl w:val="0"/>
        <w:spacing w:line="360" w:lineRule="auto"/>
        <w:jc w:val="right"/>
        <w:rPr>
          <w:rFonts w:ascii="Arial" w:hAnsi="Arial" w:cs="Arial"/>
          <w:sz w:val="24"/>
          <w:szCs w:val="24"/>
        </w:rPr>
      </w:pPr>
    </w:p>
    <w:p w:rsidR="00A87EC5" w:rsidRDefault="00A87EC5" w:rsidP="00E04C9B">
      <w:pPr>
        <w:widowControl w:val="0"/>
        <w:spacing w:line="360" w:lineRule="auto"/>
        <w:ind w:hanging="567"/>
        <w:jc w:val="both"/>
        <w:rPr>
          <w:rFonts w:ascii="Arial" w:hAnsi="Arial" w:cs="Arial"/>
          <w:sz w:val="24"/>
          <w:szCs w:val="24"/>
        </w:rPr>
      </w:pPr>
      <w:proofErr w:type="gramStart"/>
      <w:r w:rsidRPr="00A87EC5">
        <w:rPr>
          <w:rFonts w:ascii="Arial" w:hAnsi="Arial" w:cs="Arial"/>
          <w:sz w:val="24"/>
          <w:szCs w:val="24"/>
        </w:rPr>
        <w:t>dc</w:t>
      </w:r>
      <w:bookmarkEnd w:id="2"/>
      <w:proofErr w:type="gramEnd"/>
    </w:p>
    <w:sectPr w:rsidR="00A87EC5" w:rsidSect="00D93897">
      <w:pgSz w:w="11906" w:h="16838" w:code="9"/>
      <w:pgMar w:top="3119"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552"/>
    <w:rsid w:val="0005032D"/>
    <w:rsid w:val="00066996"/>
    <w:rsid w:val="00256E0C"/>
    <w:rsid w:val="00267C49"/>
    <w:rsid w:val="003066EA"/>
    <w:rsid w:val="006E1A8A"/>
    <w:rsid w:val="00940B64"/>
    <w:rsid w:val="009D79DA"/>
    <w:rsid w:val="00A87EC5"/>
    <w:rsid w:val="00D47A74"/>
    <w:rsid w:val="00D93897"/>
    <w:rsid w:val="00E04C9B"/>
    <w:rsid w:val="00F8355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87EC5"/>
    <w:pPr>
      <w:keepNext/>
      <w:spacing w:before="240" w:after="60" w:line="240" w:lineRule="auto"/>
      <w:outlineLvl w:val="0"/>
    </w:pPr>
    <w:rPr>
      <w:rFonts w:ascii="Arial" w:eastAsia="Times New Roman" w:hAnsi="Arial" w:cs="Arial"/>
      <w:b/>
      <w:bCs/>
      <w:kern w:val="32"/>
      <w:sz w:val="24"/>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EC5"/>
    <w:rPr>
      <w:rFonts w:ascii="Arial" w:eastAsia="Times New Roman" w:hAnsi="Arial" w:cs="Arial"/>
      <w:b/>
      <w:bCs/>
      <w:kern w:val="32"/>
      <w:sz w:val="24"/>
      <w:szCs w:val="32"/>
      <w:lang w:val="es-ES" w:eastAsia="es-ES"/>
    </w:rPr>
  </w:style>
  <w:style w:type="paragraph" w:styleId="Textoindependiente">
    <w:name w:val="Body Text"/>
    <w:basedOn w:val="Normal"/>
    <w:link w:val="TextoindependienteCar"/>
    <w:rsid w:val="00A87EC5"/>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rsid w:val="00A87EC5"/>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A87EC5"/>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A87EC5"/>
    <w:rPr>
      <w:rFonts w:ascii="Bookman Old Style" w:eastAsia="Times New Roman" w:hAnsi="Bookman Old Style" w:cs="Times New Roman"/>
      <w:b/>
      <w:kern w:val="18"/>
      <w:sz w:val="24"/>
      <w:szCs w:val="20"/>
      <w:lang w:val="es-ES" w:eastAsia="es-ES"/>
    </w:rPr>
  </w:style>
  <w:style w:type="paragraph" w:customStyle="1" w:styleId="Textonormal">
    <w:name w:val="Texto normal"/>
    <w:basedOn w:val="Textoindependiente"/>
    <w:rsid w:val="00A87EC5"/>
    <w:pPr>
      <w:widowControl w:val="0"/>
      <w:tabs>
        <w:tab w:val="left" w:pos="-720"/>
      </w:tabs>
      <w:suppressAutoHyphens/>
      <w:spacing w:after="0" w:line="480" w:lineRule="auto"/>
    </w:pPr>
    <w:rPr>
      <w:rFonts w:ascii="Courier" w:hAnsi="Courier" w:cs="Courier"/>
      <w:spacing w:val="-3"/>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A87EC5"/>
    <w:pPr>
      <w:keepNext/>
      <w:spacing w:before="240" w:after="60" w:line="240" w:lineRule="auto"/>
      <w:outlineLvl w:val="0"/>
    </w:pPr>
    <w:rPr>
      <w:rFonts w:ascii="Arial" w:eastAsia="Times New Roman" w:hAnsi="Arial" w:cs="Arial"/>
      <w:b/>
      <w:bCs/>
      <w:kern w:val="32"/>
      <w:sz w:val="24"/>
      <w:szCs w:val="3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7EC5"/>
    <w:rPr>
      <w:rFonts w:ascii="Arial" w:eastAsia="Times New Roman" w:hAnsi="Arial" w:cs="Arial"/>
      <w:b/>
      <w:bCs/>
      <w:kern w:val="32"/>
      <w:sz w:val="24"/>
      <w:szCs w:val="32"/>
      <w:lang w:val="es-ES" w:eastAsia="es-ES"/>
    </w:rPr>
  </w:style>
  <w:style w:type="paragraph" w:styleId="Textoindependiente">
    <w:name w:val="Body Text"/>
    <w:basedOn w:val="Normal"/>
    <w:link w:val="TextoindependienteCar"/>
    <w:rsid w:val="00A87EC5"/>
    <w:pPr>
      <w:spacing w:after="240" w:line="240" w:lineRule="atLeast"/>
      <w:jc w:val="both"/>
    </w:pPr>
    <w:rPr>
      <w:rFonts w:ascii="Arial" w:eastAsia="Times New Roman" w:hAnsi="Arial" w:cs="Times New Roman"/>
      <w:kern w:val="18"/>
      <w:sz w:val="24"/>
      <w:szCs w:val="20"/>
      <w:lang w:val="es-ES_tradnl" w:eastAsia="es-ES"/>
    </w:rPr>
  </w:style>
  <w:style w:type="character" w:customStyle="1" w:styleId="TextoindependienteCar">
    <w:name w:val="Texto independiente Car"/>
    <w:basedOn w:val="Fuentedeprrafopredeter"/>
    <w:link w:val="Textoindependiente"/>
    <w:rsid w:val="00A87EC5"/>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A87EC5"/>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A87EC5"/>
    <w:rPr>
      <w:rFonts w:ascii="Bookman Old Style" w:eastAsia="Times New Roman" w:hAnsi="Bookman Old Style" w:cs="Times New Roman"/>
      <w:b/>
      <w:kern w:val="18"/>
      <w:sz w:val="24"/>
      <w:szCs w:val="20"/>
      <w:lang w:val="es-ES" w:eastAsia="es-ES"/>
    </w:rPr>
  </w:style>
  <w:style w:type="paragraph" w:customStyle="1" w:styleId="Textonormal">
    <w:name w:val="Texto normal"/>
    <w:basedOn w:val="Textoindependiente"/>
    <w:rsid w:val="00A87EC5"/>
    <w:pPr>
      <w:widowControl w:val="0"/>
      <w:tabs>
        <w:tab w:val="left" w:pos="-720"/>
      </w:tabs>
      <w:suppressAutoHyphens/>
      <w:spacing w:after="0" w:line="480" w:lineRule="auto"/>
    </w:pPr>
    <w:rPr>
      <w:rFonts w:ascii="Courier" w:hAnsi="Courier" w:cs="Courier"/>
      <w:spacing w:val="-3"/>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3170</Words>
  <Characters>17435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Patricio Young</dc:creator>
  <cp:lastModifiedBy> </cp:lastModifiedBy>
  <cp:revision>4</cp:revision>
  <cp:lastPrinted>2016-02-22T16:09:00Z</cp:lastPrinted>
  <dcterms:created xsi:type="dcterms:W3CDTF">2016-02-22T16:09:00Z</dcterms:created>
  <dcterms:modified xsi:type="dcterms:W3CDTF">2016-04-15T21:27:00Z</dcterms:modified>
</cp:coreProperties>
</file>