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7C2" w:rsidRPr="00786EEB" w:rsidRDefault="005607C2" w:rsidP="00AD1183">
      <w:pPr>
        <w:tabs>
          <w:tab w:val="center" w:pos="4253"/>
        </w:tabs>
        <w:suppressAutoHyphens/>
        <w:jc w:val="right"/>
        <w:rPr>
          <w:rFonts w:cs="Arial"/>
          <w:b/>
          <w:sz w:val="28"/>
          <w:szCs w:val="28"/>
          <w:lang w:val="es-ES_tradnl"/>
        </w:rPr>
      </w:pPr>
      <w:bookmarkStart w:id="0" w:name="_GoBack"/>
      <w:bookmarkEnd w:id="0"/>
      <w:r w:rsidRPr="00786EEB">
        <w:rPr>
          <w:rFonts w:cs="Arial"/>
          <w:b/>
          <w:sz w:val="28"/>
          <w:szCs w:val="28"/>
          <w:lang w:val="es-ES_tradnl"/>
        </w:rPr>
        <w:t xml:space="preserve">RES. </w:t>
      </w:r>
      <w:r>
        <w:rPr>
          <w:rFonts w:cs="Arial"/>
          <w:b/>
          <w:sz w:val="28"/>
          <w:szCs w:val="28"/>
          <w:lang w:val="es-ES_tradnl"/>
        </w:rPr>
        <w:t>481</w:t>
      </w:r>
      <w:r w:rsidRPr="00786EEB">
        <w:rPr>
          <w:rFonts w:cs="Arial"/>
          <w:b/>
          <w:sz w:val="28"/>
          <w:szCs w:val="28"/>
          <w:lang w:val="es-ES_tradnl"/>
        </w:rPr>
        <w:t>/16</w:t>
      </w:r>
    </w:p>
    <w:p w:rsidR="005607C2" w:rsidRPr="00762B34" w:rsidRDefault="005607C2" w:rsidP="005607C2">
      <w:pPr>
        <w:tabs>
          <w:tab w:val="center" w:pos="4253"/>
        </w:tabs>
        <w:suppressAutoHyphens/>
        <w:spacing w:after="0" w:line="240" w:lineRule="auto"/>
        <w:jc w:val="center"/>
        <w:rPr>
          <w:rFonts w:cs="Arial"/>
          <w:b/>
          <w:lang w:val="es-ES_tradnl"/>
        </w:rPr>
      </w:pPr>
      <w:r w:rsidRPr="00762B34">
        <w:rPr>
          <w:rFonts w:cs="Arial"/>
          <w:b/>
          <w:lang w:val="es-ES_tradnl"/>
        </w:rPr>
        <w:t>RESOLUCION ADOPTADA POR EL</w:t>
      </w:r>
    </w:p>
    <w:p w:rsidR="005607C2" w:rsidRPr="00762B34" w:rsidRDefault="005607C2" w:rsidP="005607C2">
      <w:pPr>
        <w:tabs>
          <w:tab w:val="left" w:pos="-720"/>
        </w:tabs>
        <w:suppressAutoHyphens/>
        <w:spacing w:after="0" w:line="240" w:lineRule="auto"/>
        <w:jc w:val="center"/>
        <w:rPr>
          <w:rFonts w:cs="Arial"/>
          <w:b/>
          <w:lang w:val="es-ES_tradnl"/>
        </w:rPr>
      </w:pPr>
    </w:p>
    <w:p w:rsidR="005607C2" w:rsidRPr="00762B34" w:rsidRDefault="005607C2" w:rsidP="005607C2">
      <w:pPr>
        <w:tabs>
          <w:tab w:val="center" w:pos="4253"/>
        </w:tabs>
        <w:suppressAutoHyphens/>
        <w:spacing w:after="0" w:line="240" w:lineRule="auto"/>
        <w:jc w:val="center"/>
        <w:rPr>
          <w:rFonts w:cs="Arial"/>
          <w:b/>
          <w:lang w:val="es-ES_tradnl"/>
        </w:rPr>
      </w:pPr>
      <w:r w:rsidRPr="00762B34">
        <w:rPr>
          <w:rFonts w:cs="Arial"/>
          <w:b/>
          <w:lang w:val="es-ES_tradnl"/>
        </w:rPr>
        <w:t>TRIBUNAL DE CUENTAS</w:t>
      </w:r>
    </w:p>
    <w:p w:rsidR="005607C2" w:rsidRPr="00762B34" w:rsidRDefault="005607C2" w:rsidP="005607C2">
      <w:pPr>
        <w:tabs>
          <w:tab w:val="left" w:pos="-720"/>
        </w:tabs>
        <w:suppressAutoHyphens/>
        <w:spacing w:after="0" w:line="240" w:lineRule="auto"/>
        <w:jc w:val="center"/>
        <w:rPr>
          <w:rFonts w:cs="Arial"/>
          <w:b/>
          <w:lang w:val="es-ES_tradnl"/>
        </w:rPr>
      </w:pPr>
    </w:p>
    <w:p w:rsidR="005607C2" w:rsidRPr="00762B34" w:rsidRDefault="005607C2" w:rsidP="005607C2">
      <w:pPr>
        <w:tabs>
          <w:tab w:val="center" w:pos="4253"/>
        </w:tabs>
        <w:suppressAutoHyphens/>
        <w:spacing w:after="0" w:line="240" w:lineRule="auto"/>
        <w:jc w:val="center"/>
        <w:rPr>
          <w:rFonts w:cs="Arial"/>
          <w:b/>
          <w:lang w:val="es-ES_tradnl"/>
        </w:rPr>
      </w:pPr>
      <w:r w:rsidRPr="00762B34">
        <w:rPr>
          <w:rFonts w:cs="Arial"/>
          <w:b/>
          <w:lang w:val="es-ES_tradnl"/>
        </w:rPr>
        <w:t xml:space="preserve">EN SESION DE FECHA </w:t>
      </w:r>
      <w:r>
        <w:rPr>
          <w:rFonts w:cs="Arial"/>
          <w:b/>
          <w:lang w:val="es-ES_tradnl"/>
        </w:rPr>
        <w:t xml:space="preserve">11 DE FEBRERO </w:t>
      </w:r>
      <w:r w:rsidRPr="00762B34">
        <w:rPr>
          <w:rFonts w:cs="Arial"/>
          <w:b/>
          <w:lang w:val="es-ES_tradnl"/>
        </w:rPr>
        <w:t>DE 2016</w:t>
      </w:r>
    </w:p>
    <w:p w:rsidR="005607C2" w:rsidRPr="00762B34" w:rsidRDefault="005607C2" w:rsidP="005607C2">
      <w:pPr>
        <w:tabs>
          <w:tab w:val="center" w:pos="4253"/>
        </w:tabs>
        <w:suppressAutoHyphens/>
        <w:spacing w:after="0" w:line="240" w:lineRule="auto"/>
        <w:jc w:val="center"/>
        <w:rPr>
          <w:rFonts w:cs="Arial"/>
          <w:b/>
          <w:lang w:val="es-ES_tradnl"/>
        </w:rPr>
      </w:pPr>
    </w:p>
    <w:p w:rsidR="005607C2" w:rsidRDefault="005607C2" w:rsidP="005607C2">
      <w:pPr>
        <w:tabs>
          <w:tab w:val="center" w:pos="4253"/>
        </w:tabs>
        <w:suppressAutoHyphens/>
        <w:spacing w:after="0" w:line="240" w:lineRule="auto"/>
        <w:jc w:val="center"/>
        <w:rPr>
          <w:rFonts w:cs="Arial"/>
          <w:b/>
        </w:rPr>
      </w:pPr>
      <w:r w:rsidRPr="00270FF1">
        <w:rPr>
          <w:rFonts w:cs="Arial"/>
          <w:b/>
        </w:rPr>
        <w:t xml:space="preserve">(E. E. Nº 2015-17-1-0004083, </w:t>
      </w:r>
      <w:proofErr w:type="spellStart"/>
      <w:r w:rsidRPr="00270FF1">
        <w:rPr>
          <w:rFonts w:cs="Arial"/>
          <w:b/>
        </w:rPr>
        <w:t>Ent</w:t>
      </w:r>
      <w:proofErr w:type="spellEnd"/>
      <w:r w:rsidRPr="00270FF1">
        <w:rPr>
          <w:rFonts w:cs="Arial"/>
          <w:b/>
        </w:rPr>
        <w:t xml:space="preserve">. N° </w:t>
      </w:r>
      <w:r w:rsidRPr="000E4420">
        <w:rPr>
          <w:rFonts w:cs="Arial"/>
          <w:b/>
          <w:szCs w:val="24"/>
        </w:rPr>
        <w:t>3314/15</w:t>
      </w:r>
      <w:r w:rsidRPr="00270FF1">
        <w:rPr>
          <w:rFonts w:cs="Arial"/>
          <w:b/>
        </w:rPr>
        <w:t>)</w:t>
      </w:r>
    </w:p>
    <w:p w:rsidR="00646095" w:rsidRDefault="00646095" w:rsidP="005607C2">
      <w:pPr>
        <w:tabs>
          <w:tab w:val="center" w:pos="4253"/>
        </w:tabs>
        <w:suppressAutoHyphens/>
        <w:spacing w:after="0" w:line="240" w:lineRule="auto"/>
        <w:jc w:val="center"/>
        <w:rPr>
          <w:rFonts w:cs="Arial"/>
          <w:b/>
        </w:rPr>
      </w:pPr>
    </w:p>
    <w:p w:rsidR="00646095" w:rsidRPr="00270FF1" w:rsidRDefault="00646095" w:rsidP="005607C2">
      <w:pPr>
        <w:tabs>
          <w:tab w:val="center" w:pos="4253"/>
        </w:tabs>
        <w:suppressAutoHyphens/>
        <w:spacing w:after="0" w:line="240" w:lineRule="auto"/>
        <w:jc w:val="center"/>
        <w:rPr>
          <w:rFonts w:cs="Arial"/>
          <w:b/>
        </w:rPr>
      </w:pPr>
    </w:p>
    <w:p w:rsidR="00C34F40" w:rsidRPr="005607C2" w:rsidRDefault="00880B5A" w:rsidP="00761291">
      <w:pPr>
        <w:pStyle w:val="Sangradetextonormal"/>
        <w:tabs>
          <w:tab w:val="clear" w:pos="2552"/>
        </w:tabs>
        <w:ind w:firstLine="851"/>
        <w:rPr>
          <w:szCs w:val="24"/>
        </w:rPr>
      </w:pPr>
      <w:r w:rsidRPr="000E4420">
        <w:rPr>
          <w:b/>
        </w:rPr>
        <w:t>VISTO:</w:t>
      </w:r>
      <w:r w:rsidRPr="000E4420">
        <w:t xml:space="preserve"> que este Tribunal ha examinado los </w:t>
      </w:r>
      <w:r w:rsidR="00761291">
        <w:t>E</w:t>
      </w:r>
      <w:r w:rsidRPr="000E4420">
        <w:t xml:space="preserve">stados </w:t>
      </w:r>
      <w:r w:rsidR="00761291">
        <w:t>F</w:t>
      </w:r>
      <w:r w:rsidRPr="000E4420">
        <w:t>inancieros del “</w:t>
      </w:r>
      <w:r w:rsidR="0039139D" w:rsidRPr="000E4420">
        <w:t>Fideicomiso Comercial y Social VI-Fideicomiso Financiero</w:t>
      </w:r>
      <w:r w:rsidRPr="000E4420">
        <w:t>”</w:t>
      </w:r>
      <w:r w:rsidRPr="000E4420">
        <w:rPr>
          <w:szCs w:val="24"/>
        </w:rPr>
        <w:t xml:space="preserve">, presentados por el fiduciario Agencia Nacional de Vivienda (ANV) que comprenden </w:t>
      </w:r>
      <w:r w:rsidRPr="000E4420">
        <w:rPr>
          <w:spacing w:val="-3"/>
          <w:szCs w:val="24"/>
          <w:lang w:val="es-ES_tradnl"/>
        </w:rPr>
        <w:t>el Estado de Situación Patrimonial al 31/12/201</w:t>
      </w:r>
      <w:r w:rsidR="00BD64FE" w:rsidRPr="000E4420">
        <w:rPr>
          <w:spacing w:val="-3"/>
          <w:szCs w:val="24"/>
          <w:lang w:val="es-ES_tradnl"/>
        </w:rPr>
        <w:t>4</w:t>
      </w:r>
      <w:r w:rsidRPr="000E4420">
        <w:rPr>
          <w:spacing w:val="-3"/>
          <w:szCs w:val="24"/>
          <w:lang w:val="es-ES_tradnl"/>
        </w:rPr>
        <w:t xml:space="preserve">, los correspondientes </w:t>
      </w:r>
      <w:r w:rsidRPr="000E4420">
        <w:rPr>
          <w:szCs w:val="24"/>
        </w:rPr>
        <w:t xml:space="preserve">Estados de Resultados, de </w:t>
      </w:r>
      <w:r w:rsidR="006D7A5D" w:rsidRPr="000E4420">
        <w:rPr>
          <w:szCs w:val="24"/>
        </w:rPr>
        <w:t xml:space="preserve">Origen y Aplicación de </w:t>
      </w:r>
      <w:r w:rsidR="00EA0DDA" w:rsidRPr="000E4420">
        <w:rPr>
          <w:szCs w:val="24"/>
        </w:rPr>
        <w:t>Fondos</w:t>
      </w:r>
      <w:r w:rsidR="00BD64FE" w:rsidRPr="000E4420">
        <w:rPr>
          <w:szCs w:val="24"/>
        </w:rPr>
        <w:t xml:space="preserve"> </w:t>
      </w:r>
      <w:r w:rsidRPr="000E4420">
        <w:rPr>
          <w:szCs w:val="24"/>
        </w:rPr>
        <w:t xml:space="preserve">y de Evolución del Patrimonio </w:t>
      </w:r>
      <w:r w:rsidRPr="000E4420">
        <w:t xml:space="preserve">por el </w:t>
      </w:r>
      <w:r w:rsidR="00761291">
        <w:t>E</w:t>
      </w:r>
      <w:r w:rsidRPr="000E4420">
        <w:t xml:space="preserve">jercicio anual finalizado en esa fecha, presentados en forma comparativa con el </w:t>
      </w:r>
      <w:r w:rsidR="00761291">
        <w:t>E</w:t>
      </w:r>
      <w:r w:rsidRPr="000E4420">
        <w:t xml:space="preserve">jercicio anterior, </w:t>
      </w:r>
      <w:r w:rsidRPr="000E4420">
        <w:rPr>
          <w:szCs w:val="24"/>
        </w:rPr>
        <w:t>las notas de políticas contables significativas y otras notas explicativas a los estados financieros;</w:t>
      </w:r>
    </w:p>
    <w:p w:rsidR="00C34F40" w:rsidRPr="005607C2" w:rsidRDefault="00880B5A" w:rsidP="00761291">
      <w:pPr>
        <w:spacing w:after="0" w:line="360" w:lineRule="auto"/>
        <w:ind w:firstLine="851"/>
        <w:rPr>
          <w:rFonts w:cs="Arial"/>
          <w:lang w:val="es-MX"/>
        </w:rPr>
      </w:pPr>
      <w:r w:rsidRPr="000E4420">
        <w:rPr>
          <w:rFonts w:cs="Arial"/>
          <w:b/>
          <w:lang w:val="es-MX"/>
        </w:rPr>
        <w:t>RESULTANDO:</w:t>
      </w:r>
      <w:r w:rsidRPr="000E4420">
        <w:rPr>
          <w:rFonts w:cs="Arial"/>
          <w:b/>
          <w:color w:val="FF0000"/>
          <w:lang w:val="es-MX"/>
        </w:rPr>
        <w:t xml:space="preserve"> </w:t>
      </w:r>
      <w:r w:rsidRPr="000E4420">
        <w:rPr>
          <w:rFonts w:cs="Arial"/>
          <w:lang w:val="es-MX"/>
        </w:rPr>
        <w:t xml:space="preserve">que el </w:t>
      </w:r>
      <w:r w:rsidRPr="000E4420">
        <w:rPr>
          <w:rFonts w:cs="Arial"/>
        </w:rPr>
        <w:t>examen fue realizado de acuerdo con los Principios Fundamentales de Auditoría (ISSAI 100 y 200) y las Directrices de Auditoría Financiera (ISSAI 1000 a 1810) de la Organización Internacional de Entidades Fiscalizadoras Superiores (INTOSAI);</w:t>
      </w:r>
    </w:p>
    <w:p w:rsidR="00C34F40" w:rsidRPr="005607C2" w:rsidRDefault="00880B5A" w:rsidP="00761291">
      <w:pPr>
        <w:spacing w:after="0" w:line="360" w:lineRule="auto"/>
        <w:ind w:firstLine="851"/>
        <w:rPr>
          <w:rFonts w:cs="Arial"/>
          <w:lang w:val="es-MX"/>
        </w:rPr>
      </w:pPr>
      <w:r w:rsidRPr="000E4420">
        <w:rPr>
          <w:rFonts w:cs="Arial"/>
          <w:b/>
          <w:lang w:val="es-MX"/>
        </w:rPr>
        <w:t>CONSIDERANDO:</w:t>
      </w:r>
      <w:r w:rsidRPr="000E4420">
        <w:rPr>
          <w:rFonts w:cs="Arial"/>
          <w:lang w:val="es-MX"/>
        </w:rPr>
        <w:t xml:space="preserve"> que las conclusiones y evidencias obtenidas son las que se expresan en el Informe de Auditoría, que incluye Dictamen e Informe a la Administración;</w:t>
      </w:r>
    </w:p>
    <w:p w:rsidR="00983638" w:rsidRPr="005607C2" w:rsidRDefault="00880B5A" w:rsidP="00761291">
      <w:pPr>
        <w:spacing w:after="0" w:line="360" w:lineRule="auto"/>
        <w:ind w:firstLine="851"/>
        <w:rPr>
          <w:rFonts w:cs="Arial"/>
        </w:rPr>
      </w:pPr>
      <w:r w:rsidRPr="000E4420">
        <w:rPr>
          <w:rFonts w:cs="Arial"/>
          <w:b/>
          <w:lang w:val="es-MX"/>
        </w:rPr>
        <w:t>ATENTO:</w:t>
      </w:r>
      <w:r w:rsidRPr="000E4420">
        <w:rPr>
          <w:rFonts w:cs="Arial"/>
          <w:lang w:val="es-MX"/>
        </w:rPr>
        <w:t xml:space="preserve"> </w:t>
      </w:r>
      <w:r w:rsidRPr="000E4420">
        <w:rPr>
          <w:rFonts w:cs="Arial"/>
        </w:rPr>
        <w:t>a lo dispuesto por los Artículos 191 y 211 Literal C) de la Constitución de la República;</w:t>
      </w:r>
    </w:p>
    <w:p w:rsidR="00880B5A" w:rsidRPr="000E4420" w:rsidRDefault="00880B5A" w:rsidP="005607C2">
      <w:pPr>
        <w:pStyle w:val="Ttulo4"/>
        <w:rPr>
          <w:bCs w:val="0"/>
          <w:lang w:val="es-MX"/>
        </w:rPr>
      </w:pPr>
      <w:r w:rsidRPr="000E4420">
        <w:rPr>
          <w:bCs w:val="0"/>
          <w:lang w:val="es-MX"/>
        </w:rPr>
        <w:t>EL TRIBUNAL ACUERDA</w:t>
      </w:r>
    </w:p>
    <w:p w:rsidR="00880B5A" w:rsidRPr="000E4420" w:rsidRDefault="00880B5A" w:rsidP="00761291">
      <w:pPr>
        <w:widowControl w:val="0"/>
        <w:numPr>
          <w:ilvl w:val="0"/>
          <w:numId w:val="1"/>
        </w:numPr>
        <w:tabs>
          <w:tab w:val="clear" w:pos="567"/>
          <w:tab w:val="num" w:pos="284"/>
          <w:tab w:val="left" w:pos="426"/>
          <w:tab w:val="left" w:pos="4312"/>
        </w:tabs>
        <w:spacing w:after="0" w:line="360" w:lineRule="auto"/>
        <w:ind w:left="0" w:firstLine="0"/>
        <w:rPr>
          <w:rFonts w:cs="Arial"/>
        </w:rPr>
      </w:pPr>
      <w:r w:rsidRPr="000E4420">
        <w:rPr>
          <w:rFonts w:cs="Arial"/>
        </w:rPr>
        <w:t xml:space="preserve">Expedirse </w:t>
      </w:r>
      <w:r w:rsidRPr="000E4420">
        <w:rPr>
          <w:rFonts w:cs="Arial"/>
          <w:lang w:val="es-ES_tradnl"/>
        </w:rPr>
        <w:t>en los términos del Informe de Auditoría que se adjunta;</w:t>
      </w:r>
    </w:p>
    <w:p w:rsidR="00880B5A" w:rsidRPr="000E4420" w:rsidRDefault="00880B5A" w:rsidP="00761291">
      <w:pPr>
        <w:widowControl w:val="0"/>
        <w:numPr>
          <w:ilvl w:val="0"/>
          <w:numId w:val="1"/>
        </w:numPr>
        <w:tabs>
          <w:tab w:val="clear" w:pos="567"/>
          <w:tab w:val="num" w:pos="284"/>
          <w:tab w:val="left" w:pos="426"/>
          <w:tab w:val="left" w:pos="4312"/>
        </w:tabs>
        <w:spacing w:after="0" w:line="360" w:lineRule="auto"/>
        <w:ind w:left="284" w:hanging="284"/>
        <w:rPr>
          <w:rFonts w:cs="Arial"/>
        </w:rPr>
      </w:pPr>
      <w:r w:rsidRPr="000E4420">
        <w:rPr>
          <w:rFonts w:cs="Arial"/>
        </w:rPr>
        <w:t>A los efectos dispuestos por el Artículo 191 de la Constitución de la República, el Organismo deberá publicar los Estados Financieros y el Dictamen correspondiente incluido en el Informe de Auditoría;</w:t>
      </w:r>
    </w:p>
    <w:p w:rsidR="00880B5A" w:rsidRPr="000E4420" w:rsidRDefault="00880B5A" w:rsidP="00761291">
      <w:pPr>
        <w:widowControl w:val="0"/>
        <w:numPr>
          <w:ilvl w:val="0"/>
          <w:numId w:val="1"/>
        </w:numPr>
        <w:tabs>
          <w:tab w:val="clear" w:pos="567"/>
          <w:tab w:val="num" w:pos="284"/>
          <w:tab w:val="left" w:pos="426"/>
          <w:tab w:val="left" w:pos="4312"/>
        </w:tabs>
        <w:spacing w:after="0" w:line="360" w:lineRule="auto"/>
        <w:ind w:left="284" w:hanging="284"/>
        <w:rPr>
          <w:rFonts w:cs="Arial"/>
        </w:rPr>
      </w:pPr>
      <w:r w:rsidRPr="000E4420">
        <w:rPr>
          <w:rFonts w:cs="Arial"/>
        </w:rPr>
        <w:lastRenderedPageBreak/>
        <w:t>Comunicar la presente Resolución al Ministerio de Vivienda, Ordenamiento Territorial y Medio Ambiente, al Ministerio de Economía y Finanzas, a la Oficina de Planeamiento y Presupuesto y al Organismo; y</w:t>
      </w:r>
    </w:p>
    <w:p w:rsidR="00880B5A" w:rsidRPr="000E4420" w:rsidRDefault="00880B5A" w:rsidP="00761291">
      <w:pPr>
        <w:pStyle w:val="Encabezado"/>
        <w:numPr>
          <w:ilvl w:val="0"/>
          <w:numId w:val="1"/>
        </w:numPr>
        <w:tabs>
          <w:tab w:val="clear" w:pos="567"/>
          <w:tab w:val="clear" w:pos="4252"/>
          <w:tab w:val="clear" w:pos="8504"/>
          <w:tab w:val="num" w:pos="284"/>
          <w:tab w:val="left" w:pos="4312"/>
        </w:tabs>
        <w:spacing w:line="360" w:lineRule="auto"/>
        <w:ind w:left="0" w:firstLine="0"/>
        <w:jc w:val="both"/>
        <w:rPr>
          <w:rFonts w:cs="Arial"/>
        </w:rPr>
      </w:pPr>
      <w:r w:rsidRPr="000E4420">
        <w:rPr>
          <w:rFonts w:cs="Arial"/>
        </w:rPr>
        <w:t>Dar cuenta a la Asamblea General.</w:t>
      </w:r>
    </w:p>
    <w:p w:rsidR="00EB5CFB" w:rsidRDefault="00EB5CFB" w:rsidP="005607C2">
      <w:pPr>
        <w:pStyle w:val="Textonormal"/>
        <w:suppressAutoHyphens w:val="0"/>
        <w:spacing w:line="360" w:lineRule="auto"/>
        <w:rPr>
          <w:rFonts w:ascii="Arial" w:hAnsi="Arial" w:cs="Arial"/>
          <w:lang w:val="es-ES"/>
        </w:rPr>
      </w:pPr>
    </w:p>
    <w:p w:rsidR="00270FF1" w:rsidRPr="000E4420" w:rsidRDefault="00270FF1" w:rsidP="00270FF1">
      <w:pPr>
        <w:pStyle w:val="Ttulo"/>
      </w:pPr>
      <w:r w:rsidRPr="000E4420">
        <w:t>DICTAMEN</w:t>
      </w:r>
    </w:p>
    <w:p w:rsidR="00270FF1" w:rsidRPr="000E4420" w:rsidRDefault="00270FF1" w:rsidP="00880B5A">
      <w:pPr>
        <w:pStyle w:val="Ttulo"/>
        <w:spacing w:line="240" w:lineRule="auto"/>
        <w:jc w:val="left"/>
        <w:rPr>
          <w:b w:val="0"/>
        </w:rPr>
      </w:pPr>
    </w:p>
    <w:p w:rsidR="00270FF1" w:rsidRPr="000E4420" w:rsidRDefault="00270FF1" w:rsidP="00270FF1">
      <w:pPr>
        <w:pStyle w:val="Textoindependiente"/>
        <w:spacing w:after="0" w:line="360" w:lineRule="auto"/>
        <w:ind w:firstLine="851"/>
        <w:rPr>
          <w:rFonts w:cs="Arial"/>
        </w:rPr>
      </w:pPr>
      <w:r w:rsidRPr="000E4420">
        <w:rPr>
          <w:rFonts w:cs="Arial"/>
        </w:rPr>
        <w:t xml:space="preserve">El Tribunal de Cuentas ha examinado los estados financieros del “Fideicomiso Comercial y Social VI-Fideicomiso Financiero”, correspondientes al ejercicio finalizado el 31/12/2014, formulados por el fiduciario Agencia Nacional de Vivienda (ANV) que se adjuntan. Dichos </w:t>
      </w:r>
      <w:r>
        <w:rPr>
          <w:rFonts w:cs="Arial"/>
        </w:rPr>
        <w:t>E</w:t>
      </w:r>
      <w:r w:rsidRPr="000E4420">
        <w:rPr>
          <w:rFonts w:cs="Arial"/>
        </w:rPr>
        <w:t xml:space="preserve">stados </w:t>
      </w:r>
      <w:r>
        <w:rPr>
          <w:rFonts w:cs="Arial"/>
        </w:rPr>
        <w:t>F</w:t>
      </w:r>
      <w:r w:rsidRPr="000E4420">
        <w:rPr>
          <w:rFonts w:cs="Arial"/>
        </w:rPr>
        <w:t xml:space="preserve">inancieros comprenden el </w:t>
      </w:r>
      <w:r w:rsidRPr="000E4420">
        <w:rPr>
          <w:rFonts w:cs="Arial"/>
          <w:spacing w:val="-3"/>
          <w:lang w:val="es-ES_tradnl"/>
        </w:rPr>
        <w:t>Estado de Situación Patrimonial, el Estado de Resultados, el Estado de Origen y Aplicación de Fondos, presentados en forma comparativa Diciembre 2014-Diciembre 2013 y el Estado</w:t>
      </w:r>
      <w:r w:rsidRPr="000E4420">
        <w:rPr>
          <w:rFonts w:cs="Arial"/>
        </w:rPr>
        <w:t xml:space="preserve"> de Evolución del Patrimonio del 1 de enero de 2014 al 31 de diciembre de 2014, las notas de políticas contables significativas y otras notas explicativas a los estados financieros.</w:t>
      </w:r>
    </w:p>
    <w:p w:rsidR="00270FF1" w:rsidRPr="000E4420" w:rsidRDefault="00270FF1" w:rsidP="00A260F3">
      <w:pPr>
        <w:pStyle w:val="Textoindependiente"/>
        <w:spacing w:after="0" w:line="360" w:lineRule="auto"/>
        <w:rPr>
          <w:rFonts w:cs="Arial"/>
          <w:spacing w:val="-3"/>
          <w:lang w:val="es-ES_tradnl"/>
        </w:rPr>
      </w:pPr>
      <w:r w:rsidRPr="000E4420">
        <w:rPr>
          <w:rFonts w:cs="Arial"/>
          <w:spacing w:val="-3"/>
          <w:lang w:val="es-ES_tradnl"/>
        </w:rPr>
        <w:t>También se presentan, en caso de corresponder, los incumplimientos legales constatados por el Tribunal de Cuentas en el curso de la auditoría efectuada.</w:t>
      </w:r>
    </w:p>
    <w:p w:rsidR="00270FF1" w:rsidRPr="000E4420" w:rsidRDefault="00270FF1" w:rsidP="00A260F3">
      <w:pPr>
        <w:pStyle w:val="Textoindependiente"/>
        <w:spacing w:after="0" w:line="360" w:lineRule="auto"/>
        <w:rPr>
          <w:rFonts w:cs="Arial"/>
          <w:spacing w:val="-3"/>
          <w:lang w:val="es-ES_tradnl"/>
        </w:rPr>
      </w:pPr>
    </w:p>
    <w:p w:rsidR="00270FF1" w:rsidRPr="000E4420" w:rsidRDefault="00270FF1" w:rsidP="00466B56">
      <w:pPr>
        <w:spacing w:after="0" w:line="360" w:lineRule="auto"/>
        <w:rPr>
          <w:rFonts w:cs="Arial"/>
          <w:b/>
        </w:rPr>
      </w:pPr>
      <w:r w:rsidRPr="000E4420">
        <w:rPr>
          <w:rFonts w:cs="Arial"/>
          <w:b/>
        </w:rPr>
        <w:t xml:space="preserve">Responsabilidad de la Dirección por los </w:t>
      </w:r>
      <w:r>
        <w:rPr>
          <w:rFonts w:cs="Arial"/>
          <w:b/>
        </w:rPr>
        <w:t>E</w:t>
      </w:r>
      <w:r w:rsidRPr="000E4420">
        <w:rPr>
          <w:rFonts w:cs="Arial"/>
          <w:b/>
        </w:rPr>
        <w:t xml:space="preserve">stados </w:t>
      </w:r>
      <w:r>
        <w:rPr>
          <w:rFonts w:cs="Arial"/>
          <w:b/>
        </w:rPr>
        <w:t>Fi</w:t>
      </w:r>
      <w:r w:rsidRPr="000E4420">
        <w:rPr>
          <w:rFonts w:cs="Arial"/>
          <w:b/>
        </w:rPr>
        <w:t>nancieros</w:t>
      </w:r>
    </w:p>
    <w:p w:rsidR="00270FF1" w:rsidRDefault="00270FF1" w:rsidP="00270FF1">
      <w:pPr>
        <w:spacing w:after="0" w:line="360" w:lineRule="auto"/>
        <w:ind w:firstLine="851"/>
        <w:rPr>
          <w:rFonts w:cs="Arial"/>
        </w:rPr>
      </w:pPr>
      <w:r w:rsidRPr="000E4420">
        <w:rPr>
          <w:rFonts w:cs="Arial"/>
          <w:bCs/>
        </w:rPr>
        <w:t>La Dirección de la ANV, como agente fiduciario del Fideicomiso, es responsable por la preparación y la razonable presentación</w:t>
      </w:r>
      <w:r w:rsidRPr="000E4420">
        <w:rPr>
          <w:rFonts w:cs="Arial"/>
        </w:rPr>
        <w:t xml:space="preserve"> de estos estados financieros de acuerdo con normas contables y criterios de valuación, clasificación de riesgos crediticios y presentación</w:t>
      </w:r>
      <w:r w:rsidRPr="000E4420">
        <w:rPr>
          <w:rFonts w:cs="Arial"/>
          <w:color w:val="C0504D"/>
        </w:rPr>
        <w:t xml:space="preserve"> </w:t>
      </w:r>
      <w:r w:rsidRPr="000E4420">
        <w:rPr>
          <w:rFonts w:cs="Arial"/>
        </w:rPr>
        <w:t>dictados por el Banco Central del Uruguay (BCU), excepto por lo descrito en la Nota Nº 2.2, “Normas contables particulares” y la Ordenanza Nº 81 de este Tribunal.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EB5CFB" w:rsidRPr="000E4420" w:rsidRDefault="00EB5CFB" w:rsidP="00270FF1">
      <w:pPr>
        <w:spacing w:after="0" w:line="360" w:lineRule="auto"/>
        <w:ind w:firstLine="851"/>
        <w:rPr>
          <w:rFonts w:cs="Arial"/>
          <w:b/>
        </w:rPr>
      </w:pPr>
    </w:p>
    <w:p w:rsidR="00270FF1" w:rsidRPr="000E4420" w:rsidRDefault="00270FF1" w:rsidP="00466B56">
      <w:pPr>
        <w:spacing w:after="0" w:line="360" w:lineRule="auto"/>
        <w:rPr>
          <w:rFonts w:cs="Arial"/>
          <w:b/>
        </w:rPr>
      </w:pPr>
      <w:r w:rsidRPr="000E4420">
        <w:rPr>
          <w:rFonts w:cs="Arial"/>
          <w:b/>
        </w:rPr>
        <w:t>Responsabilidad del auditor</w:t>
      </w:r>
    </w:p>
    <w:p w:rsidR="00270FF1" w:rsidRPr="000E4420" w:rsidRDefault="00270FF1" w:rsidP="00270FF1">
      <w:pPr>
        <w:spacing w:after="0" w:line="360" w:lineRule="auto"/>
        <w:ind w:firstLine="851"/>
        <w:rPr>
          <w:rFonts w:cs="Arial"/>
        </w:rPr>
      </w:pPr>
      <w:r w:rsidRPr="000E4420">
        <w:rPr>
          <w:rFonts w:cs="Arial"/>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w:t>
      </w:r>
    </w:p>
    <w:p w:rsidR="00270FF1" w:rsidRPr="000E4420" w:rsidRDefault="00270FF1" w:rsidP="00A260F3">
      <w:pPr>
        <w:spacing w:line="360" w:lineRule="auto"/>
        <w:rPr>
          <w:rFonts w:cs="Arial"/>
        </w:rPr>
      </w:pPr>
      <w:r w:rsidRPr="000E4420">
        <w:rPr>
          <w:rFonts w:cs="Arial"/>
        </w:rPr>
        <w:t>No obstante debido a lo mencionado en el párrafo Bases para la Abstención de Opinión no fue posible obtener evidencia para sustentar la opinión.</w:t>
      </w:r>
    </w:p>
    <w:p w:rsidR="00270FF1" w:rsidRPr="000E4420" w:rsidRDefault="00270FF1" w:rsidP="00466B56">
      <w:pPr>
        <w:spacing w:after="0" w:line="360" w:lineRule="auto"/>
        <w:rPr>
          <w:rFonts w:cs="Arial"/>
          <w:b/>
          <w:color w:val="C0504D"/>
        </w:rPr>
      </w:pPr>
      <w:r w:rsidRPr="000E4420">
        <w:rPr>
          <w:rFonts w:cs="Arial"/>
          <w:b/>
        </w:rPr>
        <w:t>Bases para la Abstención de Opinión</w:t>
      </w:r>
    </w:p>
    <w:p w:rsidR="00270FF1" w:rsidRPr="001F011F" w:rsidRDefault="00270FF1" w:rsidP="001F011F">
      <w:pPr>
        <w:spacing w:after="0" w:line="360" w:lineRule="auto"/>
        <w:rPr>
          <w:rFonts w:cs="Arial"/>
        </w:rPr>
      </w:pPr>
      <w:r>
        <w:rPr>
          <w:rFonts w:cs="Arial"/>
          <w:b/>
        </w:rPr>
        <w:t xml:space="preserve">1. </w:t>
      </w:r>
      <w:r w:rsidRPr="001F011F">
        <w:rPr>
          <w:rFonts w:cs="Arial"/>
        </w:rPr>
        <w:t xml:space="preserve">El sistema informático utilizado por la ANV para el registro contable del </w:t>
      </w:r>
      <w:r w:rsidRPr="000E4420">
        <w:t>Fideicomiso Comercial y Social VI</w:t>
      </w:r>
      <w:r w:rsidRPr="001F011F">
        <w:rPr>
          <w:rFonts w:cs="Arial"/>
        </w:rPr>
        <w:t xml:space="preserve"> presenta dificultades y errores en su operativa y no se han desarrollado todas sus aplicaciones.</w:t>
      </w:r>
    </w:p>
    <w:p w:rsidR="00270FF1" w:rsidRPr="000E4420" w:rsidRDefault="00270FF1" w:rsidP="00A260F3">
      <w:pPr>
        <w:spacing w:line="360" w:lineRule="auto"/>
        <w:rPr>
          <w:rFonts w:cs="Arial"/>
        </w:rPr>
      </w:pPr>
      <w:r w:rsidRPr="000E4420">
        <w:rPr>
          <w:rFonts w:cs="Arial"/>
        </w:rPr>
        <w:t>Como ocurriera en ejercicios anteriores, a efectos de ajustar los datos contables que surgen del sistema se deben efectuar registros manuales al cierre de ejercicio, la mayoría de los cuales no son incorporados a los correspondientes inventarios. Por lo expresado los saldos contables proporcionados por el sistema continúan presentando diferencias e inconsistencias con sus inventarios, las que generaron limitaciones significativas a efectos de emitir una opinión.</w:t>
      </w:r>
    </w:p>
    <w:p w:rsidR="00270FF1" w:rsidRPr="000E4420" w:rsidRDefault="00270FF1" w:rsidP="00A260F3">
      <w:pPr>
        <w:widowControl w:val="0"/>
        <w:suppressAutoHyphens/>
        <w:spacing w:line="360" w:lineRule="auto"/>
        <w:rPr>
          <w:rFonts w:cs="Arial"/>
        </w:rPr>
      </w:pPr>
      <w:r w:rsidRPr="000E4420">
        <w:rPr>
          <w:rFonts w:cs="Arial"/>
          <w:lang w:val="es-ES_tradnl"/>
        </w:rPr>
        <w:t>Por lo</w:t>
      </w:r>
      <w:r w:rsidRPr="000E4420">
        <w:rPr>
          <w:rFonts w:cs="Arial"/>
        </w:rPr>
        <w:t xml:space="preserve"> anteriormente expuesto se concluye que no existe certeza en cuanto a la confiabilidad de los registros contables del Fideicomiso y de los estados financieros que resultan de los mismos.</w:t>
      </w:r>
    </w:p>
    <w:p w:rsidR="00270FF1" w:rsidRPr="001F011F" w:rsidRDefault="00270FF1" w:rsidP="001F011F">
      <w:pPr>
        <w:spacing w:line="360" w:lineRule="auto"/>
        <w:rPr>
          <w:rFonts w:cs="Arial"/>
          <w:bCs/>
        </w:rPr>
      </w:pPr>
      <w:r w:rsidRPr="001F011F">
        <w:rPr>
          <w:rFonts w:cs="Arial"/>
          <w:b/>
          <w:bCs/>
        </w:rPr>
        <w:t>2.</w:t>
      </w:r>
      <w:r>
        <w:rPr>
          <w:rFonts w:cs="Arial"/>
          <w:bCs/>
        </w:rPr>
        <w:t xml:space="preserve"> </w:t>
      </w:r>
      <w:r w:rsidRPr="001F011F">
        <w:rPr>
          <w:rFonts w:cs="Arial"/>
          <w:bCs/>
        </w:rPr>
        <w:t xml:space="preserve">La documentación </w:t>
      </w:r>
      <w:proofErr w:type="spellStart"/>
      <w:r w:rsidRPr="001F011F">
        <w:rPr>
          <w:rFonts w:cs="Arial"/>
          <w:bCs/>
        </w:rPr>
        <w:t>respaldatoria</w:t>
      </w:r>
      <w:proofErr w:type="spellEnd"/>
      <w:r w:rsidRPr="001F011F">
        <w:rPr>
          <w:rFonts w:cs="Arial"/>
          <w:bCs/>
        </w:rPr>
        <w:t xml:space="preserve"> de los créditos otorgados, contenida en las carpetas de clientes, no es suficiente a efectos de poder opinar sobre el correcto </w:t>
      </w:r>
      <w:proofErr w:type="spellStart"/>
      <w:r w:rsidRPr="001F011F">
        <w:rPr>
          <w:rFonts w:cs="Arial"/>
          <w:bCs/>
        </w:rPr>
        <w:t>devengamiento</w:t>
      </w:r>
      <w:proofErr w:type="spellEnd"/>
      <w:r w:rsidRPr="001F011F">
        <w:rPr>
          <w:rFonts w:cs="Arial"/>
          <w:bCs/>
        </w:rPr>
        <w:t xml:space="preserve"> de intereses y cuotas. Las condiciones originales pactadas en los créditos tales como las tasas de interés y los plazos han sido modificadas en varios casos, no contándose con documentación suficiente que respalde los mencionado</w:t>
      </w:r>
      <w:r w:rsidR="00EB5CFB">
        <w:rPr>
          <w:rFonts w:cs="Arial"/>
          <w:bCs/>
        </w:rPr>
        <w:t>s cambios al Contrato original.</w:t>
      </w:r>
    </w:p>
    <w:p w:rsidR="00270FF1" w:rsidRPr="000E4420" w:rsidRDefault="00270FF1" w:rsidP="001F011F">
      <w:pPr>
        <w:spacing w:after="0" w:line="360" w:lineRule="auto"/>
        <w:rPr>
          <w:rFonts w:cs="Arial"/>
          <w:bCs/>
        </w:rPr>
      </w:pPr>
      <w:r>
        <w:rPr>
          <w:rFonts w:cs="Arial"/>
          <w:b/>
          <w:bCs/>
        </w:rPr>
        <w:t xml:space="preserve">3. </w:t>
      </w:r>
      <w:r w:rsidRPr="000E4420">
        <w:rPr>
          <w:rFonts w:cs="Arial"/>
          <w:bCs/>
        </w:rPr>
        <w:t>El Organismo no registró las deudas por concepto de impuestos y de Contribución Inmobiliaria de algunos bienes inmuebles que integran el Capítulo Inversiones por no  disponer de información para poder cuantificar el efecto de esta situación en los estados financieros.</w:t>
      </w:r>
    </w:p>
    <w:p w:rsidR="00270FF1" w:rsidRPr="000E4420" w:rsidRDefault="00270FF1" w:rsidP="001F011F">
      <w:pPr>
        <w:spacing w:after="0" w:line="360" w:lineRule="auto"/>
        <w:rPr>
          <w:rFonts w:cs="Arial"/>
          <w:b/>
        </w:rPr>
      </w:pPr>
      <w:r>
        <w:rPr>
          <w:rFonts w:cs="Arial"/>
          <w:b/>
          <w:bCs/>
        </w:rPr>
        <w:t xml:space="preserve">4. </w:t>
      </w:r>
      <w:r w:rsidRPr="000E4420">
        <w:rPr>
          <w:rFonts w:cs="Arial"/>
          <w:bCs/>
        </w:rPr>
        <w:t>La ANV tiene conocimiento de que existen inmuebles ocupados irregularmente por terceros pero no ha incluido en sus estados financieros una previ</w:t>
      </w:r>
      <w:r w:rsidR="00EB5CFB">
        <w:rPr>
          <w:rFonts w:cs="Arial"/>
          <w:bCs/>
        </w:rPr>
        <w:t>sión por su eventual deterioro.</w:t>
      </w:r>
    </w:p>
    <w:p w:rsidR="00270FF1" w:rsidRPr="000E4420" w:rsidRDefault="00270FF1" w:rsidP="001C71A3">
      <w:pPr>
        <w:spacing w:after="0" w:line="360" w:lineRule="auto"/>
        <w:rPr>
          <w:rFonts w:cs="Arial"/>
          <w:b/>
        </w:rPr>
      </w:pPr>
    </w:p>
    <w:p w:rsidR="00270FF1" w:rsidRPr="000E4420" w:rsidRDefault="00270FF1" w:rsidP="00466B56">
      <w:pPr>
        <w:spacing w:after="0" w:line="360" w:lineRule="auto"/>
        <w:rPr>
          <w:rFonts w:cs="Arial"/>
          <w:b/>
        </w:rPr>
      </w:pPr>
      <w:r w:rsidRPr="000E4420">
        <w:rPr>
          <w:rFonts w:cs="Arial"/>
          <w:b/>
        </w:rPr>
        <w:t>Abstención de Opinión</w:t>
      </w:r>
    </w:p>
    <w:p w:rsidR="00270FF1" w:rsidRPr="000E4420" w:rsidRDefault="00270FF1" w:rsidP="00270FF1">
      <w:pPr>
        <w:spacing w:after="0" w:line="360" w:lineRule="auto"/>
        <w:ind w:firstLine="851"/>
        <w:rPr>
          <w:rFonts w:cs="Arial"/>
        </w:rPr>
      </w:pPr>
      <w:r w:rsidRPr="000E4420">
        <w:rPr>
          <w:rFonts w:cs="Arial"/>
        </w:rPr>
        <w:t xml:space="preserve">Debido a la importancia de lo expresado en los </w:t>
      </w:r>
      <w:r w:rsidRPr="000E4420">
        <w:rPr>
          <w:spacing w:val="-3"/>
        </w:rPr>
        <w:t xml:space="preserve">párrafos anteriores </w:t>
      </w:r>
      <w:r w:rsidRPr="000E4420">
        <w:rPr>
          <w:rFonts w:cs="Arial"/>
        </w:rPr>
        <w:t>y que no fue posible aplicar otros procedimientos de auditoría para obtener evidencia respecto a la razonabilidad de los saldos expuestos en los estados financieros, el alcance de la auditoría no es suficiente para permitir expresar, y por lo tanto no se expresa, una opinión sobre los estados mencionados.</w:t>
      </w:r>
    </w:p>
    <w:p w:rsidR="00270FF1" w:rsidRPr="000E4420" w:rsidRDefault="00270FF1" w:rsidP="00A260F3">
      <w:pPr>
        <w:pStyle w:val="Textoindependiente2"/>
        <w:spacing w:after="0" w:line="360" w:lineRule="auto"/>
        <w:jc w:val="both"/>
        <w:rPr>
          <w:rFonts w:cs="Arial"/>
        </w:rPr>
      </w:pPr>
    </w:p>
    <w:p w:rsidR="00270FF1" w:rsidRPr="000E4420" w:rsidRDefault="00270FF1" w:rsidP="00466B56">
      <w:pPr>
        <w:pStyle w:val="Textoindependiente2"/>
        <w:spacing w:after="0" w:line="360" w:lineRule="auto"/>
        <w:jc w:val="both"/>
        <w:rPr>
          <w:rFonts w:cs="Arial"/>
        </w:rPr>
      </w:pPr>
      <w:r w:rsidRPr="000E4420">
        <w:rPr>
          <w:rFonts w:cs="Arial"/>
        </w:rPr>
        <w:t>Si bien el Organismo establece en su Nota 1.3, que “Los Estados Contables se presentan en cumplimiento de normas regulatorias vigentes en el país y han sido preparados de acuerdo con las normas contables y criterios de valuación, clasificación de riesgos y presentación dictadas por el Banco Central del Uruguay para Instituciones de Intermediación Financiera”, se han constatado los siguientes incumplimientos a dicha normativa:</w:t>
      </w:r>
    </w:p>
    <w:p w:rsidR="00270FF1" w:rsidRDefault="00270FF1" w:rsidP="001F011F">
      <w:pPr>
        <w:pStyle w:val="Textoindependiente"/>
        <w:widowControl w:val="0"/>
        <w:spacing w:after="0" w:line="360" w:lineRule="auto"/>
        <w:rPr>
          <w:rFonts w:cs="Arial"/>
        </w:rPr>
      </w:pPr>
      <w:r>
        <w:rPr>
          <w:rFonts w:cs="Arial"/>
        </w:rPr>
        <w:t xml:space="preserve">- </w:t>
      </w:r>
      <w:r w:rsidRPr="000E4420">
        <w:rPr>
          <w:rFonts w:cs="Arial"/>
        </w:rPr>
        <w:t>Artículo 269 de la Recopilación de Normas de Regulación y Control del Sistema Financiero (RNRCSF) por no disponer de la documentación requerida en las carpetas de deudores.</w:t>
      </w:r>
    </w:p>
    <w:p w:rsidR="00EB14D1" w:rsidRPr="000E4420" w:rsidRDefault="00EB14D1" w:rsidP="001F011F">
      <w:pPr>
        <w:pStyle w:val="Textoindependiente"/>
        <w:widowControl w:val="0"/>
        <w:spacing w:after="0" w:line="360" w:lineRule="auto"/>
        <w:rPr>
          <w:rFonts w:cs="Arial"/>
        </w:rPr>
      </w:pPr>
    </w:p>
    <w:p w:rsidR="00270FF1" w:rsidRPr="000E4420" w:rsidRDefault="00270FF1" w:rsidP="001F011F">
      <w:pPr>
        <w:pStyle w:val="Textoindependiente"/>
        <w:widowControl w:val="0"/>
        <w:spacing w:after="0" w:line="360" w:lineRule="auto"/>
        <w:rPr>
          <w:rFonts w:cs="Arial"/>
        </w:rPr>
      </w:pPr>
      <w:r>
        <w:rPr>
          <w:rFonts w:cs="Arial"/>
        </w:rPr>
        <w:t xml:space="preserve">- </w:t>
      </w:r>
      <w:r w:rsidRPr="000E4420">
        <w:rPr>
          <w:rFonts w:cs="Arial"/>
        </w:rPr>
        <w:t>Comunicación Nº 2007/039 por no confeccionar el Estado de Origen y Aplicación de Fondos con el grado de detalle requerido en dicha norma y por no exponer correctamente el ajuste por inflación en los Estados de Resultados y de Evolución del Patrimonio.</w:t>
      </w:r>
    </w:p>
    <w:p w:rsidR="00270FF1" w:rsidRPr="000E4420" w:rsidRDefault="00270FF1" w:rsidP="001F011F">
      <w:pPr>
        <w:pStyle w:val="Textoindependiente"/>
        <w:widowControl w:val="0"/>
        <w:spacing w:after="0" w:line="360" w:lineRule="auto"/>
        <w:rPr>
          <w:rFonts w:cs="Arial"/>
        </w:rPr>
      </w:pPr>
      <w:r>
        <w:rPr>
          <w:rFonts w:cs="Arial"/>
        </w:rPr>
        <w:t xml:space="preserve">- </w:t>
      </w:r>
      <w:r w:rsidRPr="000E4420">
        <w:rPr>
          <w:rFonts w:cs="Arial"/>
        </w:rPr>
        <w:t>Comunicación Nº 2014/210 del BCU, por no haber actualizado las tasaciones de los bienes constituidos en garantía de los créditos de acuerdo con lo dispuesto por esta disposición.</w:t>
      </w:r>
    </w:p>
    <w:p w:rsidR="00270FF1" w:rsidRPr="000E4420" w:rsidRDefault="00270FF1" w:rsidP="00903A16">
      <w:pPr>
        <w:pStyle w:val="Textoindependiente"/>
        <w:widowControl w:val="0"/>
        <w:spacing w:after="0" w:line="360" w:lineRule="auto"/>
        <w:rPr>
          <w:rFonts w:cs="Arial"/>
        </w:rPr>
      </w:pPr>
    </w:p>
    <w:p w:rsidR="00270FF1" w:rsidRPr="000E4420" w:rsidRDefault="00270FF1" w:rsidP="004571C2">
      <w:pPr>
        <w:pStyle w:val="Textoindependiente2"/>
        <w:spacing w:after="0" w:line="360" w:lineRule="auto"/>
        <w:jc w:val="both"/>
        <w:rPr>
          <w:rFonts w:cs="Arial"/>
        </w:rPr>
      </w:pPr>
      <w:r w:rsidRPr="000E4420">
        <w:rPr>
          <w:rFonts w:cs="Arial"/>
        </w:rPr>
        <w:t xml:space="preserve">Con respecto a otras disposiciones se constató que se incumplió el Articulo </w:t>
      </w:r>
      <w:r w:rsidRPr="000E4420">
        <w:rPr>
          <w:rFonts w:cs="Arial"/>
          <w:lang w:val="es-MX"/>
        </w:rPr>
        <w:t xml:space="preserve">32 de la Ordenanza Nº 81, por no haber remitido al Tribunal de Cuentas los estados financieros del Fideicomiso dentro de los 90 días siguientes al cierre del </w:t>
      </w:r>
      <w:r>
        <w:rPr>
          <w:rFonts w:cs="Arial"/>
          <w:lang w:val="es-MX"/>
        </w:rPr>
        <w:t>E</w:t>
      </w:r>
      <w:r w:rsidRPr="000E4420">
        <w:rPr>
          <w:rFonts w:cs="Arial"/>
          <w:lang w:val="es-MX"/>
        </w:rPr>
        <w:t>jercicio</w:t>
      </w:r>
      <w:r w:rsidRPr="000E4420">
        <w:rPr>
          <w:rFonts w:cs="Arial"/>
        </w:rPr>
        <w:t>.</w:t>
      </w:r>
    </w:p>
    <w:p w:rsidR="00270FF1" w:rsidRPr="000E4420" w:rsidRDefault="00270FF1" w:rsidP="00A260F3">
      <w:pPr>
        <w:pStyle w:val="Textoindependiente"/>
        <w:widowControl w:val="0"/>
        <w:spacing w:after="0" w:line="360" w:lineRule="auto"/>
        <w:jc w:val="right"/>
        <w:rPr>
          <w:rFonts w:cs="Arial"/>
        </w:rPr>
      </w:pPr>
      <w:r w:rsidRPr="000E4420">
        <w:rPr>
          <w:rFonts w:cs="Arial"/>
        </w:rPr>
        <w:t>Montevideo, 27 de enero de 2016</w:t>
      </w:r>
    </w:p>
    <w:p w:rsidR="00270FF1" w:rsidRDefault="00270FF1" w:rsidP="00A260F3">
      <w:pPr>
        <w:pStyle w:val="Textoindependiente"/>
        <w:widowControl w:val="0"/>
        <w:spacing w:after="0" w:line="360" w:lineRule="auto"/>
        <w:rPr>
          <w:rFonts w:cs="Arial"/>
          <w:sz w:val="18"/>
          <w:szCs w:val="18"/>
        </w:rPr>
      </w:pPr>
    </w:p>
    <w:p w:rsidR="00EB5CFB" w:rsidRDefault="00EB5CFB" w:rsidP="00A260F3">
      <w:pPr>
        <w:pStyle w:val="Textoindependiente"/>
        <w:widowControl w:val="0"/>
        <w:spacing w:after="0" w:line="360" w:lineRule="auto"/>
        <w:rPr>
          <w:rFonts w:cs="Arial"/>
          <w:sz w:val="18"/>
          <w:szCs w:val="18"/>
        </w:rPr>
      </w:pPr>
    </w:p>
    <w:p w:rsidR="00EB5CFB" w:rsidRPr="000E4420" w:rsidRDefault="00EB5CFB" w:rsidP="00A260F3">
      <w:pPr>
        <w:pStyle w:val="Textoindependiente"/>
        <w:widowControl w:val="0"/>
        <w:spacing w:after="0" w:line="360" w:lineRule="auto"/>
        <w:rPr>
          <w:rFonts w:cs="Arial"/>
          <w:sz w:val="18"/>
          <w:szCs w:val="18"/>
        </w:rPr>
      </w:pPr>
    </w:p>
    <w:p w:rsidR="00270FF1" w:rsidRPr="000E4420" w:rsidRDefault="00270FF1" w:rsidP="00270FF1">
      <w:pPr>
        <w:pStyle w:val="Ttulo4"/>
        <w:tabs>
          <w:tab w:val="left" w:pos="0"/>
        </w:tabs>
        <w:rPr>
          <w:bCs w:val="0"/>
        </w:rPr>
      </w:pPr>
      <w:r w:rsidRPr="000E4420">
        <w:rPr>
          <w:bCs w:val="0"/>
        </w:rPr>
        <w:t>INFORME A LA ADMINISTRACIÓN</w:t>
      </w:r>
    </w:p>
    <w:p w:rsidR="00270FF1" w:rsidRPr="000E4420" w:rsidRDefault="00270FF1" w:rsidP="004C6BE9">
      <w:pPr>
        <w:pStyle w:val="Ttulo"/>
        <w:spacing w:line="240" w:lineRule="auto"/>
        <w:jc w:val="left"/>
        <w:rPr>
          <w:b w:val="0"/>
        </w:rPr>
      </w:pPr>
    </w:p>
    <w:p w:rsidR="00270FF1" w:rsidRPr="000E4420" w:rsidRDefault="00270FF1" w:rsidP="004C6BE9">
      <w:pPr>
        <w:pStyle w:val="Ttulo"/>
        <w:spacing w:line="240" w:lineRule="auto"/>
        <w:jc w:val="left"/>
        <w:rPr>
          <w:b w:val="0"/>
        </w:rPr>
      </w:pPr>
    </w:p>
    <w:p w:rsidR="00270FF1" w:rsidRPr="000E4420" w:rsidRDefault="00270FF1" w:rsidP="00270FF1">
      <w:pPr>
        <w:pStyle w:val="Textoindependiente"/>
        <w:spacing w:after="0" w:line="360" w:lineRule="auto"/>
        <w:ind w:firstLine="851"/>
        <w:rPr>
          <w:rFonts w:cs="Arial"/>
          <w:lang w:val="es-MX"/>
        </w:rPr>
      </w:pPr>
      <w:r w:rsidRPr="000E4420">
        <w:rPr>
          <w:rFonts w:cs="Arial"/>
        </w:rPr>
        <w:t xml:space="preserve">El Tribunal de Cuentas ha examinado los </w:t>
      </w:r>
      <w:r>
        <w:rPr>
          <w:rFonts w:cs="Arial"/>
        </w:rPr>
        <w:t>E</w:t>
      </w:r>
      <w:r w:rsidRPr="000E4420">
        <w:rPr>
          <w:rFonts w:cs="Arial"/>
        </w:rPr>
        <w:t xml:space="preserve">stados </w:t>
      </w:r>
      <w:r>
        <w:rPr>
          <w:rFonts w:cs="Arial"/>
        </w:rPr>
        <w:t>F</w:t>
      </w:r>
      <w:r w:rsidRPr="000E4420">
        <w:rPr>
          <w:rFonts w:cs="Arial"/>
        </w:rPr>
        <w:t>inancieros del “Fideicomiso Comercial y Social VI-Fideicomiso Financiero”, correspondientes al ejercicio finalizado el 31/12/2014, formulados por el Fiduciario Agencia Nacional de Vivienda (ANV) y ha emitido su Dictamen.</w:t>
      </w:r>
    </w:p>
    <w:p w:rsidR="00270FF1" w:rsidRPr="000E4420" w:rsidRDefault="00270FF1" w:rsidP="00A260F3">
      <w:pPr>
        <w:pStyle w:val="Textonormal"/>
        <w:widowControl/>
        <w:tabs>
          <w:tab w:val="clear" w:pos="-720"/>
        </w:tabs>
        <w:suppressAutoHyphens w:val="0"/>
        <w:spacing w:line="360" w:lineRule="auto"/>
        <w:rPr>
          <w:rFonts w:ascii="Arial" w:hAnsi="Arial"/>
          <w:snapToGrid/>
          <w:spacing w:val="0"/>
          <w:szCs w:val="24"/>
          <w:lang w:val="es-ES"/>
        </w:rPr>
      </w:pPr>
      <w:r w:rsidRPr="000E4420">
        <w:rPr>
          <w:rFonts w:ascii="Arial" w:hAnsi="Arial" w:cs="Arial"/>
          <w:snapToGrid/>
          <w:spacing w:val="0"/>
          <w:szCs w:val="24"/>
          <w:lang w:val="es-ES"/>
        </w:rPr>
        <w:t>En este capítulo del Informe se agregan consideraciones relativas a la</w:t>
      </w:r>
      <w:r w:rsidRPr="000E4420">
        <w:rPr>
          <w:rFonts w:ascii="Arial" w:hAnsi="Arial"/>
          <w:snapToGrid/>
          <w:spacing w:val="0"/>
          <w:szCs w:val="24"/>
          <w:lang w:val="es-ES"/>
        </w:rPr>
        <w:t xml:space="preserve"> presentación de dichos estados, a los motivos que originan la abstención de opinión y a la evaluación del sistema de control interno.</w:t>
      </w:r>
    </w:p>
    <w:p w:rsidR="00270FF1" w:rsidRPr="000E4420" w:rsidRDefault="00270FF1" w:rsidP="00A260F3">
      <w:pPr>
        <w:pStyle w:val="Textonormal"/>
        <w:widowControl/>
        <w:tabs>
          <w:tab w:val="clear" w:pos="-720"/>
        </w:tabs>
        <w:suppressAutoHyphens w:val="0"/>
        <w:spacing w:line="360" w:lineRule="auto"/>
        <w:rPr>
          <w:rFonts w:ascii="Arial" w:hAnsi="Arial" w:cs="Arial"/>
        </w:rPr>
      </w:pPr>
      <w:r w:rsidRPr="000E4420">
        <w:rPr>
          <w:rFonts w:ascii="Arial" w:hAnsi="Arial" w:cs="Arial"/>
        </w:rPr>
        <w:t>También se incluyen las principales recomendaciones que deberá atender el Fiduciario a efectos de corregir las debilidades constatadas en el examen practicado, y se formula una evaluación del cumplimiento de las recomendaciones realizadas en el Informe de Auditoría del ejercicio anterior.</w:t>
      </w:r>
    </w:p>
    <w:p w:rsidR="00270FF1" w:rsidRDefault="00270FF1" w:rsidP="00A260F3">
      <w:pPr>
        <w:pStyle w:val="Textonormal"/>
        <w:widowControl/>
        <w:tabs>
          <w:tab w:val="clear" w:pos="-720"/>
        </w:tabs>
        <w:suppressAutoHyphens w:val="0"/>
        <w:spacing w:line="360" w:lineRule="auto"/>
        <w:rPr>
          <w:rFonts w:ascii="Arial" w:hAnsi="Arial" w:cs="Arial"/>
        </w:rPr>
      </w:pPr>
    </w:p>
    <w:p w:rsidR="00270FF1" w:rsidRPr="000E4420" w:rsidRDefault="00270FF1" w:rsidP="00A260F3">
      <w:pPr>
        <w:pStyle w:val="Textoindependiente"/>
        <w:tabs>
          <w:tab w:val="left" w:pos="284"/>
        </w:tabs>
        <w:spacing w:after="0" w:line="360" w:lineRule="auto"/>
        <w:rPr>
          <w:rFonts w:cs="Arial"/>
          <w:b/>
        </w:rPr>
      </w:pPr>
      <w:r w:rsidRPr="000E4420">
        <w:rPr>
          <w:rFonts w:cs="Arial"/>
          <w:b/>
        </w:rPr>
        <w:t>1</w:t>
      </w:r>
      <w:r>
        <w:rPr>
          <w:rFonts w:cs="Arial"/>
          <w:b/>
        </w:rPr>
        <w:t>.</w:t>
      </w:r>
      <w:r w:rsidRPr="000E4420">
        <w:rPr>
          <w:rFonts w:cs="Arial"/>
          <w:b/>
        </w:rPr>
        <w:t xml:space="preserve">  Presentación de Estados Financieros</w:t>
      </w:r>
    </w:p>
    <w:p w:rsidR="00270FF1" w:rsidRPr="000E4420" w:rsidRDefault="00270FF1" w:rsidP="00270FF1">
      <w:pPr>
        <w:pStyle w:val="Sangradetextonormal"/>
        <w:tabs>
          <w:tab w:val="clear" w:pos="2552"/>
        </w:tabs>
        <w:ind w:firstLine="851"/>
        <w:rPr>
          <w:szCs w:val="24"/>
        </w:rPr>
      </w:pPr>
      <w:r w:rsidRPr="000E4420">
        <w:rPr>
          <w:szCs w:val="24"/>
          <w:lang w:val="es-ES"/>
        </w:rPr>
        <w:t>La ANV</w:t>
      </w:r>
      <w:r w:rsidRPr="000E4420">
        <w:rPr>
          <w:szCs w:val="24"/>
        </w:rPr>
        <w:t xml:space="preserve"> remitió a este Tribunal con fecha 23/06/2015 los estados financieros ajustados por inflación del Fideicomiso que comprenden </w:t>
      </w:r>
      <w:r w:rsidRPr="000E4420">
        <w:rPr>
          <w:spacing w:val="-3"/>
          <w:szCs w:val="24"/>
          <w:lang w:val="es-ES_tradnl"/>
        </w:rPr>
        <w:t>el Estado de Situación Patrimonial al 31/12/2014, los correspondientes</w:t>
      </w:r>
      <w:r w:rsidRPr="000E4420">
        <w:rPr>
          <w:szCs w:val="24"/>
        </w:rPr>
        <w:t xml:space="preserve"> Estados de Resultados y de Origen y Aplicación de Fondos, presentados en forma comparativa con el </w:t>
      </w:r>
      <w:r>
        <w:rPr>
          <w:szCs w:val="24"/>
        </w:rPr>
        <w:t>E</w:t>
      </w:r>
      <w:r w:rsidRPr="000E4420">
        <w:rPr>
          <w:szCs w:val="24"/>
        </w:rPr>
        <w:t>jercicio anterior, y el Estado de Evolución del Patrimonio por el ejercicio económico finalizado en esa fecha</w:t>
      </w:r>
      <w:r w:rsidRPr="000E4420">
        <w:t>,</w:t>
      </w:r>
      <w:r w:rsidRPr="000E4420">
        <w:rPr>
          <w:szCs w:val="24"/>
        </w:rPr>
        <w:t xml:space="preserve"> las notas de políticas contables significativas, otras notas explicativas, y la Carta de Representaciones. Se señala que dichos estados fueron enviados a este Tribunal  fuera del plazo establecido en el Artículo 32 de la Ordenanza Nº 81. También remitió la copia de la Resolución de Directorio Nº 0266/15 de fecha 10/06/2015, por la cual la ANV tomó conocimiento de los estados financieros y dispuso remitir copia de los mismos al Ministerio de Economía y Finanzas (MEF) en su calidad de Beneficiario. Del análisis realizado no se constató la aprobación expresa de los mismos por el MEF, por lo que se concluye que fueron aprobados tácitamente luego de transcurrido el período de 60 días que establece el Contrato de Fideicomiso.</w:t>
      </w:r>
    </w:p>
    <w:p w:rsidR="00270FF1" w:rsidRPr="000E4420" w:rsidRDefault="00270FF1" w:rsidP="00A260F3">
      <w:pPr>
        <w:pStyle w:val="Sangradetextonormal"/>
      </w:pPr>
      <w:r w:rsidRPr="000E4420">
        <w:t xml:space="preserve">Los estados mencionados, según se establece en la Nota Nº 1.3, fueron preparados de acuerdo con las normas contables y los criterios de valuación, clasificación de riesgos crediticios y presentación dictados por el Banco Central del Uruguay (BCU), excepto por lo descrito en la Nota Nº 2.2, “Normas contables particulares”. Las mencionadas normas </w:t>
      </w:r>
      <w:proofErr w:type="spellStart"/>
      <w:r w:rsidRPr="000E4420">
        <w:t>bancocentralistas</w:t>
      </w:r>
      <w:proofErr w:type="spellEnd"/>
      <w:r w:rsidRPr="000E4420">
        <w:t xml:space="preserve"> son las consideradas por el Organismo como las normas técnicas de referencia más específicas, si bien el BCU no establece  su aplicación obligatoria.</w:t>
      </w:r>
    </w:p>
    <w:p w:rsidR="00270FF1" w:rsidRPr="000E4420" w:rsidRDefault="00270FF1" w:rsidP="00A260F3">
      <w:pPr>
        <w:pStyle w:val="Sangradetextonormal"/>
      </w:pPr>
      <w:r w:rsidRPr="000E4420">
        <w:t>Corresponde señalar que la ANV no determinó ni cuantificó las diferencias que pudieran surgir entre la aplicación de las normas para Instituciones de Intermediación Financiera y las normas contables según lo dispuesto en la Ordenanza Nº 81.</w:t>
      </w:r>
    </w:p>
    <w:p w:rsidR="00270FF1" w:rsidRPr="000E4420" w:rsidRDefault="00270FF1" w:rsidP="00D62741">
      <w:pPr>
        <w:spacing w:line="360" w:lineRule="auto"/>
        <w:rPr>
          <w:rFonts w:cs="Arial"/>
          <w:szCs w:val="24"/>
          <w:lang w:val="es-ES"/>
        </w:rPr>
      </w:pPr>
    </w:p>
    <w:p w:rsidR="00270FF1" w:rsidRPr="000E4420" w:rsidRDefault="00270FF1" w:rsidP="00270FF1">
      <w:pPr>
        <w:spacing w:line="360" w:lineRule="auto"/>
        <w:ind w:firstLine="851"/>
        <w:rPr>
          <w:rFonts w:cs="Arial"/>
          <w:szCs w:val="24"/>
          <w:lang w:val="es-ES"/>
        </w:rPr>
      </w:pPr>
      <w:r w:rsidRPr="000E4420">
        <w:rPr>
          <w:rFonts w:cs="Arial"/>
          <w:szCs w:val="24"/>
          <w:lang w:val="es-ES"/>
        </w:rPr>
        <w:t>Se constataron diferencias en los estados financieros presentados con respecto a lo dispuesto en la Comunicación Nº2007/0</w:t>
      </w:r>
      <w:r w:rsidR="0077265D">
        <w:rPr>
          <w:rFonts w:cs="Arial"/>
          <w:szCs w:val="24"/>
          <w:lang w:val="es-ES"/>
        </w:rPr>
        <w:t>39 del BCU de fecha 15/02/2007:</w:t>
      </w:r>
    </w:p>
    <w:p w:rsidR="00270FF1" w:rsidRPr="000E4420" w:rsidRDefault="00270FF1" w:rsidP="001F011F">
      <w:pPr>
        <w:pStyle w:val="Prrafodelista"/>
        <w:spacing w:line="360" w:lineRule="auto"/>
        <w:ind w:left="0"/>
        <w:rPr>
          <w:rFonts w:cs="Arial"/>
          <w:szCs w:val="24"/>
          <w:lang w:val="es-ES"/>
        </w:rPr>
      </w:pPr>
      <w:r>
        <w:rPr>
          <w:rFonts w:cs="Arial"/>
          <w:szCs w:val="24"/>
          <w:lang w:val="es-ES"/>
        </w:rPr>
        <w:t xml:space="preserve">- </w:t>
      </w:r>
      <w:r w:rsidRPr="000E4420">
        <w:rPr>
          <w:rFonts w:cs="Arial"/>
          <w:szCs w:val="24"/>
          <w:lang w:val="es-ES"/>
        </w:rPr>
        <w:t xml:space="preserve">El Estado de Origen y Aplicación de Fondos no fue preparado con el grado de detalle requerido, ya que no se incorporaron los ajustes que concilian el resultado del </w:t>
      </w:r>
      <w:r>
        <w:rPr>
          <w:rFonts w:cs="Arial"/>
          <w:szCs w:val="24"/>
          <w:lang w:val="es-ES"/>
        </w:rPr>
        <w:t>E</w:t>
      </w:r>
      <w:r w:rsidRPr="000E4420">
        <w:rPr>
          <w:rFonts w:cs="Arial"/>
          <w:szCs w:val="24"/>
          <w:lang w:val="es-ES"/>
        </w:rPr>
        <w:t>jercicio con el efectivo neto generado en actividades operativas. Estos deberían incluir las previsiones para deudores incobrables, el efecto del ajuste por inflación, los resultados diversos y los productos financieros devengados y no percibidos. Por otra parte, en el capítulo referente al aumento/disminución en activos operativos, los créditos vigentes y vencidos se muestran netos de previsiones.</w:t>
      </w:r>
    </w:p>
    <w:p w:rsidR="00270FF1" w:rsidRPr="000E4420" w:rsidRDefault="00270FF1" w:rsidP="001F011F">
      <w:pPr>
        <w:pStyle w:val="Prrafodelista"/>
        <w:spacing w:line="360" w:lineRule="auto"/>
        <w:ind w:left="0"/>
        <w:rPr>
          <w:rFonts w:cs="Arial"/>
          <w:szCs w:val="24"/>
          <w:lang w:val="es-ES"/>
        </w:rPr>
      </w:pPr>
      <w:r>
        <w:rPr>
          <w:rFonts w:cs="Arial"/>
          <w:szCs w:val="24"/>
          <w:lang w:val="es-ES"/>
        </w:rPr>
        <w:t xml:space="preserve">- </w:t>
      </w:r>
      <w:r w:rsidRPr="000E4420">
        <w:rPr>
          <w:rFonts w:cs="Arial"/>
          <w:szCs w:val="24"/>
          <w:lang w:val="es-ES"/>
        </w:rPr>
        <w:t>En el Estado de Resultados, el efecto del ajuste por inflación no se expuso de acuerdo a normas del Banco Central dado que se incluyó el importe neto del ajuste por miles de $ 61.942 en las “Pérdidas financieras antes de diferencias de cambio y previsiones”, cuando, de acuerdo a la normativa citada, debió exponerse la ganancia por inflación en el Capítulo Ganancias Operativas y la pérdida correspondiente en el Capítulo Pérdidas Operativas.</w:t>
      </w:r>
    </w:p>
    <w:p w:rsidR="00270FF1" w:rsidRPr="000E4420" w:rsidRDefault="00270FF1" w:rsidP="001F011F">
      <w:pPr>
        <w:pStyle w:val="Prrafodelista"/>
        <w:spacing w:line="360" w:lineRule="auto"/>
        <w:ind w:left="0"/>
        <w:rPr>
          <w:rFonts w:cs="Arial"/>
          <w:szCs w:val="24"/>
          <w:lang w:val="es-ES"/>
        </w:rPr>
      </w:pPr>
      <w:r>
        <w:rPr>
          <w:rFonts w:cs="Arial"/>
          <w:szCs w:val="24"/>
          <w:lang w:val="es-ES"/>
        </w:rPr>
        <w:t xml:space="preserve">- </w:t>
      </w:r>
      <w:r w:rsidRPr="000E4420">
        <w:rPr>
          <w:rFonts w:cs="Arial"/>
          <w:szCs w:val="24"/>
          <w:lang w:val="es-ES"/>
        </w:rPr>
        <w:t xml:space="preserve">Con relación al Estado de Evolución del Patrimonio, tampoco se considera adecuada la exposición del efecto del ajuste por inflación. En lugar de imputar el neto del ajuste en “Ajustes al Patrimonio” tal como lo dispone la normativa </w:t>
      </w:r>
      <w:proofErr w:type="spellStart"/>
      <w:r w:rsidRPr="000E4420">
        <w:rPr>
          <w:rFonts w:cs="Arial"/>
          <w:szCs w:val="24"/>
          <w:lang w:val="es-ES"/>
        </w:rPr>
        <w:t>bancocentralista</w:t>
      </w:r>
      <w:proofErr w:type="spellEnd"/>
      <w:r w:rsidRPr="000E4420">
        <w:rPr>
          <w:rFonts w:cs="Arial"/>
          <w:szCs w:val="24"/>
          <w:lang w:val="es-ES"/>
        </w:rPr>
        <w:t>, se incluyó en este capítulo únicamente la pérdida por inflación. La porción correspondiente a la ganancia por dicho concepto se expuso en el Capítulo Resultados Acumulados. Este hecho se refleja también en el Capítulo Patrimonio del Estado de Situación Patrimonial al 31/12/2014.</w:t>
      </w:r>
    </w:p>
    <w:p w:rsidR="00270FF1" w:rsidRPr="000E4420" w:rsidRDefault="00270FF1" w:rsidP="00A260F3">
      <w:pPr>
        <w:pStyle w:val="Textoindependiente"/>
        <w:tabs>
          <w:tab w:val="left" w:pos="284"/>
        </w:tabs>
        <w:spacing w:after="0" w:line="360" w:lineRule="auto"/>
        <w:rPr>
          <w:rFonts w:cs="Arial"/>
          <w:b/>
          <w:bCs/>
          <w:lang w:val="es-MX"/>
        </w:rPr>
      </w:pPr>
      <w:r w:rsidRPr="000E4420">
        <w:rPr>
          <w:rFonts w:cs="Arial"/>
          <w:b/>
          <w:bCs/>
          <w:lang w:val="es-MX"/>
        </w:rPr>
        <w:t>2. Situaciones que m</w:t>
      </w:r>
      <w:r w:rsidR="0077265D">
        <w:rPr>
          <w:rFonts w:cs="Arial"/>
          <w:b/>
          <w:bCs/>
          <w:lang w:val="es-MX"/>
        </w:rPr>
        <w:t>otivan la abstención de opinión</w:t>
      </w:r>
    </w:p>
    <w:p w:rsidR="00270FF1" w:rsidRPr="000E4420" w:rsidRDefault="00270FF1" w:rsidP="00A260F3">
      <w:pPr>
        <w:pStyle w:val="Textoindependiente"/>
        <w:tabs>
          <w:tab w:val="left" w:pos="284"/>
        </w:tabs>
        <w:spacing w:after="0" w:line="360" w:lineRule="auto"/>
        <w:rPr>
          <w:rFonts w:cs="Arial"/>
        </w:rPr>
      </w:pPr>
      <w:r w:rsidRPr="000E4420">
        <w:rPr>
          <w:rFonts w:cs="Arial"/>
          <w:b/>
          <w:bCs/>
          <w:lang w:val="es-MX"/>
        </w:rPr>
        <w:t xml:space="preserve">2.1 </w:t>
      </w:r>
      <w:r w:rsidRPr="000E4420">
        <w:rPr>
          <w:rFonts w:cs="Arial"/>
          <w:lang w:val="es-MX"/>
        </w:rPr>
        <w:t xml:space="preserve">La ANV </w:t>
      </w:r>
      <w:r w:rsidRPr="000E4420">
        <w:rPr>
          <w:rFonts w:cs="Arial"/>
        </w:rPr>
        <w:t>utiliza el Sistema Integral de Gestión Bancaria (SIGB)</w:t>
      </w:r>
      <w:r w:rsidRPr="000E4420">
        <w:rPr>
          <w:rFonts w:cs="Arial"/>
          <w:lang w:val="es-MX"/>
        </w:rPr>
        <w:t xml:space="preserve"> como sistema informático tanto para el registro de su</w:t>
      </w:r>
      <w:r w:rsidRPr="000E4420">
        <w:rPr>
          <w:rFonts w:cs="Arial"/>
        </w:rPr>
        <w:t xml:space="preserve"> contabilidad como para la de los fideicomisos que administra. Este sistema, implementado por el Banco Hipotecario del Uruguay (BHU), continúa presentando dificultades y errores en su operativa y no se encuentran desarrolladas la totalidad de </w:t>
      </w:r>
      <w:r w:rsidRPr="000E4420">
        <w:rPr>
          <w:rFonts w:cs="Arial"/>
          <w:lang w:val="es-MX"/>
        </w:rPr>
        <w:t>sus aplicaciones</w:t>
      </w:r>
      <w:r w:rsidRPr="000E4420">
        <w:rPr>
          <w:rFonts w:cs="Arial"/>
        </w:rPr>
        <w:t>.</w:t>
      </w:r>
    </w:p>
    <w:p w:rsidR="00270FF1" w:rsidRPr="000E4420" w:rsidRDefault="00270FF1" w:rsidP="00A260F3">
      <w:pPr>
        <w:pStyle w:val="Textoindependiente"/>
        <w:tabs>
          <w:tab w:val="left" w:pos="284"/>
        </w:tabs>
        <w:spacing w:after="0" w:line="360" w:lineRule="auto"/>
        <w:rPr>
          <w:rFonts w:cs="Arial"/>
        </w:rPr>
      </w:pPr>
      <w:r w:rsidRPr="000E4420">
        <w:rPr>
          <w:rFonts w:cs="Arial"/>
        </w:rPr>
        <w:t xml:space="preserve">A efectos de ajustar la contabilidad se deben efectuar registros manuales – solamente en el mes de diciembre de 2014 ascendieron a 9.523 asientos - la mayoría de los cuales no son incorporados a los inventarios. En consecuencia, los saldos proporcionados por el sistema presentan diferencias e inconsistencias </w:t>
      </w:r>
      <w:r w:rsidRPr="000E4420">
        <w:rPr>
          <w:rFonts w:cs="Arial"/>
          <w:spacing w:val="-18"/>
        </w:rPr>
        <w:t xml:space="preserve">con sus </w:t>
      </w:r>
      <w:r w:rsidRPr="000E4420">
        <w:rPr>
          <w:rFonts w:cs="Arial"/>
        </w:rPr>
        <w:t>inventarios, las que no pudieron ser suficientemente explicadas por el Organismo.</w:t>
      </w:r>
    </w:p>
    <w:p w:rsidR="00270FF1" w:rsidRPr="000E4420" w:rsidRDefault="00270FF1" w:rsidP="00A260F3">
      <w:pPr>
        <w:spacing w:after="0" w:line="360" w:lineRule="auto"/>
        <w:rPr>
          <w:rFonts w:cs="Arial"/>
        </w:rPr>
      </w:pPr>
      <w:r w:rsidRPr="000E4420">
        <w:rPr>
          <w:rFonts w:cs="Arial"/>
        </w:rPr>
        <w:t>En tal sentido, se señala que el sistema requiere el ingreso de ajustes manuales, siendo necesario algunas veces el extorno de ajustes automáticos fundamentalmente en lo referido al cálculo de las previsiones. Estos registros manuales son muchas veces realizados con errores. A su vez, la mayoría de ellos no son incorporados a los correspondientes inventarios, por lo que los saldos proporcionados por el sistema presentan diferencias e inconsistencias con éste. Además, existen rubros que, al estar mal definidos en el sis</w:t>
      </w:r>
      <w:r w:rsidR="0077265D">
        <w:rPr>
          <w:rFonts w:cs="Arial"/>
        </w:rPr>
        <w:t>tema, no son inventariados.</w:t>
      </w:r>
    </w:p>
    <w:p w:rsidR="00270FF1" w:rsidRPr="000E4420" w:rsidRDefault="00270FF1" w:rsidP="000856D2">
      <w:pPr>
        <w:spacing w:after="0" w:line="360" w:lineRule="auto"/>
        <w:rPr>
          <w:rFonts w:cs="Arial"/>
        </w:rPr>
      </w:pPr>
      <w:r w:rsidRPr="000E4420">
        <w:rPr>
          <w:rFonts w:cs="Arial"/>
        </w:rPr>
        <w:t>En resumen, se presentan situaciones tales como que existen rubros incluidos en los inventarios pero no en los datos que surgen del sistema, rubros que están expuestos en ambos registros pero con saldos diferentes y rubros incluidos en los datos del sistema pero que no figuran en los inventarios.</w:t>
      </w:r>
    </w:p>
    <w:p w:rsidR="00270FF1" w:rsidRPr="000E4420" w:rsidRDefault="00270FF1" w:rsidP="000856D2">
      <w:pPr>
        <w:spacing w:after="0" w:line="360" w:lineRule="auto"/>
        <w:rPr>
          <w:rFonts w:cs="Arial"/>
        </w:rPr>
      </w:pPr>
      <w:r w:rsidRPr="000E4420">
        <w:rPr>
          <w:rFonts w:cs="Arial"/>
        </w:rPr>
        <w:t xml:space="preserve">Existen también cuentas transitorias que utiliza el sistema durante el ejercicio y que al cierre del mismo no se exponen con saldo cero. Los estados emitidos por el SIGB presentan una cuenta denominada “Rubros no en Balance por </w:t>
      </w:r>
      <w:r>
        <w:rPr>
          <w:rFonts w:cs="Arial"/>
        </w:rPr>
        <w:t xml:space="preserve">      </w:t>
      </w:r>
      <w:r w:rsidRPr="000E4420">
        <w:rPr>
          <w:rFonts w:cs="Arial"/>
        </w:rPr>
        <w:t>$ 2</w:t>
      </w:r>
      <w:r>
        <w:rPr>
          <w:rFonts w:cs="Arial"/>
        </w:rPr>
        <w:t>:</w:t>
      </w:r>
      <w:r w:rsidRPr="000E4420">
        <w:rPr>
          <w:rFonts w:cs="Arial"/>
        </w:rPr>
        <w:t>582.621, cuando su saldo debió ser cero al cierre.</w:t>
      </w:r>
    </w:p>
    <w:p w:rsidR="00270FF1" w:rsidRPr="000E4420" w:rsidRDefault="00270FF1" w:rsidP="00A260F3">
      <w:pPr>
        <w:spacing w:after="0" w:line="360" w:lineRule="auto"/>
        <w:rPr>
          <w:rFonts w:cs="Arial"/>
        </w:rPr>
      </w:pPr>
      <w:r w:rsidRPr="000E4420">
        <w:rPr>
          <w:rFonts w:cs="Arial"/>
          <w:bCs/>
        </w:rPr>
        <w:t>Por último</w:t>
      </w:r>
      <w:r>
        <w:rPr>
          <w:rFonts w:cs="Arial"/>
          <w:bCs/>
        </w:rPr>
        <w:t>,</w:t>
      </w:r>
      <w:r w:rsidRPr="000E4420">
        <w:rPr>
          <w:rFonts w:cs="Arial"/>
          <w:bCs/>
        </w:rPr>
        <w:t xml:space="preserve"> se señala que al comparar los estados financieros resumidos remitidos al Tribunal de Cuentas con los analíticos del sistema, se constataron diferencias. Si bien el total del Activo en el Estado de Situación Patrimonial es el mismo en ambos reportes, no coinciden los totales de créditos vencidos y vigentes, compensándose entre ellas las diferencias. Asimismo, se constataron diferencias entre el saldo de los distintos Capítulos que componen el Estado de Resultados, no viéndose afectado el resultado del </w:t>
      </w:r>
      <w:r>
        <w:rPr>
          <w:rFonts w:cs="Arial"/>
          <w:bCs/>
        </w:rPr>
        <w:t>E</w:t>
      </w:r>
      <w:r w:rsidRPr="000E4420">
        <w:rPr>
          <w:rFonts w:cs="Arial"/>
          <w:bCs/>
        </w:rPr>
        <w:t>jercicio. Las mismas se deben a ajustes de exposición efectuados para elaborar los estados de acuerdo con el Plan de Cuentas del BCU, que no fueron incorporados al SIGB.</w:t>
      </w:r>
    </w:p>
    <w:p w:rsidR="00270FF1" w:rsidRPr="000E4420" w:rsidRDefault="00270FF1" w:rsidP="00A260F3">
      <w:pPr>
        <w:spacing w:after="0" w:line="360" w:lineRule="auto"/>
        <w:rPr>
          <w:rFonts w:cs="Arial"/>
        </w:rPr>
      </w:pPr>
      <w:r w:rsidRPr="000E4420">
        <w:rPr>
          <w:rFonts w:cs="Arial"/>
          <w:lang w:val="es-ES_tradnl"/>
        </w:rPr>
        <w:t>Por todo lo</w:t>
      </w:r>
      <w:r w:rsidRPr="000E4420">
        <w:rPr>
          <w:rFonts w:cs="Arial"/>
        </w:rPr>
        <w:t xml:space="preserve"> anteriormente expuesto, las inconsistencias de la información suministrada generaron limitaciones significativas a efectos de formarnos una opinión.</w:t>
      </w:r>
    </w:p>
    <w:p w:rsidR="00270FF1" w:rsidRPr="000E4420" w:rsidRDefault="00270FF1" w:rsidP="00A260F3">
      <w:pPr>
        <w:pStyle w:val="Sangra3detindependiente"/>
        <w:widowControl w:val="0"/>
        <w:tabs>
          <w:tab w:val="left" w:pos="0"/>
        </w:tabs>
        <w:spacing w:after="0" w:line="360" w:lineRule="auto"/>
        <w:ind w:left="0"/>
        <w:jc w:val="both"/>
        <w:rPr>
          <w:rFonts w:ascii="Arial" w:hAnsi="Arial" w:cs="Arial"/>
          <w:sz w:val="24"/>
          <w:szCs w:val="24"/>
        </w:rPr>
      </w:pPr>
      <w:r w:rsidRPr="000E4420">
        <w:rPr>
          <w:rFonts w:ascii="Arial" w:hAnsi="Arial" w:cs="Arial"/>
          <w:b/>
          <w:sz w:val="24"/>
          <w:szCs w:val="24"/>
        </w:rPr>
        <w:t>2.2</w:t>
      </w:r>
      <w:r w:rsidRPr="000E4420">
        <w:rPr>
          <w:rFonts w:ascii="Arial" w:hAnsi="Arial" w:cs="Arial"/>
          <w:sz w:val="24"/>
          <w:szCs w:val="24"/>
        </w:rPr>
        <w:t xml:space="preserve"> Las condiciones originales pactadas en los créditos tales como las tasas de interés y los plazos han sido modificadas en varios casos, no contándose con documentación suficiente que respalde los mencionados cambios al Contrato original. Por lo expuesto no se pudo comprobar que el </w:t>
      </w:r>
      <w:proofErr w:type="spellStart"/>
      <w:r w:rsidRPr="000E4420">
        <w:rPr>
          <w:rFonts w:ascii="Arial" w:hAnsi="Arial" w:cs="Arial"/>
          <w:sz w:val="24"/>
          <w:szCs w:val="24"/>
        </w:rPr>
        <w:t>devengamiento</w:t>
      </w:r>
      <w:proofErr w:type="spellEnd"/>
      <w:r w:rsidRPr="000E4420">
        <w:rPr>
          <w:rFonts w:ascii="Arial" w:hAnsi="Arial" w:cs="Arial"/>
          <w:sz w:val="24"/>
          <w:szCs w:val="24"/>
        </w:rPr>
        <w:t xml:space="preserve"> de intereses y el cálculo de cuotas se hayan realizado correctamente.</w:t>
      </w:r>
    </w:p>
    <w:p w:rsidR="00270FF1" w:rsidRPr="000E4420" w:rsidRDefault="00270FF1" w:rsidP="00A260F3">
      <w:pPr>
        <w:pStyle w:val="Textoindependiente"/>
        <w:widowControl w:val="0"/>
        <w:spacing w:after="0" w:line="360" w:lineRule="auto"/>
        <w:rPr>
          <w:rFonts w:cs="Arial"/>
        </w:rPr>
      </w:pPr>
      <w:r w:rsidRPr="000E4420">
        <w:rPr>
          <w:rFonts w:cs="Arial"/>
        </w:rPr>
        <w:t>El hecho de no contar con la documentación requerida en las carpetas de deudores afecta el cumplimiento del Artículo 269 de la Recopilación de Normas de Regulación y Control del Sistema Financiero (RNRCSF).</w:t>
      </w:r>
    </w:p>
    <w:p w:rsidR="00270FF1" w:rsidRPr="000E4420" w:rsidRDefault="00270FF1" w:rsidP="00A260F3">
      <w:pPr>
        <w:pStyle w:val="Textoindependiente"/>
        <w:widowControl w:val="0"/>
        <w:spacing w:after="0" w:line="360" w:lineRule="auto"/>
        <w:rPr>
          <w:rFonts w:cs="Arial"/>
        </w:rPr>
      </w:pPr>
      <w:r w:rsidRPr="000E4420">
        <w:rPr>
          <w:rFonts w:cs="Arial"/>
          <w:b/>
        </w:rPr>
        <w:t>2.3</w:t>
      </w:r>
      <w:r w:rsidRPr="000E4420">
        <w:rPr>
          <w:rFonts w:cs="Arial"/>
        </w:rPr>
        <w:t xml:space="preserve"> No se incluyó en los estados financieros el Pasivo correspondiente a la deuda de impuestos y contribución inmobiliaria de los bienes inmuebles que integran el Capitulo Inversiones, no disponiéndose de información para poder cuantificar el efecto de esta situ</w:t>
      </w:r>
      <w:r w:rsidR="0077265D">
        <w:rPr>
          <w:rFonts w:cs="Arial"/>
        </w:rPr>
        <w:t>ación.</w:t>
      </w:r>
    </w:p>
    <w:p w:rsidR="00270FF1" w:rsidRPr="000E4420" w:rsidRDefault="00270FF1" w:rsidP="00A260F3">
      <w:pPr>
        <w:pStyle w:val="Textoindependiente"/>
        <w:widowControl w:val="0"/>
        <w:spacing w:after="0" w:line="360" w:lineRule="auto"/>
        <w:rPr>
          <w:rFonts w:cs="Arial"/>
        </w:rPr>
      </w:pPr>
      <w:r w:rsidRPr="000E4420">
        <w:rPr>
          <w:rFonts w:cs="Arial"/>
          <w:b/>
        </w:rPr>
        <w:t>2.4</w:t>
      </w:r>
      <w:r w:rsidRPr="000E4420">
        <w:rPr>
          <w:rFonts w:cs="Arial"/>
        </w:rPr>
        <w:t xml:space="preserve"> La ANV tiene conocimiento de que existen inmuebles ocupados irregularmente por terceros, pero al desconocer la totalidad de bienes en estas condiciones, no ha incluido en sus estados financieros una previsión por su eventual deterioro ni ha mencionado esta situación en sus notas.</w:t>
      </w:r>
    </w:p>
    <w:p w:rsidR="00270FF1" w:rsidRPr="000E4420" w:rsidRDefault="00270FF1" w:rsidP="00A260F3">
      <w:pPr>
        <w:pStyle w:val="Sangradetextonormal"/>
        <w:tabs>
          <w:tab w:val="clear" w:pos="2552"/>
        </w:tabs>
        <w:rPr>
          <w:b/>
        </w:rPr>
      </w:pPr>
      <w:r w:rsidRPr="000E4420">
        <w:rPr>
          <w:b/>
        </w:rPr>
        <w:t>3. Evaluación del Sistema de Control Interno</w:t>
      </w:r>
    </w:p>
    <w:p w:rsidR="00270FF1" w:rsidRPr="000E4420" w:rsidRDefault="00270FF1" w:rsidP="00270FF1">
      <w:pPr>
        <w:pStyle w:val="Sangra2detindependiente"/>
        <w:widowControl w:val="0"/>
        <w:spacing w:line="360" w:lineRule="auto"/>
        <w:ind w:left="0" w:firstLine="851"/>
        <w:jc w:val="both"/>
      </w:pPr>
      <w:r w:rsidRPr="000E4420">
        <w:t>La evaluación del sistema de control interno no fue realizada a efectos de emitir una opinión respecto al mismo, sino para establecer los procedimientos de auditoría que debían aplicarse como prueba de la eficacia de los controles implementados en relación con el objetivo de la auditoría realizada.</w:t>
      </w:r>
    </w:p>
    <w:p w:rsidR="00270FF1" w:rsidRPr="000E4420" w:rsidRDefault="00270FF1" w:rsidP="00A260F3">
      <w:pPr>
        <w:pStyle w:val="Sangra2detindependiente"/>
        <w:widowControl w:val="0"/>
        <w:spacing w:line="360" w:lineRule="auto"/>
        <w:ind w:left="0"/>
        <w:jc w:val="both"/>
      </w:pPr>
      <w:r w:rsidRPr="000E4420">
        <w:t>Del examen practicado se pudo constatar que el sistema presenta, además de las debilidades referidas en el Numeral 2 de este Informe, las siguientes:</w:t>
      </w:r>
    </w:p>
    <w:p w:rsidR="00270FF1" w:rsidRPr="000E4420" w:rsidRDefault="00270FF1" w:rsidP="00A260F3">
      <w:pPr>
        <w:pStyle w:val="Sangradetextonormal"/>
        <w:widowControl w:val="0"/>
        <w:tabs>
          <w:tab w:val="clear" w:pos="2552"/>
          <w:tab w:val="left" w:pos="0"/>
        </w:tabs>
        <w:rPr>
          <w:bCs/>
          <w:szCs w:val="24"/>
        </w:rPr>
      </w:pPr>
      <w:r w:rsidRPr="000E4420">
        <w:rPr>
          <w:b/>
          <w:bCs/>
          <w:szCs w:val="24"/>
        </w:rPr>
        <w:t xml:space="preserve">3.1 </w:t>
      </w:r>
      <w:r w:rsidRPr="000E4420">
        <w:rPr>
          <w:bCs/>
          <w:szCs w:val="24"/>
        </w:rPr>
        <w:t xml:space="preserve">Para confeccionar los estados financieros del </w:t>
      </w:r>
      <w:r>
        <w:rPr>
          <w:bCs/>
          <w:szCs w:val="24"/>
        </w:rPr>
        <w:t>E</w:t>
      </w:r>
      <w:r w:rsidRPr="000E4420">
        <w:rPr>
          <w:bCs/>
          <w:szCs w:val="24"/>
        </w:rPr>
        <w:t xml:space="preserve">jercicio 2014, la ANV actualizó las tasaciones de los bienes constituidos en garantía aplicando un modelo de valuación alternativo al establecido en la Comunicación Nº 2014/210 del BCU. Si bien la metodología aplicada se considera razonable, la misma no fue realizada estrictamente de acuerdo con lo establecido en esta disposición. Asimismo, se verificó que el 13% de los inmuebles tenían tasación anterior al 31/12/2012 mientras que la norma dispone que la tasación de los bienes constituidos en garantía </w:t>
      </w:r>
      <w:proofErr w:type="gramStart"/>
      <w:r w:rsidRPr="000E4420">
        <w:rPr>
          <w:bCs/>
          <w:szCs w:val="24"/>
        </w:rPr>
        <w:t>debe</w:t>
      </w:r>
      <w:r>
        <w:rPr>
          <w:bCs/>
          <w:szCs w:val="24"/>
        </w:rPr>
        <w:t>n</w:t>
      </w:r>
      <w:proofErr w:type="gramEnd"/>
      <w:r w:rsidRPr="000E4420">
        <w:rPr>
          <w:bCs/>
          <w:szCs w:val="24"/>
        </w:rPr>
        <w:t xml:space="preserve"> tener una antigüedad menor a 2 años.</w:t>
      </w:r>
    </w:p>
    <w:p w:rsidR="00270FF1" w:rsidRPr="000E4420" w:rsidRDefault="00270FF1" w:rsidP="00A260F3">
      <w:pPr>
        <w:pStyle w:val="Sangradetextonormal"/>
        <w:widowControl w:val="0"/>
        <w:tabs>
          <w:tab w:val="clear" w:pos="2552"/>
          <w:tab w:val="left" w:pos="0"/>
        </w:tabs>
        <w:rPr>
          <w:szCs w:val="24"/>
        </w:rPr>
      </w:pPr>
      <w:r w:rsidRPr="000E4420">
        <w:rPr>
          <w:b/>
          <w:szCs w:val="24"/>
        </w:rPr>
        <w:t>3.2</w:t>
      </w:r>
      <w:r w:rsidRPr="000E4420">
        <w:rPr>
          <w:szCs w:val="24"/>
        </w:rPr>
        <w:t xml:space="preserve"> Los procedimientos de control implementados no permitieron detectar que existen inmuebles registrados como Inversiones que a su vez representan la garantía de un crédito. Asimismo existen varios bienes en el archivo de tasaciones que no está registrado ni como crédito ni como inversión.</w:t>
      </w:r>
    </w:p>
    <w:p w:rsidR="00270FF1" w:rsidRPr="000E4420" w:rsidRDefault="00270FF1" w:rsidP="001C1E27">
      <w:pPr>
        <w:pStyle w:val="Sangra2detindependiente"/>
        <w:widowControl w:val="0"/>
        <w:spacing w:line="360" w:lineRule="auto"/>
        <w:ind w:left="0"/>
        <w:jc w:val="both"/>
      </w:pPr>
      <w:r w:rsidRPr="000E4420">
        <w:rPr>
          <w:b/>
        </w:rPr>
        <w:t>3.3</w:t>
      </w:r>
      <w:r w:rsidRPr="000E4420">
        <w:t xml:space="preserve"> No se conciliaron las cuentas que incluyen saldos con el BHU y la ANV por concepto de recaudación y gastos del Fideicomiso, expuestas en los Capítulos Créditos Diversos del Activo y Obligaciones Diversas del Pasivo, con la información de los Estados Contables de la ANV.</w:t>
      </w:r>
    </w:p>
    <w:p w:rsidR="00270FF1" w:rsidRPr="000E4420" w:rsidRDefault="00270FF1" w:rsidP="001C1E27">
      <w:pPr>
        <w:pStyle w:val="Sangra2detindependiente"/>
        <w:widowControl w:val="0"/>
        <w:spacing w:line="360" w:lineRule="auto"/>
        <w:ind w:left="0"/>
        <w:jc w:val="both"/>
      </w:pPr>
      <w:r w:rsidRPr="000E4420">
        <w:rPr>
          <w:b/>
        </w:rPr>
        <w:t>3.4</w:t>
      </w:r>
      <w:r w:rsidRPr="000E4420">
        <w:t xml:space="preserve"> Se detectaron rubros del sistema contable (SIGB) que se encuentran clasificados en capítulos que no corresponden o cuentas que no tienen descripción.</w:t>
      </w:r>
    </w:p>
    <w:p w:rsidR="00270FF1" w:rsidRPr="000E4420" w:rsidRDefault="00270FF1" w:rsidP="001C1E27">
      <w:pPr>
        <w:pStyle w:val="Sangra2detindependiente"/>
        <w:widowControl w:val="0"/>
        <w:spacing w:line="360" w:lineRule="auto"/>
        <w:ind w:left="0"/>
        <w:jc w:val="both"/>
      </w:pPr>
      <w:r w:rsidRPr="000E4420">
        <w:rPr>
          <w:rFonts w:cs="Arial"/>
          <w:b/>
          <w:bCs/>
        </w:rPr>
        <w:t>3.5</w:t>
      </w:r>
      <w:r w:rsidRPr="000E4420">
        <w:rPr>
          <w:rFonts w:cs="Arial"/>
          <w:bCs/>
        </w:rPr>
        <w:t xml:space="preserve"> No existen manuales que contengan la descripción de funciones de los integrantes del Departamento de Contabilidad de Fideicomisos.</w:t>
      </w:r>
    </w:p>
    <w:p w:rsidR="00270FF1" w:rsidRPr="000E4420" w:rsidRDefault="00270FF1" w:rsidP="001C1E27">
      <w:pPr>
        <w:pStyle w:val="Sangra3detindependiente"/>
        <w:widowControl w:val="0"/>
        <w:tabs>
          <w:tab w:val="left" w:pos="0"/>
        </w:tabs>
        <w:spacing w:after="0" w:line="360" w:lineRule="auto"/>
        <w:ind w:left="0"/>
        <w:jc w:val="both"/>
        <w:rPr>
          <w:rFonts w:ascii="Arial" w:hAnsi="Arial" w:cs="Arial"/>
          <w:bCs/>
          <w:sz w:val="24"/>
          <w:szCs w:val="24"/>
        </w:rPr>
      </w:pPr>
      <w:r w:rsidRPr="000E4420">
        <w:rPr>
          <w:rFonts w:ascii="Arial" w:hAnsi="Arial" w:cs="Arial"/>
          <w:b/>
          <w:bCs/>
          <w:sz w:val="24"/>
          <w:szCs w:val="24"/>
        </w:rPr>
        <w:t>3.6</w:t>
      </w:r>
      <w:r w:rsidRPr="000E4420">
        <w:rPr>
          <w:rFonts w:ascii="Arial" w:hAnsi="Arial" w:cs="Arial"/>
          <w:bCs/>
          <w:sz w:val="24"/>
          <w:szCs w:val="24"/>
        </w:rPr>
        <w:t xml:space="preserve"> </w:t>
      </w:r>
      <w:r w:rsidRPr="000E4420">
        <w:rPr>
          <w:rFonts w:ascii="Arial" w:hAnsi="Arial" w:cs="Arial"/>
          <w:sz w:val="24"/>
          <w:szCs w:val="24"/>
          <w:lang w:val="es-MX"/>
        </w:rPr>
        <w:t>Se concentran excesivas tareas en una misma persona.</w:t>
      </w:r>
    </w:p>
    <w:p w:rsidR="00270FF1" w:rsidRPr="000E4420" w:rsidRDefault="00270FF1" w:rsidP="001C1E27">
      <w:pPr>
        <w:pStyle w:val="Sangra3detindependiente"/>
        <w:widowControl w:val="0"/>
        <w:tabs>
          <w:tab w:val="left" w:pos="0"/>
        </w:tabs>
        <w:spacing w:after="0" w:line="360" w:lineRule="auto"/>
        <w:ind w:left="0"/>
        <w:jc w:val="both"/>
        <w:rPr>
          <w:rFonts w:ascii="Arial" w:hAnsi="Arial" w:cs="Arial"/>
          <w:bCs/>
          <w:sz w:val="24"/>
          <w:szCs w:val="24"/>
        </w:rPr>
      </w:pPr>
      <w:r w:rsidRPr="000E4420">
        <w:rPr>
          <w:rFonts w:ascii="Arial" w:hAnsi="Arial" w:cs="Arial"/>
          <w:b/>
          <w:bCs/>
          <w:sz w:val="24"/>
          <w:szCs w:val="24"/>
        </w:rPr>
        <w:t>3.7</w:t>
      </w:r>
      <w:r w:rsidRPr="000E4420">
        <w:rPr>
          <w:rFonts w:ascii="Arial" w:hAnsi="Arial" w:cs="Arial"/>
          <w:bCs/>
          <w:sz w:val="24"/>
          <w:szCs w:val="24"/>
        </w:rPr>
        <w:t xml:space="preserve"> </w:t>
      </w:r>
      <w:r w:rsidRPr="000E4420">
        <w:rPr>
          <w:rFonts w:ascii="Arial" w:hAnsi="Arial" w:cs="Arial"/>
          <w:sz w:val="24"/>
          <w:szCs w:val="24"/>
          <w:lang w:val="es-MX"/>
        </w:rPr>
        <w:t>No se dispone de información sobre la evaluación de los riesgos de la actividad.</w:t>
      </w:r>
    </w:p>
    <w:p w:rsidR="00270FF1" w:rsidRDefault="00270FF1" w:rsidP="00A260F3">
      <w:pPr>
        <w:pStyle w:val="Sangradetextonormal"/>
        <w:tabs>
          <w:tab w:val="clear" w:pos="2552"/>
        </w:tabs>
        <w:rPr>
          <w:b/>
          <w:szCs w:val="24"/>
          <w:lang w:val="es-ES"/>
        </w:rPr>
      </w:pPr>
    </w:p>
    <w:p w:rsidR="00264B89" w:rsidRPr="000E4420" w:rsidRDefault="00264B89" w:rsidP="00A260F3">
      <w:pPr>
        <w:pStyle w:val="Sangradetextonormal"/>
        <w:tabs>
          <w:tab w:val="clear" w:pos="2552"/>
        </w:tabs>
        <w:rPr>
          <w:b/>
          <w:szCs w:val="24"/>
          <w:lang w:val="es-ES"/>
        </w:rPr>
      </w:pPr>
    </w:p>
    <w:p w:rsidR="00270FF1" w:rsidRPr="000E4420" w:rsidRDefault="00270FF1" w:rsidP="00A260F3">
      <w:pPr>
        <w:pStyle w:val="Textoindependiente"/>
        <w:tabs>
          <w:tab w:val="left" w:pos="284"/>
        </w:tabs>
        <w:spacing w:after="0" w:line="360" w:lineRule="auto"/>
        <w:rPr>
          <w:rFonts w:cs="Arial"/>
        </w:rPr>
      </w:pPr>
      <w:r w:rsidRPr="000E4420">
        <w:rPr>
          <w:rFonts w:cs="Arial"/>
          <w:b/>
        </w:rPr>
        <w:t>4 Recomendaciones</w:t>
      </w:r>
    </w:p>
    <w:p w:rsidR="00270FF1" w:rsidRPr="000E4420" w:rsidRDefault="00270FF1" w:rsidP="00A260F3">
      <w:pPr>
        <w:pStyle w:val="Sangradetextonormal"/>
        <w:tabs>
          <w:tab w:val="clear" w:pos="2552"/>
        </w:tabs>
        <w:rPr>
          <w:b/>
          <w:szCs w:val="24"/>
          <w:lang w:val="es-ES"/>
        </w:rPr>
      </w:pPr>
      <w:r w:rsidRPr="000E4420">
        <w:rPr>
          <w:b/>
          <w:szCs w:val="24"/>
          <w:lang w:val="es-ES"/>
        </w:rPr>
        <w:t>4.1 Recomendaciones del ejercicio anterior</w:t>
      </w:r>
    </w:p>
    <w:p w:rsidR="00270FF1" w:rsidRPr="000E4420" w:rsidRDefault="00270FF1" w:rsidP="001F011F">
      <w:pPr>
        <w:pStyle w:val="Sangradetextonormal"/>
        <w:numPr>
          <w:ilvl w:val="2"/>
          <w:numId w:val="5"/>
        </w:numPr>
        <w:tabs>
          <w:tab w:val="clear" w:pos="2552"/>
        </w:tabs>
        <w:rPr>
          <w:b/>
          <w:bCs/>
        </w:rPr>
      </w:pPr>
      <w:r w:rsidRPr="000E4420">
        <w:rPr>
          <w:b/>
          <w:bCs/>
        </w:rPr>
        <w:t>No Cumplidas</w:t>
      </w:r>
    </w:p>
    <w:p w:rsidR="00270FF1" w:rsidRPr="000E4420" w:rsidRDefault="00270FF1" w:rsidP="001F011F">
      <w:pPr>
        <w:pStyle w:val="Textoindependiente"/>
        <w:spacing w:after="0" w:line="360" w:lineRule="auto"/>
        <w:rPr>
          <w:rFonts w:cs="Arial"/>
        </w:rPr>
      </w:pPr>
      <w:r>
        <w:rPr>
          <w:rFonts w:cs="Arial"/>
        </w:rPr>
        <w:t xml:space="preserve">- </w:t>
      </w:r>
      <w:r w:rsidRPr="000E4420">
        <w:rPr>
          <w:rFonts w:cs="Arial"/>
        </w:rPr>
        <w:t xml:space="preserve">No se confeccionó el Estado de Origen y Aplicación de Fondos con el grado de detalle requerido en la normativa </w:t>
      </w:r>
      <w:proofErr w:type="spellStart"/>
      <w:r w:rsidRPr="000E4420">
        <w:rPr>
          <w:rFonts w:cs="Arial"/>
        </w:rPr>
        <w:t>bancocentralista</w:t>
      </w:r>
      <w:proofErr w:type="spellEnd"/>
      <w:r w:rsidRPr="000E4420">
        <w:rPr>
          <w:rFonts w:cs="Arial"/>
        </w:rPr>
        <w:t>. (Numeral 1).</w:t>
      </w:r>
    </w:p>
    <w:p w:rsidR="00270FF1" w:rsidRPr="000E4420" w:rsidRDefault="00270FF1" w:rsidP="001F011F">
      <w:pPr>
        <w:pStyle w:val="Textoindependiente"/>
        <w:spacing w:after="0" w:line="360" w:lineRule="auto"/>
        <w:rPr>
          <w:rFonts w:cs="Arial"/>
        </w:rPr>
      </w:pPr>
      <w:r>
        <w:rPr>
          <w:rFonts w:cs="Arial"/>
        </w:rPr>
        <w:t xml:space="preserve">- </w:t>
      </w:r>
      <w:r w:rsidRPr="000E4420">
        <w:rPr>
          <w:rFonts w:cs="Arial"/>
        </w:rPr>
        <w:t>No se ajustaron las diferencias entre los saldos contables y los inventarios. (Numeral 2.1).</w:t>
      </w:r>
    </w:p>
    <w:p w:rsidR="00270FF1" w:rsidRPr="000E4420" w:rsidRDefault="00270FF1" w:rsidP="001F011F">
      <w:pPr>
        <w:pStyle w:val="Textoindependiente"/>
        <w:spacing w:after="0" w:line="360" w:lineRule="auto"/>
        <w:rPr>
          <w:rFonts w:cs="Arial"/>
        </w:rPr>
      </w:pPr>
      <w:r>
        <w:rPr>
          <w:rFonts w:cs="Arial"/>
        </w:rPr>
        <w:t xml:space="preserve">- </w:t>
      </w:r>
      <w:r w:rsidRPr="000E4420">
        <w:rPr>
          <w:rFonts w:cs="Arial"/>
        </w:rPr>
        <w:t>No se incluyeron en el SIGB los ajustes de exposición que se realizan en el Estado de Resultados y de Situación Patrimonial para adecuarlos a las</w:t>
      </w:r>
      <w:r w:rsidR="0077265D">
        <w:rPr>
          <w:rFonts w:cs="Arial"/>
        </w:rPr>
        <w:t xml:space="preserve"> normas del BCU. (Numeral 2.1).</w:t>
      </w:r>
    </w:p>
    <w:p w:rsidR="00270FF1" w:rsidRPr="000E4420" w:rsidRDefault="00270FF1" w:rsidP="001F011F">
      <w:pPr>
        <w:pStyle w:val="Textoindependiente"/>
        <w:spacing w:after="0" w:line="360" w:lineRule="auto"/>
        <w:rPr>
          <w:rFonts w:cs="Arial"/>
        </w:rPr>
      </w:pPr>
      <w:r>
        <w:rPr>
          <w:rFonts w:cs="Arial"/>
        </w:rPr>
        <w:t xml:space="preserve">- </w:t>
      </w:r>
      <w:r w:rsidRPr="000E4420">
        <w:rPr>
          <w:rFonts w:cs="Arial"/>
        </w:rPr>
        <w:t xml:space="preserve">No se conciliaron las cuentas transitorias y por tanto no se realizaron los ajustes necesarios a efectos de que la cuenta “Rubros no en Balance” presente saldo cero al cierre del </w:t>
      </w:r>
      <w:r>
        <w:rPr>
          <w:rFonts w:cs="Arial"/>
        </w:rPr>
        <w:t>E</w:t>
      </w:r>
      <w:r w:rsidRPr="000E4420">
        <w:rPr>
          <w:rFonts w:cs="Arial"/>
        </w:rPr>
        <w:t>jercicio (Numeral 2.1).</w:t>
      </w:r>
    </w:p>
    <w:p w:rsidR="00270FF1" w:rsidRPr="000E4420" w:rsidRDefault="00270FF1" w:rsidP="001F011F">
      <w:pPr>
        <w:pStyle w:val="Textoindependiente"/>
        <w:spacing w:after="0" w:line="360" w:lineRule="auto"/>
        <w:rPr>
          <w:rFonts w:cs="Arial"/>
        </w:rPr>
      </w:pPr>
      <w:r>
        <w:rPr>
          <w:rFonts w:cs="Arial"/>
        </w:rPr>
        <w:t xml:space="preserve">- </w:t>
      </w:r>
      <w:r w:rsidRPr="000E4420">
        <w:rPr>
          <w:rFonts w:cs="Arial"/>
        </w:rPr>
        <w:t>No se realizaron gestiones a efectos de obtener información sobre las deudas por impuestos y contribución inmobiliaria, tendientes a su contabilización. (Numeral 2.3)</w:t>
      </w:r>
      <w:r w:rsidR="00264B89">
        <w:rPr>
          <w:rFonts w:cs="Arial"/>
        </w:rPr>
        <w:t>.</w:t>
      </w:r>
    </w:p>
    <w:p w:rsidR="00270FF1" w:rsidRPr="000E4420" w:rsidRDefault="00270FF1" w:rsidP="001F011F">
      <w:pPr>
        <w:pStyle w:val="Textoindependiente"/>
        <w:spacing w:after="0" w:line="360" w:lineRule="auto"/>
        <w:rPr>
          <w:rFonts w:cs="Arial"/>
        </w:rPr>
      </w:pPr>
      <w:r>
        <w:rPr>
          <w:rFonts w:cs="Arial"/>
        </w:rPr>
        <w:t xml:space="preserve">- </w:t>
      </w:r>
      <w:r w:rsidRPr="000E4420">
        <w:rPr>
          <w:rFonts w:cs="Arial"/>
        </w:rPr>
        <w:t>No se analizó la situación de los inmuebles ocupados en forma irregular a efectos de incluir en los estados financieros una previsión por el eventual deterioro de los mismos. (Numeral 2.4).</w:t>
      </w:r>
    </w:p>
    <w:p w:rsidR="00270FF1" w:rsidRPr="000E4420" w:rsidRDefault="00270FF1" w:rsidP="001F011F">
      <w:pPr>
        <w:pStyle w:val="Textoindependiente"/>
        <w:spacing w:after="0" w:line="360" w:lineRule="auto"/>
        <w:rPr>
          <w:rFonts w:cs="Arial"/>
        </w:rPr>
      </w:pPr>
      <w:r>
        <w:rPr>
          <w:rFonts w:cs="Arial"/>
        </w:rPr>
        <w:t xml:space="preserve">- </w:t>
      </w:r>
      <w:r w:rsidRPr="000E4420">
        <w:rPr>
          <w:rFonts w:cs="Arial"/>
        </w:rPr>
        <w:t>No se realizaron las gestiones a efectos de actualizar la totalidad de las tasaciones de los bienes en garantía (Numeral 3.1).</w:t>
      </w:r>
    </w:p>
    <w:p w:rsidR="00270FF1" w:rsidRPr="000E4420" w:rsidRDefault="00270FF1" w:rsidP="001F011F">
      <w:pPr>
        <w:pStyle w:val="Textoindependiente"/>
        <w:spacing w:after="0" w:line="360" w:lineRule="auto"/>
        <w:rPr>
          <w:rFonts w:cs="Arial"/>
        </w:rPr>
      </w:pPr>
      <w:r>
        <w:rPr>
          <w:rFonts w:cs="Arial"/>
        </w:rPr>
        <w:t xml:space="preserve">- </w:t>
      </w:r>
      <w:r w:rsidRPr="000E4420">
        <w:rPr>
          <w:rFonts w:cs="Arial"/>
        </w:rPr>
        <w:t xml:space="preserve">No se conciliaron periódicamente con el BHU y la ANV los rubros utilizados para contabilizar la recaudación y gastos </w:t>
      </w:r>
      <w:r w:rsidR="0077265D">
        <w:rPr>
          <w:rFonts w:cs="Arial"/>
        </w:rPr>
        <w:t>del Fideicomiso. (Numeral 3.3).</w:t>
      </w:r>
    </w:p>
    <w:p w:rsidR="00270FF1" w:rsidRPr="000E4420" w:rsidRDefault="00270FF1" w:rsidP="001F011F">
      <w:pPr>
        <w:pStyle w:val="Textoindependiente"/>
        <w:spacing w:after="0" w:line="360" w:lineRule="auto"/>
        <w:rPr>
          <w:rFonts w:cs="Arial"/>
        </w:rPr>
      </w:pPr>
      <w:r>
        <w:rPr>
          <w:rFonts w:cs="Arial"/>
        </w:rPr>
        <w:t xml:space="preserve">- </w:t>
      </w:r>
      <w:r w:rsidRPr="000E4420">
        <w:rPr>
          <w:rFonts w:cs="Arial"/>
        </w:rPr>
        <w:t>No se revisó el Plan de Cuentas ni se efectuaron acciones tendientes a eliminar cuentas sin descripción o clasificadas en capítulos que no corresponden. (Numeral 3.4).</w:t>
      </w:r>
    </w:p>
    <w:p w:rsidR="00270FF1" w:rsidRPr="000E4420" w:rsidRDefault="00270FF1" w:rsidP="001F011F">
      <w:pPr>
        <w:pStyle w:val="Textoindependiente"/>
        <w:spacing w:after="0" w:line="360" w:lineRule="auto"/>
        <w:rPr>
          <w:rFonts w:cs="Arial"/>
        </w:rPr>
      </w:pPr>
      <w:r>
        <w:rPr>
          <w:rFonts w:cs="Arial"/>
        </w:rPr>
        <w:t xml:space="preserve">- </w:t>
      </w:r>
      <w:r w:rsidRPr="000E4420">
        <w:rPr>
          <w:rFonts w:cs="Arial"/>
        </w:rPr>
        <w:t>No se elaboraron manuales que contengan la descripción de funciones de los integrantes del Departamento de Contabilidad de Fideicomisos. (Numeral 3.5).</w:t>
      </w:r>
    </w:p>
    <w:p w:rsidR="00270FF1" w:rsidRPr="000E4420" w:rsidRDefault="00270FF1" w:rsidP="001F011F">
      <w:pPr>
        <w:pStyle w:val="Textoindependiente"/>
        <w:spacing w:after="0" w:line="360" w:lineRule="auto"/>
        <w:rPr>
          <w:rFonts w:cs="Arial"/>
        </w:rPr>
      </w:pPr>
      <w:r>
        <w:rPr>
          <w:rFonts w:cs="Arial"/>
        </w:rPr>
        <w:t xml:space="preserve">- </w:t>
      </w:r>
      <w:r w:rsidRPr="000E4420">
        <w:rPr>
          <w:rFonts w:cs="Arial"/>
        </w:rPr>
        <w:t>No se aumentó la dotación de personal del Departamento de Contabilidad de Fideicomisos a efectos de que no se concentren excesivas tareas en una misma persona. (Numeral 3.6).</w:t>
      </w:r>
    </w:p>
    <w:p w:rsidR="00270FF1" w:rsidRPr="000E4420" w:rsidRDefault="00270FF1" w:rsidP="001F011F">
      <w:pPr>
        <w:pStyle w:val="Textoindependiente"/>
        <w:spacing w:after="0" w:line="360" w:lineRule="auto"/>
        <w:rPr>
          <w:rFonts w:cs="Arial"/>
        </w:rPr>
      </w:pPr>
      <w:r>
        <w:rPr>
          <w:rFonts w:cs="Arial"/>
        </w:rPr>
        <w:t xml:space="preserve">- </w:t>
      </w:r>
      <w:r w:rsidRPr="000E4420">
        <w:rPr>
          <w:rFonts w:cs="Arial"/>
        </w:rPr>
        <w:t>No se realizó un estudio que evalúe los riesgos de la actividad. (Numeral 3.7).</w:t>
      </w:r>
    </w:p>
    <w:p w:rsidR="00270FF1" w:rsidRPr="000E4420" w:rsidRDefault="00270FF1" w:rsidP="00E42745">
      <w:pPr>
        <w:pStyle w:val="Textoindependiente"/>
        <w:spacing w:after="0" w:line="360" w:lineRule="auto"/>
        <w:rPr>
          <w:rFonts w:cs="Arial"/>
        </w:rPr>
      </w:pPr>
    </w:p>
    <w:p w:rsidR="00270FF1" w:rsidRPr="000E4420" w:rsidRDefault="00270FF1" w:rsidP="00A260F3">
      <w:pPr>
        <w:pStyle w:val="Sangradetextonormal"/>
        <w:tabs>
          <w:tab w:val="clear" w:pos="2552"/>
        </w:tabs>
        <w:rPr>
          <w:b/>
          <w:bCs/>
        </w:rPr>
      </w:pPr>
      <w:r w:rsidRPr="000E4420">
        <w:rPr>
          <w:b/>
          <w:bCs/>
        </w:rPr>
        <w:t>4.2  Recomendaciones del presente ejercicio</w:t>
      </w:r>
    </w:p>
    <w:p w:rsidR="00270FF1" w:rsidRPr="000E4420" w:rsidRDefault="00270FF1" w:rsidP="00270FF1">
      <w:pPr>
        <w:pStyle w:val="Sangradetextonormal"/>
        <w:tabs>
          <w:tab w:val="clear" w:pos="2552"/>
        </w:tabs>
        <w:ind w:firstLine="851"/>
      </w:pPr>
      <w:r w:rsidRPr="000E4420">
        <w:t>Se reiteran las recomendaciones no cumplidas de ejercicios anteriores y se formulan las siguientes:</w:t>
      </w:r>
    </w:p>
    <w:p w:rsidR="00270FF1" w:rsidRPr="000E4420" w:rsidRDefault="00270FF1" w:rsidP="001F011F">
      <w:pPr>
        <w:spacing w:line="360" w:lineRule="auto"/>
      </w:pPr>
      <w:r>
        <w:t xml:space="preserve">- </w:t>
      </w:r>
      <w:r w:rsidRPr="000E4420">
        <w:t>Realizar las gestiones necesarias a efectos de remitir los estados financieros del Fideicomiso en los plazos establecidos por la Ordenanza Nº 81</w:t>
      </w:r>
      <w:r>
        <w:t>.</w:t>
      </w:r>
      <w:r w:rsidRPr="000E4420">
        <w:t xml:space="preserve"> </w:t>
      </w:r>
      <w:r>
        <w:t xml:space="preserve">     </w:t>
      </w:r>
      <w:r w:rsidRPr="000E4420">
        <w:t>(Numeral 1).</w:t>
      </w:r>
    </w:p>
    <w:p w:rsidR="00270FF1" w:rsidRPr="000E4420" w:rsidRDefault="00270FF1" w:rsidP="001F011F">
      <w:pPr>
        <w:spacing w:line="360" w:lineRule="auto"/>
      </w:pPr>
      <w:r>
        <w:t xml:space="preserve">- </w:t>
      </w:r>
      <w:r w:rsidRPr="000E4420">
        <w:t>Exponer el efecto del ajuste por inflación en los estados financieros de acuerdo a la normativa banco centralista. (Numeral 1).</w:t>
      </w:r>
    </w:p>
    <w:p w:rsidR="00270FF1" w:rsidRPr="000E4420" w:rsidRDefault="00270FF1" w:rsidP="001F011F">
      <w:pPr>
        <w:pStyle w:val="Textoindependiente"/>
        <w:spacing w:after="0" w:line="360" w:lineRule="auto"/>
        <w:rPr>
          <w:rFonts w:cs="Arial"/>
        </w:rPr>
      </w:pPr>
      <w:r>
        <w:rPr>
          <w:rFonts w:cs="Arial"/>
        </w:rPr>
        <w:t xml:space="preserve">- </w:t>
      </w:r>
      <w:r w:rsidRPr="000E4420">
        <w:rPr>
          <w:rFonts w:cs="Arial"/>
        </w:rPr>
        <w:t>Actualizar  las carpetas de clientes de acuerdo con lo dispuesto por el Artículo 269 de la RNRCSF y Comunicación 2014/2</w:t>
      </w:r>
      <w:r w:rsidR="0077265D">
        <w:rPr>
          <w:rFonts w:cs="Arial"/>
        </w:rPr>
        <w:t>10 del BCU (Numeral 2.2 y 3.1).</w:t>
      </w:r>
    </w:p>
    <w:p w:rsidR="00270FF1" w:rsidRDefault="00270FF1" w:rsidP="001F011F">
      <w:pPr>
        <w:pStyle w:val="Textoindependiente"/>
        <w:spacing w:after="0" w:line="360" w:lineRule="auto"/>
        <w:rPr>
          <w:rFonts w:cs="Arial"/>
        </w:rPr>
      </w:pPr>
    </w:p>
    <w:p w:rsidR="00270FF1" w:rsidRPr="000E4420" w:rsidRDefault="00270FF1" w:rsidP="001F011F">
      <w:pPr>
        <w:pStyle w:val="Textoindependiente"/>
        <w:spacing w:after="0" w:line="360" w:lineRule="auto"/>
        <w:rPr>
          <w:rFonts w:cs="Arial"/>
        </w:rPr>
      </w:pPr>
      <w:r>
        <w:rPr>
          <w:rFonts w:cs="Arial"/>
        </w:rPr>
        <w:t xml:space="preserve">- </w:t>
      </w:r>
      <w:r w:rsidRPr="000E4420">
        <w:rPr>
          <w:rFonts w:cs="Arial"/>
        </w:rPr>
        <w:t>Instrumentar los mecanismos necesarios a efectos de lograr la integridad de los inventarios de inmuebles y créditos. (Numeral 3.2)</w:t>
      </w:r>
      <w:r w:rsidR="00264B89">
        <w:rPr>
          <w:rFonts w:cs="Arial"/>
        </w:rPr>
        <w:t>.</w:t>
      </w:r>
    </w:p>
    <w:p w:rsidR="00270FF1" w:rsidRPr="000E4420" w:rsidRDefault="00270FF1" w:rsidP="005D365A">
      <w:pPr>
        <w:pStyle w:val="Textonormal"/>
        <w:suppressAutoHyphens w:val="0"/>
        <w:spacing w:line="360" w:lineRule="auto"/>
        <w:jc w:val="right"/>
        <w:rPr>
          <w:rFonts w:ascii="Arial" w:hAnsi="Arial" w:cs="Arial"/>
        </w:rPr>
      </w:pPr>
      <w:r w:rsidRPr="000E4420">
        <w:rPr>
          <w:rFonts w:ascii="Arial" w:hAnsi="Arial" w:cs="Arial"/>
        </w:rPr>
        <w:t>Montevideo, 27 de enero de 2016</w:t>
      </w:r>
    </w:p>
    <w:p w:rsidR="00270FF1" w:rsidRDefault="00270FF1">
      <w:proofErr w:type="spellStart"/>
      <w:proofErr w:type="gramStart"/>
      <w:r>
        <w:t>bf</w:t>
      </w:r>
      <w:proofErr w:type="spellEnd"/>
      <w:proofErr w:type="gramEnd"/>
    </w:p>
    <w:sectPr w:rsidR="00270FF1" w:rsidSect="00761291">
      <w:footerReference w:type="default" r:id="rId9"/>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EDA" w:rsidRDefault="00F53EDA" w:rsidP="00981557">
      <w:pPr>
        <w:spacing w:after="0" w:line="240" w:lineRule="auto"/>
      </w:pPr>
      <w:r>
        <w:separator/>
      </w:r>
    </w:p>
  </w:endnote>
  <w:endnote w:type="continuationSeparator" w:id="0">
    <w:p w:rsidR="00F53EDA" w:rsidRDefault="00F53EDA" w:rsidP="00981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585605"/>
      <w:docPartObj>
        <w:docPartGallery w:val="Page Numbers (Bottom of Page)"/>
        <w:docPartUnique/>
      </w:docPartObj>
    </w:sdtPr>
    <w:sdtEndPr/>
    <w:sdtContent>
      <w:p w:rsidR="00F53EDA" w:rsidRDefault="00F53EDA">
        <w:pPr>
          <w:pStyle w:val="Piedepgina"/>
          <w:jc w:val="right"/>
        </w:pPr>
        <w:r>
          <w:fldChar w:fldCharType="begin"/>
        </w:r>
        <w:r>
          <w:instrText>PAGE   \* MERGEFORMAT</w:instrText>
        </w:r>
        <w:r>
          <w:fldChar w:fldCharType="separate"/>
        </w:r>
        <w:r w:rsidR="00264B89" w:rsidRPr="00264B89">
          <w:rPr>
            <w:noProof/>
            <w:lang w:val="es-ES"/>
          </w:rPr>
          <w:t>1</w:t>
        </w:r>
        <w:r>
          <w:fldChar w:fldCharType="end"/>
        </w:r>
      </w:p>
    </w:sdtContent>
  </w:sdt>
  <w:p w:rsidR="00F53EDA" w:rsidRDefault="00F53E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EDA" w:rsidRDefault="00F53EDA" w:rsidP="00981557">
      <w:pPr>
        <w:spacing w:after="0" w:line="240" w:lineRule="auto"/>
      </w:pPr>
      <w:r>
        <w:separator/>
      </w:r>
    </w:p>
  </w:footnote>
  <w:footnote w:type="continuationSeparator" w:id="0">
    <w:p w:rsidR="00F53EDA" w:rsidRDefault="00F53EDA" w:rsidP="009815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E5B86"/>
    <w:multiLevelType w:val="hybridMultilevel"/>
    <w:tmpl w:val="85A46038"/>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30E62E5E"/>
    <w:multiLevelType w:val="hybridMultilevel"/>
    <w:tmpl w:val="C51401D4"/>
    <w:lvl w:ilvl="0" w:tplc="B9A0B92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87F1144"/>
    <w:multiLevelType w:val="singleLevel"/>
    <w:tmpl w:val="5D2E27A4"/>
    <w:lvl w:ilvl="0">
      <w:start w:val="1"/>
      <w:numFmt w:val="decimal"/>
      <w:lvlText w:val="%1)"/>
      <w:lvlJc w:val="left"/>
      <w:pPr>
        <w:tabs>
          <w:tab w:val="num" w:pos="567"/>
        </w:tabs>
        <w:ind w:left="567" w:hanging="567"/>
      </w:pPr>
      <w:rPr>
        <w:rFonts w:cs="Times New Roman"/>
        <w:b/>
        <w:i w:val="0"/>
      </w:rPr>
    </w:lvl>
  </w:abstractNum>
  <w:abstractNum w:abstractNumId="3">
    <w:nsid w:val="74583153"/>
    <w:multiLevelType w:val="multilevel"/>
    <w:tmpl w:val="D98C5DA8"/>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7B1D6350"/>
    <w:multiLevelType w:val="hybridMultilevel"/>
    <w:tmpl w:val="9BFA35AE"/>
    <w:lvl w:ilvl="0" w:tplc="6AE8D750">
      <w:numFmt w:val="bullet"/>
      <w:lvlText w:val="-"/>
      <w:lvlJc w:val="left"/>
      <w:pPr>
        <w:ind w:left="107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2D4"/>
    <w:rsid w:val="000123A1"/>
    <w:rsid w:val="00021E9C"/>
    <w:rsid w:val="000236E7"/>
    <w:rsid w:val="0003499F"/>
    <w:rsid w:val="00035854"/>
    <w:rsid w:val="000428C9"/>
    <w:rsid w:val="00046E18"/>
    <w:rsid w:val="00061EB6"/>
    <w:rsid w:val="000766F0"/>
    <w:rsid w:val="00084B82"/>
    <w:rsid w:val="000856D2"/>
    <w:rsid w:val="00087E83"/>
    <w:rsid w:val="000B1CD5"/>
    <w:rsid w:val="000B3ED3"/>
    <w:rsid w:val="000B43D9"/>
    <w:rsid w:val="000C1701"/>
    <w:rsid w:val="000D28EB"/>
    <w:rsid w:val="000E4420"/>
    <w:rsid w:val="000F6CE3"/>
    <w:rsid w:val="0010682A"/>
    <w:rsid w:val="0010703E"/>
    <w:rsid w:val="00112ECE"/>
    <w:rsid w:val="00117614"/>
    <w:rsid w:val="001200F9"/>
    <w:rsid w:val="00126C3D"/>
    <w:rsid w:val="00142E82"/>
    <w:rsid w:val="001531C2"/>
    <w:rsid w:val="001A6320"/>
    <w:rsid w:val="001C1E27"/>
    <w:rsid w:val="001C71A3"/>
    <w:rsid w:val="001F011F"/>
    <w:rsid w:val="00213FC6"/>
    <w:rsid w:val="00241E42"/>
    <w:rsid w:val="00255009"/>
    <w:rsid w:val="00264B89"/>
    <w:rsid w:val="00270FF1"/>
    <w:rsid w:val="002750E2"/>
    <w:rsid w:val="00281668"/>
    <w:rsid w:val="00297C1A"/>
    <w:rsid w:val="002D3E6A"/>
    <w:rsid w:val="00346E17"/>
    <w:rsid w:val="0035286D"/>
    <w:rsid w:val="003649A1"/>
    <w:rsid w:val="003733A8"/>
    <w:rsid w:val="0039139D"/>
    <w:rsid w:val="003A30E7"/>
    <w:rsid w:val="003A7850"/>
    <w:rsid w:val="003C39AB"/>
    <w:rsid w:val="003D5362"/>
    <w:rsid w:val="003F2675"/>
    <w:rsid w:val="00406055"/>
    <w:rsid w:val="00410FA1"/>
    <w:rsid w:val="0042598C"/>
    <w:rsid w:val="004571C2"/>
    <w:rsid w:val="00466B56"/>
    <w:rsid w:val="00476AC8"/>
    <w:rsid w:val="00485781"/>
    <w:rsid w:val="0049217B"/>
    <w:rsid w:val="004C6BE9"/>
    <w:rsid w:val="004D236A"/>
    <w:rsid w:val="004D33CB"/>
    <w:rsid w:val="00511694"/>
    <w:rsid w:val="00520EB5"/>
    <w:rsid w:val="005607C2"/>
    <w:rsid w:val="00563F96"/>
    <w:rsid w:val="00580FD1"/>
    <w:rsid w:val="005916EA"/>
    <w:rsid w:val="005B0DFF"/>
    <w:rsid w:val="005B6A2C"/>
    <w:rsid w:val="005D1BA8"/>
    <w:rsid w:val="005D365A"/>
    <w:rsid w:val="005F24B0"/>
    <w:rsid w:val="005F4621"/>
    <w:rsid w:val="0060449B"/>
    <w:rsid w:val="00606410"/>
    <w:rsid w:val="00610602"/>
    <w:rsid w:val="00617B01"/>
    <w:rsid w:val="00620A0E"/>
    <w:rsid w:val="00641022"/>
    <w:rsid w:val="00646095"/>
    <w:rsid w:val="00665D25"/>
    <w:rsid w:val="0068419D"/>
    <w:rsid w:val="00697624"/>
    <w:rsid w:val="006B631B"/>
    <w:rsid w:val="006D1C17"/>
    <w:rsid w:val="006D668D"/>
    <w:rsid w:val="006D7A5D"/>
    <w:rsid w:val="006F7958"/>
    <w:rsid w:val="00705BBB"/>
    <w:rsid w:val="00761291"/>
    <w:rsid w:val="00767324"/>
    <w:rsid w:val="0077265D"/>
    <w:rsid w:val="007A32B7"/>
    <w:rsid w:val="007B444E"/>
    <w:rsid w:val="007C42D4"/>
    <w:rsid w:val="007F2304"/>
    <w:rsid w:val="00806D17"/>
    <w:rsid w:val="00823474"/>
    <w:rsid w:val="0085471B"/>
    <w:rsid w:val="00861EBD"/>
    <w:rsid w:val="00877028"/>
    <w:rsid w:val="00880341"/>
    <w:rsid w:val="00880B5A"/>
    <w:rsid w:val="00896539"/>
    <w:rsid w:val="008A7F9A"/>
    <w:rsid w:val="008B7F54"/>
    <w:rsid w:val="008C5E48"/>
    <w:rsid w:val="008D3ABE"/>
    <w:rsid w:val="009011B5"/>
    <w:rsid w:val="00903A16"/>
    <w:rsid w:val="00913D2C"/>
    <w:rsid w:val="0091465B"/>
    <w:rsid w:val="00935A8B"/>
    <w:rsid w:val="00944638"/>
    <w:rsid w:val="009535DF"/>
    <w:rsid w:val="009571A1"/>
    <w:rsid w:val="009753EC"/>
    <w:rsid w:val="00981557"/>
    <w:rsid w:val="00983638"/>
    <w:rsid w:val="009A7230"/>
    <w:rsid w:val="009A7792"/>
    <w:rsid w:val="009B4CDD"/>
    <w:rsid w:val="009C34B9"/>
    <w:rsid w:val="009E0DD9"/>
    <w:rsid w:val="00A13D92"/>
    <w:rsid w:val="00A260F3"/>
    <w:rsid w:val="00A45DE3"/>
    <w:rsid w:val="00A60CE0"/>
    <w:rsid w:val="00A90CA6"/>
    <w:rsid w:val="00A95F9E"/>
    <w:rsid w:val="00AB7A6C"/>
    <w:rsid w:val="00AD1183"/>
    <w:rsid w:val="00AE1040"/>
    <w:rsid w:val="00AE2D99"/>
    <w:rsid w:val="00B30A68"/>
    <w:rsid w:val="00B35BD4"/>
    <w:rsid w:val="00B913F0"/>
    <w:rsid w:val="00BD64FE"/>
    <w:rsid w:val="00BE2C90"/>
    <w:rsid w:val="00BF1D4A"/>
    <w:rsid w:val="00C07CF2"/>
    <w:rsid w:val="00C132C2"/>
    <w:rsid w:val="00C32114"/>
    <w:rsid w:val="00C34F40"/>
    <w:rsid w:val="00C464D8"/>
    <w:rsid w:val="00C5092D"/>
    <w:rsid w:val="00C6291E"/>
    <w:rsid w:val="00C70883"/>
    <w:rsid w:val="00C8161D"/>
    <w:rsid w:val="00C8421E"/>
    <w:rsid w:val="00C85830"/>
    <w:rsid w:val="00CA1C6C"/>
    <w:rsid w:val="00CC278F"/>
    <w:rsid w:val="00CD154B"/>
    <w:rsid w:val="00CE425F"/>
    <w:rsid w:val="00CE7FFE"/>
    <w:rsid w:val="00D16C98"/>
    <w:rsid w:val="00D214CD"/>
    <w:rsid w:val="00D25E65"/>
    <w:rsid w:val="00D45264"/>
    <w:rsid w:val="00D62741"/>
    <w:rsid w:val="00D83966"/>
    <w:rsid w:val="00DA7255"/>
    <w:rsid w:val="00DA7A53"/>
    <w:rsid w:val="00DB6C4E"/>
    <w:rsid w:val="00E0262B"/>
    <w:rsid w:val="00E1019F"/>
    <w:rsid w:val="00E42745"/>
    <w:rsid w:val="00E5600D"/>
    <w:rsid w:val="00E633CD"/>
    <w:rsid w:val="00E80969"/>
    <w:rsid w:val="00EA0DDA"/>
    <w:rsid w:val="00EB14D1"/>
    <w:rsid w:val="00EB5CFB"/>
    <w:rsid w:val="00EB60DC"/>
    <w:rsid w:val="00F05A2A"/>
    <w:rsid w:val="00F14BED"/>
    <w:rsid w:val="00F22FB7"/>
    <w:rsid w:val="00F53EDA"/>
    <w:rsid w:val="00F54AD7"/>
    <w:rsid w:val="00F721C9"/>
    <w:rsid w:val="00F81E4F"/>
    <w:rsid w:val="00F84E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sz w:val="24"/>
      <w:szCs w:val="22"/>
      <w:lang w:val="es-UY" w:eastAsia="en-US"/>
    </w:rPr>
  </w:style>
  <w:style w:type="paragraph" w:styleId="Ttulo4">
    <w:name w:val="heading 4"/>
    <w:basedOn w:val="Normal"/>
    <w:next w:val="Normal"/>
    <w:link w:val="Ttulo4Car"/>
    <w:qFormat/>
    <w:rsid w:val="007C42D4"/>
    <w:pPr>
      <w:keepNext/>
      <w:spacing w:after="0" w:line="360" w:lineRule="auto"/>
      <w:jc w:val="center"/>
      <w:outlineLvl w:val="3"/>
    </w:pPr>
    <w:rPr>
      <w:rFonts w:eastAsia="Times New Roman" w:cs="Arial"/>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7C42D4"/>
    <w:rPr>
      <w:rFonts w:eastAsia="Times New Roman" w:cs="Arial"/>
      <w:b/>
      <w:bCs/>
      <w:sz w:val="24"/>
      <w:szCs w:val="24"/>
      <w:lang w:val="es-ES" w:eastAsia="es-ES"/>
    </w:rPr>
  </w:style>
  <w:style w:type="paragraph" w:styleId="Sangradetextonormal">
    <w:name w:val="Body Text Indent"/>
    <w:basedOn w:val="Normal"/>
    <w:link w:val="SangradetextonormalCar"/>
    <w:semiHidden/>
    <w:rsid w:val="007C42D4"/>
    <w:pPr>
      <w:tabs>
        <w:tab w:val="left" w:pos="2552"/>
      </w:tabs>
      <w:spacing w:after="0" w:line="360" w:lineRule="auto"/>
    </w:pPr>
    <w:rPr>
      <w:rFonts w:eastAsia="Times New Roman" w:cs="Arial"/>
      <w:szCs w:val="20"/>
      <w:lang w:val="es-MX" w:eastAsia="es-ES"/>
    </w:rPr>
  </w:style>
  <w:style w:type="character" w:customStyle="1" w:styleId="SangradetextonormalCar">
    <w:name w:val="Sangría de texto normal Car"/>
    <w:link w:val="Sangradetextonormal"/>
    <w:semiHidden/>
    <w:rsid w:val="007C42D4"/>
    <w:rPr>
      <w:rFonts w:eastAsia="Times New Roman" w:cs="Arial"/>
      <w:sz w:val="24"/>
      <w:lang w:val="es-MX" w:eastAsia="es-ES"/>
    </w:rPr>
  </w:style>
  <w:style w:type="paragraph" w:customStyle="1" w:styleId="Textonormal">
    <w:name w:val="Texto normal"/>
    <w:basedOn w:val="Textoindependiente"/>
    <w:rsid w:val="007C42D4"/>
    <w:pPr>
      <w:widowControl w:val="0"/>
      <w:tabs>
        <w:tab w:val="left" w:pos="-720"/>
      </w:tabs>
      <w:suppressAutoHyphens/>
      <w:spacing w:after="0" w:line="480" w:lineRule="auto"/>
    </w:pPr>
    <w:rPr>
      <w:rFonts w:ascii="Courier" w:eastAsia="Times New Roman" w:hAnsi="Courier"/>
      <w:snapToGrid w:val="0"/>
      <w:spacing w:val="-3"/>
      <w:szCs w:val="20"/>
      <w:lang w:val="es-ES_tradnl" w:eastAsia="es-ES"/>
    </w:rPr>
  </w:style>
  <w:style w:type="paragraph" w:styleId="Encabezado">
    <w:name w:val="header"/>
    <w:basedOn w:val="Normal"/>
    <w:link w:val="EncabezadoCar"/>
    <w:semiHidden/>
    <w:rsid w:val="007C42D4"/>
    <w:pPr>
      <w:tabs>
        <w:tab w:val="center" w:pos="4252"/>
        <w:tab w:val="right" w:pos="8504"/>
      </w:tabs>
      <w:spacing w:after="0" w:line="240" w:lineRule="auto"/>
      <w:jc w:val="left"/>
    </w:pPr>
    <w:rPr>
      <w:rFonts w:eastAsia="Times New Roman"/>
      <w:szCs w:val="24"/>
      <w:lang w:val="es-ES" w:eastAsia="es-ES"/>
    </w:rPr>
  </w:style>
  <w:style w:type="character" w:customStyle="1" w:styleId="EncabezadoCar">
    <w:name w:val="Encabezado Car"/>
    <w:link w:val="Encabezado"/>
    <w:semiHidden/>
    <w:rsid w:val="007C42D4"/>
    <w:rPr>
      <w:rFonts w:eastAsia="Times New Roman"/>
      <w:sz w:val="24"/>
      <w:szCs w:val="24"/>
      <w:lang w:val="es-ES" w:eastAsia="es-ES"/>
    </w:rPr>
  </w:style>
  <w:style w:type="paragraph" w:styleId="Textoindependiente">
    <w:name w:val="Body Text"/>
    <w:basedOn w:val="Normal"/>
    <w:link w:val="TextoindependienteCar"/>
    <w:unhideWhenUsed/>
    <w:rsid w:val="007C42D4"/>
    <w:pPr>
      <w:spacing w:after="120"/>
    </w:pPr>
  </w:style>
  <w:style w:type="character" w:customStyle="1" w:styleId="TextoindependienteCar">
    <w:name w:val="Texto independiente Car"/>
    <w:link w:val="Textoindependiente"/>
    <w:rsid w:val="007C42D4"/>
    <w:rPr>
      <w:sz w:val="24"/>
      <w:szCs w:val="22"/>
      <w:lang w:eastAsia="en-US"/>
    </w:rPr>
  </w:style>
  <w:style w:type="paragraph" w:styleId="Textoindependiente2">
    <w:name w:val="Body Text 2"/>
    <w:basedOn w:val="Normal"/>
    <w:link w:val="Textoindependiente2Car"/>
    <w:unhideWhenUsed/>
    <w:rsid w:val="00A260F3"/>
    <w:pPr>
      <w:spacing w:after="120" w:line="480" w:lineRule="auto"/>
      <w:jc w:val="left"/>
    </w:pPr>
    <w:rPr>
      <w:rFonts w:eastAsia="Times New Roman"/>
      <w:szCs w:val="24"/>
      <w:lang w:val="es-ES" w:eastAsia="es-ES"/>
    </w:rPr>
  </w:style>
  <w:style w:type="character" w:customStyle="1" w:styleId="Textoindependiente2Car">
    <w:name w:val="Texto independiente 2 Car"/>
    <w:link w:val="Textoindependiente2"/>
    <w:rsid w:val="00A260F3"/>
    <w:rPr>
      <w:rFonts w:eastAsia="Times New Roman"/>
      <w:sz w:val="24"/>
      <w:szCs w:val="24"/>
      <w:lang w:val="es-ES" w:eastAsia="es-ES"/>
    </w:rPr>
  </w:style>
  <w:style w:type="paragraph" w:styleId="Ttulo">
    <w:name w:val="Title"/>
    <w:basedOn w:val="Normal"/>
    <w:link w:val="TtuloCar"/>
    <w:qFormat/>
    <w:rsid w:val="00A260F3"/>
    <w:pPr>
      <w:spacing w:after="0" w:line="360" w:lineRule="auto"/>
      <w:jc w:val="center"/>
    </w:pPr>
    <w:rPr>
      <w:rFonts w:eastAsia="Times New Roman" w:cs="Arial"/>
      <w:b/>
      <w:bCs/>
      <w:szCs w:val="24"/>
      <w:lang w:val="es-ES" w:eastAsia="es-ES"/>
    </w:rPr>
  </w:style>
  <w:style w:type="character" w:customStyle="1" w:styleId="TtuloCar">
    <w:name w:val="Título Car"/>
    <w:link w:val="Ttulo"/>
    <w:rsid w:val="00A260F3"/>
    <w:rPr>
      <w:rFonts w:eastAsia="Times New Roman" w:cs="Arial"/>
      <w:b/>
      <w:bCs/>
      <w:sz w:val="24"/>
      <w:szCs w:val="24"/>
      <w:lang w:val="es-ES" w:eastAsia="es-ES"/>
    </w:rPr>
  </w:style>
  <w:style w:type="paragraph" w:styleId="Sangra3detindependiente">
    <w:name w:val="Body Text Indent 3"/>
    <w:basedOn w:val="Normal"/>
    <w:link w:val="Sangra3detindependienteCar"/>
    <w:semiHidden/>
    <w:rsid w:val="00A260F3"/>
    <w:pPr>
      <w:spacing w:after="120" w:line="240" w:lineRule="auto"/>
      <w:ind w:left="283"/>
      <w:jc w:val="left"/>
    </w:pPr>
    <w:rPr>
      <w:rFonts w:ascii="Times New Roman" w:eastAsia="Times New Roman" w:hAnsi="Times New Roman"/>
      <w:sz w:val="16"/>
      <w:szCs w:val="16"/>
      <w:lang w:val="es-ES" w:eastAsia="es-ES"/>
    </w:rPr>
  </w:style>
  <w:style w:type="character" w:customStyle="1" w:styleId="Sangra3detindependienteCar">
    <w:name w:val="Sangría 3 de t. independiente Car"/>
    <w:link w:val="Sangra3detindependiente"/>
    <w:semiHidden/>
    <w:rsid w:val="00A260F3"/>
    <w:rPr>
      <w:rFonts w:ascii="Times New Roman" w:eastAsia="Times New Roman" w:hAnsi="Times New Roman"/>
      <w:sz w:val="16"/>
      <w:szCs w:val="16"/>
      <w:lang w:val="es-ES" w:eastAsia="es-ES"/>
    </w:rPr>
  </w:style>
  <w:style w:type="paragraph" w:styleId="Sangra2detindependiente">
    <w:name w:val="Body Text Indent 2"/>
    <w:basedOn w:val="Normal"/>
    <w:link w:val="Sangra2detindependienteCar"/>
    <w:unhideWhenUsed/>
    <w:rsid w:val="00A260F3"/>
    <w:pPr>
      <w:spacing w:after="120" w:line="480" w:lineRule="auto"/>
      <w:ind w:left="283"/>
      <w:jc w:val="left"/>
    </w:pPr>
    <w:rPr>
      <w:rFonts w:eastAsia="Times New Roman"/>
      <w:szCs w:val="24"/>
      <w:lang w:val="es-ES" w:eastAsia="es-ES"/>
    </w:rPr>
  </w:style>
  <w:style w:type="character" w:customStyle="1" w:styleId="Sangra2detindependienteCar">
    <w:name w:val="Sangría 2 de t. independiente Car"/>
    <w:link w:val="Sangra2detindependiente"/>
    <w:rsid w:val="00A260F3"/>
    <w:rPr>
      <w:rFonts w:eastAsia="Times New Roman"/>
      <w:sz w:val="24"/>
      <w:szCs w:val="24"/>
      <w:lang w:val="es-ES" w:eastAsia="es-ES"/>
    </w:rPr>
  </w:style>
  <w:style w:type="paragraph" w:styleId="Textodeglobo">
    <w:name w:val="Balloon Text"/>
    <w:basedOn w:val="Normal"/>
    <w:link w:val="TextodegloboCar"/>
    <w:uiPriority w:val="99"/>
    <w:semiHidden/>
    <w:unhideWhenUsed/>
    <w:rsid w:val="0028166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81668"/>
    <w:rPr>
      <w:rFonts w:ascii="Tahoma" w:hAnsi="Tahoma" w:cs="Tahoma"/>
      <w:sz w:val="16"/>
      <w:szCs w:val="16"/>
      <w:lang w:val="es-UY" w:eastAsia="en-US"/>
    </w:rPr>
  </w:style>
  <w:style w:type="paragraph" w:styleId="Prrafodelista">
    <w:name w:val="List Paragraph"/>
    <w:basedOn w:val="Normal"/>
    <w:uiPriority w:val="34"/>
    <w:qFormat/>
    <w:rsid w:val="00213FC6"/>
    <w:pPr>
      <w:ind w:left="720"/>
      <w:contextualSpacing/>
    </w:pPr>
  </w:style>
  <w:style w:type="paragraph" w:styleId="Piedepgina">
    <w:name w:val="footer"/>
    <w:basedOn w:val="Normal"/>
    <w:link w:val="PiedepginaCar"/>
    <w:uiPriority w:val="99"/>
    <w:unhideWhenUsed/>
    <w:rsid w:val="009815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1557"/>
    <w:rPr>
      <w:sz w:val="24"/>
      <w:szCs w:val="22"/>
      <w:lang w:val="es-UY"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sz w:val="24"/>
      <w:szCs w:val="22"/>
      <w:lang w:val="es-UY" w:eastAsia="en-US"/>
    </w:rPr>
  </w:style>
  <w:style w:type="paragraph" w:styleId="Ttulo4">
    <w:name w:val="heading 4"/>
    <w:basedOn w:val="Normal"/>
    <w:next w:val="Normal"/>
    <w:link w:val="Ttulo4Car"/>
    <w:qFormat/>
    <w:rsid w:val="007C42D4"/>
    <w:pPr>
      <w:keepNext/>
      <w:spacing w:after="0" w:line="360" w:lineRule="auto"/>
      <w:jc w:val="center"/>
      <w:outlineLvl w:val="3"/>
    </w:pPr>
    <w:rPr>
      <w:rFonts w:eastAsia="Times New Roman" w:cs="Arial"/>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7C42D4"/>
    <w:rPr>
      <w:rFonts w:eastAsia="Times New Roman" w:cs="Arial"/>
      <w:b/>
      <w:bCs/>
      <w:sz w:val="24"/>
      <w:szCs w:val="24"/>
      <w:lang w:val="es-ES" w:eastAsia="es-ES"/>
    </w:rPr>
  </w:style>
  <w:style w:type="paragraph" w:styleId="Sangradetextonormal">
    <w:name w:val="Body Text Indent"/>
    <w:basedOn w:val="Normal"/>
    <w:link w:val="SangradetextonormalCar"/>
    <w:semiHidden/>
    <w:rsid w:val="007C42D4"/>
    <w:pPr>
      <w:tabs>
        <w:tab w:val="left" w:pos="2552"/>
      </w:tabs>
      <w:spacing w:after="0" w:line="360" w:lineRule="auto"/>
    </w:pPr>
    <w:rPr>
      <w:rFonts w:eastAsia="Times New Roman" w:cs="Arial"/>
      <w:szCs w:val="20"/>
      <w:lang w:val="es-MX" w:eastAsia="es-ES"/>
    </w:rPr>
  </w:style>
  <w:style w:type="character" w:customStyle="1" w:styleId="SangradetextonormalCar">
    <w:name w:val="Sangría de texto normal Car"/>
    <w:link w:val="Sangradetextonormal"/>
    <w:semiHidden/>
    <w:rsid w:val="007C42D4"/>
    <w:rPr>
      <w:rFonts w:eastAsia="Times New Roman" w:cs="Arial"/>
      <w:sz w:val="24"/>
      <w:lang w:val="es-MX" w:eastAsia="es-ES"/>
    </w:rPr>
  </w:style>
  <w:style w:type="paragraph" w:customStyle="1" w:styleId="Textonormal">
    <w:name w:val="Texto normal"/>
    <w:basedOn w:val="Textoindependiente"/>
    <w:rsid w:val="007C42D4"/>
    <w:pPr>
      <w:widowControl w:val="0"/>
      <w:tabs>
        <w:tab w:val="left" w:pos="-720"/>
      </w:tabs>
      <w:suppressAutoHyphens/>
      <w:spacing w:after="0" w:line="480" w:lineRule="auto"/>
    </w:pPr>
    <w:rPr>
      <w:rFonts w:ascii="Courier" w:eastAsia="Times New Roman" w:hAnsi="Courier"/>
      <w:snapToGrid w:val="0"/>
      <w:spacing w:val="-3"/>
      <w:szCs w:val="20"/>
      <w:lang w:val="es-ES_tradnl" w:eastAsia="es-ES"/>
    </w:rPr>
  </w:style>
  <w:style w:type="paragraph" w:styleId="Encabezado">
    <w:name w:val="header"/>
    <w:basedOn w:val="Normal"/>
    <w:link w:val="EncabezadoCar"/>
    <w:semiHidden/>
    <w:rsid w:val="007C42D4"/>
    <w:pPr>
      <w:tabs>
        <w:tab w:val="center" w:pos="4252"/>
        <w:tab w:val="right" w:pos="8504"/>
      </w:tabs>
      <w:spacing w:after="0" w:line="240" w:lineRule="auto"/>
      <w:jc w:val="left"/>
    </w:pPr>
    <w:rPr>
      <w:rFonts w:eastAsia="Times New Roman"/>
      <w:szCs w:val="24"/>
      <w:lang w:val="es-ES" w:eastAsia="es-ES"/>
    </w:rPr>
  </w:style>
  <w:style w:type="character" w:customStyle="1" w:styleId="EncabezadoCar">
    <w:name w:val="Encabezado Car"/>
    <w:link w:val="Encabezado"/>
    <w:semiHidden/>
    <w:rsid w:val="007C42D4"/>
    <w:rPr>
      <w:rFonts w:eastAsia="Times New Roman"/>
      <w:sz w:val="24"/>
      <w:szCs w:val="24"/>
      <w:lang w:val="es-ES" w:eastAsia="es-ES"/>
    </w:rPr>
  </w:style>
  <w:style w:type="paragraph" w:styleId="Textoindependiente">
    <w:name w:val="Body Text"/>
    <w:basedOn w:val="Normal"/>
    <w:link w:val="TextoindependienteCar"/>
    <w:unhideWhenUsed/>
    <w:rsid w:val="007C42D4"/>
    <w:pPr>
      <w:spacing w:after="120"/>
    </w:pPr>
  </w:style>
  <w:style w:type="character" w:customStyle="1" w:styleId="TextoindependienteCar">
    <w:name w:val="Texto independiente Car"/>
    <w:link w:val="Textoindependiente"/>
    <w:rsid w:val="007C42D4"/>
    <w:rPr>
      <w:sz w:val="24"/>
      <w:szCs w:val="22"/>
      <w:lang w:eastAsia="en-US"/>
    </w:rPr>
  </w:style>
  <w:style w:type="paragraph" w:styleId="Textoindependiente2">
    <w:name w:val="Body Text 2"/>
    <w:basedOn w:val="Normal"/>
    <w:link w:val="Textoindependiente2Car"/>
    <w:unhideWhenUsed/>
    <w:rsid w:val="00A260F3"/>
    <w:pPr>
      <w:spacing w:after="120" w:line="480" w:lineRule="auto"/>
      <w:jc w:val="left"/>
    </w:pPr>
    <w:rPr>
      <w:rFonts w:eastAsia="Times New Roman"/>
      <w:szCs w:val="24"/>
      <w:lang w:val="es-ES" w:eastAsia="es-ES"/>
    </w:rPr>
  </w:style>
  <w:style w:type="character" w:customStyle="1" w:styleId="Textoindependiente2Car">
    <w:name w:val="Texto independiente 2 Car"/>
    <w:link w:val="Textoindependiente2"/>
    <w:rsid w:val="00A260F3"/>
    <w:rPr>
      <w:rFonts w:eastAsia="Times New Roman"/>
      <w:sz w:val="24"/>
      <w:szCs w:val="24"/>
      <w:lang w:val="es-ES" w:eastAsia="es-ES"/>
    </w:rPr>
  </w:style>
  <w:style w:type="paragraph" w:styleId="Ttulo">
    <w:name w:val="Title"/>
    <w:basedOn w:val="Normal"/>
    <w:link w:val="TtuloCar"/>
    <w:qFormat/>
    <w:rsid w:val="00A260F3"/>
    <w:pPr>
      <w:spacing w:after="0" w:line="360" w:lineRule="auto"/>
      <w:jc w:val="center"/>
    </w:pPr>
    <w:rPr>
      <w:rFonts w:eastAsia="Times New Roman" w:cs="Arial"/>
      <w:b/>
      <w:bCs/>
      <w:szCs w:val="24"/>
      <w:lang w:val="es-ES" w:eastAsia="es-ES"/>
    </w:rPr>
  </w:style>
  <w:style w:type="character" w:customStyle="1" w:styleId="TtuloCar">
    <w:name w:val="Título Car"/>
    <w:link w:val="Ttulo"/>
    <w:rsid w:val="00A260F3"/>
    <w:rPr>
      <w:rFonts w:eastAsia="Times New Roman" w:cs="Arial"/>
      <w:b/>
      <w:bCs/>
      <w:sz w:val="24"/>
      <w:szCs w:val="24"/>
      <w:lang w:val="es-ES" w:eastAsia="es-ES"/>
    </w:rPr>
  </w:style>
  <w:style w:type="paragraph" w:styleId="Sangra3detindependiente">
    <w:name w:val="Body Text Indent 3"/>
    <w:basedOn w:val="Normal"/>
    <w:link w:val="Sangra3detindependienteCar"/>
    <w:semiHidden/>
    <w:rsid w:val="00A260F3"/>
    <w:pPr>
      <w:spacing w:after="120" w:line="240" w:lineRule="auto"/>
      <w:ind w:left="283"/>
      <w:jc w:val="left"/>
    </w:pPr>
    <w:rPr>
      <w:rFonts w:ascii="Times New Roman" w:eastAsia="Times New Roman" w:hAnsi="Times New Roman"/>
      <w:sz w:val="16"/>
      <w:szCs w:val="16"/>
      <w:lang w:val="es-ES" w:eastAsia="es-ES"/>
    </w:rPr>
  </w:style>
  <w:style w:type="character" w:customStyle="1" w:styleId="Sangra3detindependienteCar">
    <w:name w:val="Sangría 3 de t. independiente Car"/>
    <w:link w:val="Sangra3detindependiente"/>
    <w:semiHidden/>
    <w:rsid w:val="00A260F3"/>
    <w:rPr>
      <w:rFonts w:ascii="Times New Roman" w:eastAsia="Times New Roman" w:hAnsi="Times New Roman"/>
      <w:sz w:val="16"/>
      <w:szCs w:val="16"/>
      <w:lang w:val="es-ES" w:eastAsia="es-ES"/>
    </w:rPr>
  </w:style>
  <w:style w:type="paragraph" w:styleId="Sangra2detindependiente">
    <w:name w:val="Body Text Indent 2"/>
    <w:basedOn w:val="Normal"/>
    <w:link w:val="Sangra2detindependienteCar"/>
    <w:unhideWhenUsed/>
    <w:rsid w:val="00A260F3"/>
    <w:pPr>
      <w:spacing w:after="120" w:line="480" w:lineRule="auto"/>
      <w:ind w:left="283"/>
      <w:jc w:val="left"/>
    </w:pPr>
    <w:rPr>
      <w:rFonts w:eastAsia="Times New Roman"/>
      <w:szCs w:val="24"/>
      <w:lang w:val="es-ES" w:eastAsia="es-ES"/>
    </w:rPr>
  </w:style>
  <w:style w:type="character" w:customStyle="1" w:styleId="Sangra2detindependienteCar">
    <w:name w:val="Sangría 2 de t. independiente Car"/>
    <w:link w:val="Sangra2detindependiente"/>
    <w:rsid w:val="00A260F3"/>
    <w:rPr>
      <w:rFonts w:eastAsia="Times New Roman"/>
      <w:sz w:val="24"/>
      <w:szCs w:val="24"/>
      <w:lang w:val="es-ES" w:eastAsia="es-ES"/>
    </w:rPr>
  </w:style>
  <w:style w:type="paragraph" w:styleId="Textodeglobo">
    <w:name w:val="Balloon Text"/>
    <w:basedOn w:val="Normal"/>
    <w:link w:val="TextodegloboCar"/>
    <w:uiPriority w:val="99"/>
    <w:semiHidden/>
    <w:unhideWhenUsed/>
    <w:rsid w:val="0028166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81668"/>
    <w:rPr>
      <w:rFonts w:ascii="Tahoma" w:hAnsi="Tahoma" w:cs="Tahoma"/>
      <w:sz w:val="16"/>
      <w:szCs w:val="16"/>
      <w:lang w:val="es-UY" w:eastAsia="en-US"/>
    </w:rPr>
  </w:style>
  <w:style w:type="paragraph" w:styleId="Prrafodelista">
    <w:name w:val="List Paragraph"/>
    <w:basedOn w:val="Normal"/>
    <w:uiPriority w:val="34"/>
    <w:qFormat/>
    <w:rsid w:val="00213FC6"/>
    <w:pPr>
      <w:ind w:left="720"/>
      <w:contextualSpacing/>
    </w:pPr>
  </w:style>
  <w:style w:type="paragraph" w:styleId="Piedepgina">
    <w:name w:val="footer"/>
    <w:basedOn w:val="Normal"/>
    <w:link w:val="PiedepginaCar"/>
    <w:uiPriority w:val="99"/>
    <w:unhideWhenUsed/>
    <w:rsid w:val="009815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1557"/>
    <w:rPr>
      <w:sz w:val="24"/>
      <w:szCs w:val="22"/>
      <w:lang w:val="es-U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7F175-7BAB-47A7-A268-B4FB6AF0C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3182</Words>
  <Characters>17503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Agencia Nacional de Vivienda</Company>
  <LinksUpToDate>false</LinksUpToDate>
  <CharactersWithSpaces>20644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Cristina Rivero</dc:creator>
  <cp:lastModifiedBy> </cp:lastModifiedBy>
  <cp:revision>4</cp:revision>
  <cp:lastPrinted>2016-01-26T16:19:00Z</cp:lastPrinted>
  <dcterms:created xsi:type="dcterms:W3CDTF">2016-02-19T12:27:00Z</dcterms:created>
  <dcterms:modified xsi:type="dcterms:W3CDTF">2016-04-12T18:05:00Z</dcterms:modified>
</cp:coreProperties>
</file>