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8B" w:rsidRPr="00786EEB" w:rsidRDefault="0079018B" w:rsidP="00E07F97">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380</w:t>
      </w:r>
      <w:r w:rsidRPr="00786EEB">
        <w:rPr>
          <w:rFonts w:cs="Arial"/>
          <w:b/>
          <w:sz w:val="28"/>
          <w:szCs w:val="28"/>
          <w:lang w:val="es-ES_tradnl"/>
        </w:rPr>
        <w:t>/16</w:t>
      </w:r>
    </w:p>
    <w:p w:rsidR="0079018B" w:rsidRDefault="0079018B" w:rsidP="00E07F97">
      <w:pPr>
        <w:tabs>
          <w:tab w:val="center" w:pos="4253"/>
        </w:tabs>
        <w:suppressAutoHyphens/>
        <w:jc w:val="right"/>
        <w:rPr>
          <w:rFonts w:cs="Arial"/>
          <w:b/>
          <w:lang w:val="es-ES_tradnl"/>
        </w:rPr>
      </w:pPr>
    </w:p>
    <w:p w:rsidR="00974C6E" w:rsidRDefault="00974C6E">
      <w:pPr>
        <w:tabs>
          <w:tab w:val="center" w:pos="4253"/>
        </w:tabs>
        <w:suppressAutoHyphens/>
        <w:jc w:val="center"/>
        <w:rPr>
          <w:rFonts w:cs="Arial"/>
          <w:b/>
          <w:lang w:val="es-ES_tradnl"/>
        </w:rPr>
      </w:pPr>
    </w:p>
    <w:p w:rsidR="0079018B" w:rsidRPr="00762B34" w:rsidRDefault="0079018B">
      <w:pPr>
        <w:tabs>
          <w:tab w:val="center" w:pos="4253"/>
        </w:tabs>
        <w:suppressAutoHyphens/>
        <w:jc w:val="center"/>
        <w:rPr>
          <w:rFonts w:cs="Arial"/>
          <w:b/>
          <w:lang w:val="es-ES_tradnl"/>
        </w:rPr>
      </w:pPr>
      <w:r w:rsidRPr="00762B34">
        <w:rPr>
          <w:rFonts w:cs="Arial"/>
          <w:b/>
          <w:lang w:val="es-ES_tradnl"/>
        </w:rPr>
        <w:t>RESOLUCION ADOPTADA POR EL</w:t>
      </w:r>
    </w:p>
    <w:p w:rsidR="0079018B" w:rsidRPr="00762B34" w:rsidRDefault="0079018B">
      <w:pPr>
        <w:tabs>
          <w:tab w:val="left" w:pos="-720"/>
        </w:tabs>
        <w:suppressAutoHyphens/>
        <w:jc w:val="center"/>
        <w:rPr>
          <w:rFonts w:cs="Arial"/>
          <w:b/>
          <w:lang w:val="es-ES_tradnl"/>
        </w:rPr>
      </w:pPr>
    </w:p>
    <w:p w:rsidR="0079018B" w:rsidRPr="00762B34" w:rsidRDefault="0079018B">
      <w:pPr>
        <w:tabs>
          <w:tab w:val="center" w:pos="4253"/>
        </w:tabs>
        <w:suppressAutoHyphens/>
        <w:jc w:val="center"/>
        <w:rPr>
          <w:rFonts w:cs="Arial"/>
          <w:b/>
          <w:lang w:val="es-ES_tradnl"/>
        </w:rPr>
      </w:pPr>
      <w:r w:rsidRPr="00762B34">
        <w:rPr>
          <w:rFonts w:cs="Arial"/>
          <w:b/>
          <w:lang w:val="es-ES_tradnl"/>
        </w:rPr>
        <w:t>TRIBUNAL DE CUENTAS</w:t>
      </w:r>
    </w:p>
    <w:p w:rsidR="0079018B" w:rsidRPr="00762B34" w:rsidRDefault="0079018B">
      <w:pPr>
        <w:tabs>
          <w:tab w:val="left" w:pos="-720"/>
        </w:tabs>
        <w:suppressAutoHyphens/>
        <w:jc w:val="center"/>
        <w:rPr>
          <w:rFonts w:cs="Arial"/>
          <w:b/>
          <w:lang w:val="es-ES_tradnl"/>
        </w:rPr>
      </w:pPr>
    </w:p>
    <w:p w:rsidR="0079018B" w:rsidRPr="00762B34" w:rsidRDefault="0079018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11 DE FEBRERO </w:t>
      </w:r>
      <w:r w:rsidRPr="00762B34">
        <w:rPr>
          <w:rFonts w:cs="Arial"/>
          <w:b/>
          <w:lang w:val="es-ES_tradnl"/>
        </w:rPr>
        <w:t>DE 2016</w:t>
      </w:r>
    </w:p>
    <w:p w:rsidR="0079018B" w:rsidRPr="00762B34" w:rsidRDefault="0079018B">
      <w:pPr>
        <w:tabs>
          <w:tab w:val="center" w:pos="4253"/>
        </w:tabs>
        <w:suppressAutoHyphens/>
        <w:jc w:val="center"/>
        <w:rPr>
          <w:rFonts w:cs="Arial"/>
          <w:b/>
          <w:lang w:val="es-ES_tradnl"/>
        </w:rPr>
      </w:pPr>
    </w:p>
    <w:p w:rsidR="0079018B" w:rsidRPr="00974C6E" w:rsidRDefault="0079018B">
      <w:pPr>
        <w:tabs>
          <w:tab w:val="center" w:pos="4253"/>
        </w:tabs>
        <w:suppressAutoHyphens/>
        <w:jc w:val="center"/>
        <w:rPr>
          <w:rFonts w:cs="Arial"/>
          <w:b/>
          <w:lang w:val="es-UY"/>
        </w:rPr>
      </w:pPr>
      <w:r w:rsidRPr="00974C6E">
        <w:rPr>
          <w:rFonts w:cs="Arial"/>
          <w:b/>
          <w:lang w:val="es-UY"/>
        </w:rPr>
        <w:t>(E. E. Nº 2015-17-1-0009232</w:t>
      </w:r>
      <w:r w:rsidR="00974C6E" w:rsidRPr="00974C6E">
        <w:rPr>
          <w:rFonts w:cs="Arial"/>
          <w:b/>
          <w:lang w:val="es-UY"/>
        </w:rPr>
        <w:t xml:space="preserve">, </w:t>
      </w:r>
      <w:proofErr w:type="spellStart"/>
      <w:r w:rsidR="00974C6E" w:rsidRPr="00974C6E">
        <w:rPr>
          <w:rFonts w:cs="Arial"/>
          <w:b/>
          <w:lang w:val="es-UY"/>
        </w:rPr>
        <w:t>Ents</w:t>
      </w:r>
      <w:proofErr w:type="spellEnd"/>
      <w:r w:rsidR="00974C6E" w:rsidRPr="00974C6E">
        <w:rPr>
          <w:rFonts w:cs="Arial"/>
          <w:b/>
          <w:lang w:val="es-UY"/>
        </w:rPr>
        <w:t>.</w:t>
      </w:r>
      <w:r w:rsidR="00974C6E">
        <w:rPr>
          <w:rFonts w:cs="Arial"/>
          <w:b/>
          <w:lang w:val="es-UY"/>
        </w:rPr>
        <w:t xml:space="preserve"> N</w:t>
      </w:r>
      <w:r w:rsidR="00961495">
        <w:rPr>
          <w:rFonts w:cs="Arial"/>
          <w:b/>
          <w:lang w:val="es-UY"/>
        </w:rPr>
        <w:t xml:space="preserve">° </w:t>
      </w:r>
      <w:r w:rsidR="00974C6E">
        <w:rPr>
          <w:rFonts w:cs="Arial"/>
          <w:b/>
          <w:lang w:val="es-UY"/>
        </w:rPr>
        <w:t>7188/15 y 475/16</w:t>
      </w:r>
      <w:r w:rsidRPr="00974C6E">
        <w:rPr>
          <w:rFonts w:cs="Arial"/>
          <w:b/>
          <w:lang w:val="es-UY"/>
        </w:rPr>
        <w:t>)</w:t>
      </w:r>
    </w:p>
    <w:p w:rsidR="0079018B" w:rsidRPr="00974C6E" w:rsidRDefault="0079018B" w:rsidP="00E07F97">
      <w:pPr>
        <w:tabs>
          <w:tab w:val="center" w:pos="4253"/>
        </w:tabs>
        <w:suppressAutoHyphens/>
        <w:jc w:val="right"/>
        <w:rPr>
          <w:spacing w:val="-3"/>
          <w:lang w:val="es-UY"/>
        </w:rPr>
      </w:pPr>
    </w:p>
    <w:p w:rsidR="00974C6E" w:rsidRDefault="00974C6E" w:rsidP="0051603F">
      <w:pPr>
        <w:pStyle w:val="Textoindependiente"/>
        <w:rPr>
          <w:b/>
        </w:rPr>
      </w:pPr>
      <w:r>
        <w:rPr>
          <w:b/>
        </w:rPr>
        <w:tab/>
      </w:r>
    </w:p>
    <w:p w:rsidR="0051603F" w:rsidRDefault="0051603F" w:rsidP="00E07F97">
      <w:pPr>
        <w:pStyle w:val="Textoindependiente"/>
        <w:ind w:firstLine="851"/>
      </w:pPr>
      <w:r>
        <w:rPr>
          <w:b/>
        </w:rPr>
        <w:t>VISTO:</w:t>
      </w:r>
      <w:r>
        <w:t xml:space="preserve"> el Proyecto de Presupuesto Quinquenal de la Junta Departamental de </w:t>
      </w:r>
      <w:r w:rsidR="00FA6F8F">
        <w:t>Florida</w:t>
      </w:r>
      <w:r>
        <w:t xml:space="preserve"> para los </w:t>
      </w:r>
      <w:r w:rsidR="00974C6E">
        <w:t>E</w:t>
      </w:r>
      <w:r>
        <w:t>jercicios 2016 -2020;</w:t>
      </w:r>
    </w:p>
    <w:p w:rsidR="0051603F" w:rsidRDefault="0051603F" w:rsidP="00E07F97">
      <w:pPr>
        <w:pStyle w:val="Textoindependiente"/>
        <w:ind w:firstLine="851"/>
        <w:rPr>
          <w:bCs/>
        </w:rPr>
      </w:pPr>
      <w:r>
        <w:rPr>
          <w:b/>
        </w:rPr>
        <w:t>CONSIDERANDO:</w:t>
      </w:r>
      <w:r>
        <w:t xml:space="preserve"> </w:t>
      </w:r>
      <w:r>
        <w:rPr>
          <w:b/>
        </w:rPr>
        <w:t xml:space="preserve">1) </w:t>
      </w:r>
      <w:r>
        <w:rPr>
          <w:bCs/>
        </w:rPr>
        <w:t>que se ha dado cumplimiento a lo establecido en los Artículos 273 N</w:t>
      </w:r>
      <w:r w:rsidR="00974C6E">
        <w:rPr>
          <w:bCs/>
        </w:rPr>
        <w:t>ume</w:t>
      </w:r>
      <w:r>
        <w:rPr>
          <w:bCs/>
        </w:rPr>
        <w:t>ral 6</w:t>
      </w:r>
      <w:r w:rsidR="00974C6E">
        <w:rPr>
          <w:bCs/>
        </w:rPr>
        <w:t>)</w:t>
      </w:r>
      <w:r>
        <w:rPr>
          <w:bCs/>
        </w:rPr>
        <w:t xml:space="preserve"> de la Constitución de la Repúb</w:t>
      </w:r>
      <w:r w:rsidR="00E07F97">
        <w:rPr>
          <w:bCs/>
        </w:rPr>
        <w:t>lica y 483 de la Ley N° 17.296;</w:t>
      </w:r>
    </w:p>
    <w:p w:rsidR="0051603F" w:rsidRDefault="0051603F" w:rsidP="00E07F97">
      <w:pPr>
        <w:pStyle w:val="Textoindependiente"/>
        <w:ind w:firstLine="2977"/>
      </w:pPr>
      <w:r>
        <w:rPr>
          <w:b/>
          <w:bCs/>
        </w:rPr>
        <w:t>2)</w:t>
      </w:r>
      <w:r>
        <w:t xml:space="preserve"> que las conclusiones y evidencias obtenidas son las que se expresan en el Dictamen que se adjunta;</w:t>
      </w:r>
    </w:p>
    <w:p w:rsidR="0051603F" w:rsidRDefault="0051603F" w:rsidP="00E07F97">
      <w:pPr>
        <w:pStyle w:val="Textoindependiente"/>
        <w:ind w:firstLine="851"/>
      </w:pPr>
      <w:r>
        <w:rPr>
          <w:b/>
        </w:rPr>
        <w:t>ATENTO:</w:t>
      </w:r>
      <w:r>
        <w:t xml:space="preserve"> a lo dispuesto por los Artículos 211 </w:t>
      </w:r>
      <w:r w:rsidR="00974C6E">
        <w:t>L</w:t>
      </w:r>
      <w:r>
        <w:t>iteral A) y 225 de la Constitución de la República y Artículo 483 de la Ley N° 17.296;</w:t>
      </w:r>
    </w:p>
    <w:p w:rsidR="0051603F" w:rsidRDefault="0051603F" w:rsidP="0051603F">
      <w:pPr>
        <w:pStyle w:val="Textoindependiente"/>
        <w:jc w:val="center"/>
        <w:rPr>
          <w:b/>
        </w:rPr>
      </w:pPr>
      <w:r>
        <w:rPr>
          <w:b/>
        </w:rPr>
        <w:t>EL TRIBUNAL ACUERDA</w:t>
      </w:r>
    </w:p>
    <w:p w:rsidR="0051603F" w:rsidRDefault="0051603F" w:rsidP="0051603F">
      <w:pPr>
        <w:pStyle w:val="Textoindependiente"/>
        <w:numPr>
          <w:ilvl w:val="0"/>
          <w:numId w:val="1"/>
        </w:numPr>
        <w:tabs>
          <w:tab w:val="clear" w:pos="720"/>
          <w:tab w:val="num" w:pos="360"/>
        </w:tabs>
        <w:ind w:left="360"/>
      </w:pPr>
      <w:r>
        <w:t xml:space="preserve">Emitir su pronunciamiento respecto al Proyecto de Presupuesto Quinquenal de la Junta Departamental de </w:t>
      </w:r>
      <w:r w:rsidR="00FA6F8F">
        <w:t>Florida</w:t>
      </w:r>
      <w:r>
        <w:t xml:space="preserve"> correspondiente al período 2016-2020, en los térmi</w:t>
      </w:r>
      <w:r w:rsidR="00E07F97">
        <w:t>nos del Dictamen que se adjunta;</w:t>
      </w:r>
    </w:p>
    <w:p w:rsidR="0051603F" w:rsidRDefault="0051603F" w:rsidP="0051603F">
      <w:pPr>
        <w:pStyle w:val="Textoindependiente"/>
        <w:numPr>
          <w:ilvl w:val="0"/>
          <w:numId w:val="1"/>
        </w:numPr>
        <w:tabs>
          <w:tab w:val="clear" w:pos="720"/>
          <w:tab w:val="num" w:pos="360"/>
        </w:tabs>
        <w:ind w:left="360"/>
      </w:pPr>
      <w:r>
        <w:t xml:space="preserve">Observar el referido documento por lo expresado </w:t>
      </w:r>
      <w:r w:rsidR="005B7042">
        <w:t xml:space="preserve">en </w:t>
      </w:r>
      <w:r w:rsidR="00D65194">
        <w:t>los</w:t>
      </w:r>
      <w:r w:rsidR="005B7042">
        <w:t xml:space="preserve"> párrafo</w:t>
      </w:r>
      <w:r w:rsidR="00D65194">
        <w:t>s</w:t>
      </w:r>
      <w:r w:rsidR="005B7042">
        <w:t xml:space="preserve"> 3.</w:t>
      </w:r>
      <w:r w:rsidR="001373DE">
        <w:t>2</w:t>
      </w:r>
      <w:r w:rsidR="005B7042">
        <w:t>)</w:t>
      </w:r>
      <w:r w:rsidR="00D65194">
        <w:t xml:space="preserve"> y 3.4)</w:t>
      </w:r>
      <w:r w:rsidR="005B7042">
        <w:t xml:space="preserve"> de este</w:t>
      </w:r>
      <w:r w:rsidR="00E07F97">
        <w:t xml:space="preserve"> Dictamen;</w:t>
      </w:r>
    </w:p>
    <w:p w:rsidR="00D65194" w:rsidRDefault="00D65194" w:rsidP="0051603F">
      <w:pPr>
        <w:pStyle w:val="Textoindependiente"/>
        <w:numPr>
          <w:ilvl w:val="0"/>
          <w:numId w:val="1"/>
        </w:numPr>
        <w:tabs>
          <w:tab w:val="clear" w:pos="720"/>
          <w:tab w:val="num" w:pos="360"/>
        </w:tabs>
        <w:ind w:left="360"/>
      </w:pPr>
      <w:r>
        <w:t xml:space="preserve">Téngase presente lo expresado en </w:t>
      </w:r>
      <w:r w:rsidR="00E07F97">
        <w:t>el párrafo 3.3);</w:t>
      </w:r>
    </w:p>
    <w:p w:rsidR="0051603F" w:rsidRDefault="0051603F" w:rsidP="0051603F">
      <w:pPr>
        <w:pStyle w:val="Textoindependiente"/>
        <w:numPr>
          <w:ilvl w:val="0"/>
          <w:numId w:val="1"/>
        </w:numPr>
        <w:tabs>
          <w:tab w:val="clear" w:pos="720"/>
          <w:tab w:val="num" w:pos="360"/>
        </w:tabs>
        <w:ind w:left="360"/>
      </w:pPr>
      <w:r>
        <w:t xml:space="preserve">Señalar que las asignaciones presupuestales proyectadas deberán ser financiadas por la Intendencia de </w:t>
      </w:r>
      <w:r w:rsidR="00FA6F8F">
        <w:t>Florida</w:t>
      </w:r>
      <w:r w:rsidR="00E07F97">
        <w:t>;</w:t>
      </w:r>
    </w:p>
    <w:p w:rsidR="0051603F" w:rsidRDefault="0051603F" w:rsidP="0051603F">
      <w:pPr>
        <w:pStyle w:val="Textoindependiente"/>
        <w:numPr>
          <w:ilvl w:val="0"/>
          <w:numId w:val="1"/>
        </w:numPr>
        <w:tabs>
          <w:tab w:val="clear" w:pos="720"/>
          <w:tab w:val="num" w:pos="360"/>
        </w:tabs>
        <w:ind w:left="360"/>
      </w:pPr>
      <w:r>
        <w:t xml:space="preserve">Comunicar la presente Resolución a la Intendencia de </w:t>
      </w:r>
      <w:r w:rsidR="00FA6F8F">
        <w:t>Florida</w:t>
      </w:r>
      <w:r w:rsidR="00974C6E">
        <w:t>; y</w:t>
      </w:r>
    </w:p>
    <w:p w:rsidR="0051603F" w:rsidRDefault="0051603F" w:rsidP="0051603F">
      <w:pPr>
        <w:pStyle w:val="Textoindependiente"/>
        <w:numPr>
          <w:ilvl w:val="0"/>
          <w:numId w:val="1"/>
        </w:numPr>
        <w:tabs>
          <w:tab w:val="clear" w:pos="720"/>
          <w:tab w:val="num" w:pos="360"/>
        </w:tabs>
        <w:ind w:left="360"/>
      </w:pPr>
      <w:r>
        <w:t xml:space="preserve">Devolver los antecedentes a la Junta Departamental de </w:t>
      </w:r>
      <w:r w:rsidR="00FA6F8F">
        <w:t>Florida</w:t>
      </w:r>
      <w:r>
        <w:t>.</w:t>
      </w:r>
    </w:p>
    <w:p w:rsidR="00E07F97" w:rsidRPr="005E4ED8" w:rsidRDefault="00E07F97" w:rsidP="00E07F97">
      <w:pPr>
        <w:jc w:val="center"/>
        <w:rPr>
          <w:b/>
        </w:rPr>
      </w:pPr>
      <w:r w:rsidRPr="005E4ED8">
        <w:rPr>
          <w:b/>
        </w:rPr>
        <w:lastRenderedPageBreak/>
        <w:t>DICTAMEN</w:t>
      </w:r>
    </w:p>
    <w:p w:rsidR="00E07F97" w:rsidRDefault="00E07F97">
      <w:pPr>
        <w:jc w:val="right"/>
      </w:pPr>
    </w:p>
    <w:p w:rsidR="00E07F97" w:rsidRDefault="00E07F97">
      <w:pPr>
        <w:jc w:val="right"/>
        <w:rPr>
          <w:b/>
        </w:rPr>
      </w:pPr>
      <w:r>
        <w:t xml:space="preserve">      </w:t>
      </w:r>
    </w:p>
    <w:p w:rsidR="00E07F97" w:rsidRDefault="00E07F97">
      <w:pPr>
        <w:pStyle w:val="Textoindependiente"/>
      </w:pPr>
      <w:r>
        <w:t>El Tribunal de Cuentas ha examinado el Proyecto de Presupuesto Quinquenal para el período 2016 - 2020  de la Junta Departamental de Florida.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483 de la Ley N° 17.296 y establecer, en caso que corresponda, los hallazgos realizados en relación con el cumplimiento de las disposiciones constitucionales, legales y reglamentarias que resulten aplicables.</w:t>
      </w:r>
    </w:p>
    <w:p w:rsidR="00E07F97" w:rsidRDefault="00E07F97">
      <w:pPr>
        <w:pStyle w:val="Textoindependiente"/>
      </w:pPr>
    </w:p>
    <w:p w:rsidR="00E07F97" w:rsidRDefault="00E07F97">
      <w:pPr>
        <w:spacing w:line="360" w:lineRule="auto"/>
        <w:jc w:val="both"/>
        <w:rPr>
          <w:b/>
        </w:rPr>
      </w:pPr>
      <w:r>
        <w:rPr>
          <w:b/>
        </w:rPr>
        <w:t>1) Antecedentes</w:t>
      </w:r>
    </w:p>
    <w:p w:rsidR="00E07F97" w:rsidRDefault="00E07F97">
      <w:pPr>
        <w:spacing w:line="360" w:lineRule="auto"/>
        <w:jc w:val="both"/>
      </w:pPr>
      <w:r>
        <w:rPr>
          <w:b/>
        </w:rPr>
        <w:t xml:space="preserve">1.1) </w:t>
      </w:r>
      <w:r w:rsidRPr="00E768B3">
        <w:rPr>
          <w:rFonts w:cs="Arial"/>
        </w:rPr>
        <w:t xml:space="preserve">En sesión ordinaria </w:t>
      </w:r>
      <w:r>
        <w:rPr>
          <w:rFonts w:cs="Arial"/>
        </w:rPr>
        <w:t>de 17/12/2015, l</w:t>
      </w:r>
      <w:r w:rsidRPr="00E768B3">
        <w:rPr>
          <w:rFonts w:cs="Arial"/>
        </w:rPr>
        <w:t xml:space="preserve">a Junta Departamental de </w:t>
      </w:r>
      <w:r>
        <w:rPr>
          <w:rFonts w:cs="Arial"/>
        </w:rPr>
        <w:t>Florida</w:t>
      </w:r>
      <w:r w:rsidRPr="00E768B3">
        <w:rPr>
          <w:rFonts w:cs="Arial"/>
        </w:rPr>
        <w:t xml:space="preserve">, de conformidad al </w:t>
      </w:r>
      <w:r>
        <w:rPr>
          <w:rFonts w:cs="Arial"/>
        </w:rPr>
        <w:t>A</w:t>
      </w:r>
      <w:r w:rsidRPr="00E768B3">
        <w:rPr>
          <w:rFonts w:cs="Arial"/>
        </w:rPr>
        <w:t xml:space="preserve">rtículo 273 numeral 6 de la Constitución de la República,  </w:t>
      </w:r>
      <w:r>
        <w:rPr>
          <w:rFonts w:cs="Arial"/>
        </w:rPr>
        <w:t xml:space="preserve">aprobó, </w:t>
      </w:r>
      <w:r w:rsidRPr="00E768B3">
        <w:rPr>
          <w:rFonts w:cs="Arial"/>
        </w:rPr>
        <w:t>en general</w:t>
      </w:r>
      <w:r>
        <w:rPr>
          <w:rFonts w:cs="Arial"/>
        </w:rPr>
        <w:t>,</w:t>
      </w:r>
      <w:r w:rsidRPr="00E768B3">
        <w:rPr>
          <w:rFonts w:cs="Arial"/>
        </w:rPr>
        <w:t xml:space="preserve"> con el voto de 31 Ediles presentes en Sala</w:t>
      </w:r>
      <w:r>
        <w:rPr>
          <w:rFonts w:cs="Arial"/>
        </w:rPr>
        <w:t xml:space="preserve"> </w:t>
      </w:r>
      <w:r w:rsidRPr="00E768B3">
        <w:rPr>
          <w:rFonts w:cs="Arial"/>
        </w:rPr>
        <w:t>y</w:t>
      </w:r>
      <w:r>
        <w:rPr>
          <w:rFonts w:cs="Arial"/>
        </w:rPr>
        <w:t>,</w:t>
      </w:r>
      <w:r w:rsidRPr="00E768B3">
        <w:rPr>
          <w:rFonts w:cs="Arial"/>
        </w:rPr>
        <w:t xml:space="preserve"> en particular</w:t>
      </w:r>
      <w:r>
        <w:rPr>
          <w:rFonts w:cs="Arial"/>
        </w:rPr>
        <w:t>,</w:t>
      </w:r>
      <w:r w:rsidRPr="00E768B3">
        <w:rPr>
          <w:rFonts w:cs="Arial"/>
        </w:rPr>
        <w:t xml:space="preserve"> por las mayorías requeridas y que se expresan, el</w:t>
      </w:r>
      <w:r w:rsidRPr="00E768B3">
        <w:rPr>
          <w:rFonts w:cs="Arial"/>
          <w:b/>
        </w:rPr>
        <w:t xml:space="preserve"> </w:t>
      </w:r>
      <w:r w:rsidRPr="00E768B3">
        <w:rPr>
          <w:rFonts w:cs="Arial"/>
        </w:rPr>
        <w:t>Proyecto de Presupuesto de la C</w:t>
      </w:r>
      <w:r>
        <w:rPr>
          <w:rFonts w:cs="Arial"/>
        </w:rPr>
        <w:t>orporación para el periodo 2016</w:t>
      </w:r>
      <w:r w:rsidRPr="00E768B3">
        <w:rPr>
          <w:rFonts w:cs="Arial"/>
        </w:rPr>
        <w:t>-2020 a regi</w:t>
      </w:r>
      <w:r>
        <w:rPr>
          <w:rFonts w:cs="Arial"/>
        </w:rPr>
        <w:t>r desde el 1° de enero del 2016.</w:t>
      </w:r>
      <w:r w:rsidRPr="00D2428E">
        <w:rPr>
          <w:rFonts w:ascii="LiberationSans-Regular" w:hAnsi="LiberationSans-Regular" w:cs="LiberationSans-Regular"/>
        </w:rPr>
        <w:t xml:space="preserve"> </w:t>
      </w:r>
      <w:r>
        <w:rPr>
          <w:rFonts w:ascii="LiberationSans-Regular" w:hAnsi="LiberationSans-Regular" w:cs="LiberationSans-Regular"/>
        </w:rPr>
        <w:t>(Res. JDF Nº 55/15).</w:t>
      </w:r>
    </w:p>
    <w:p w:rsidR="00E07F97" w:rsidRDefault="00E07F97">
      <w:pPr>
        <w:pStyle w:val="Encabezadodetda"/>
        <w:tabs>
          <w:tab w:val="clear" w:pos="9360"/>
        </w:tabs>
        <w:suppressAutoHyphens w:val="0"/>
        <w:spacing w:line="360" w:lineRule="auto"/>
        <w:jc w:val="both"/>
        <w:rPr>
          <w:rFonts w:ascii="Arial" w:hAnsi="Arial"/>
          <w:spacing w:val="-3"/>
          <w:sz w:val="24"/>
          <w:lang w:val="es-ES_tradnl"/>
        </w:rPr>
      </w:pPr>
      <w:r>
        <w:rPr>
          <w:rFonts w:ascii="Arial" w:hAnsi="Arial"/>
          <w:b/>
          <w:spacing w:val="-3"/>
          <w:sz w:val="24"/>
          <w:lang w:val="es-ES"/>
        </w:rPr>
        <w:t xml:space="preserve">1.2) </w:t>
      </w:r>
      <w:r>
        <w:rPr>
          <w:rFonts w:ascii="Arial" w:hAnsi="Arial"/>
          <w:spacing w:val="-3"/>
          <w:sz w:val="24"/>
          <w:lang w:val="es-ES_tradnl"/>
        </w:rPr>
        <w:t>Por Oficio No. 776/2015 de 21/12/15, el Legislativo Comunal de Florida remitió al Tribunal de Cuentas las presentes actuaciones para su consideración, produciéndose la entrada oficial en sesión de 30/12/2015 (Ordenanzas Nos. 51 de 22/11/1972 y 69 de 20/7/1994).</w:t>
      </w:r>
    </w:p>
    <w:p w:rsidR="00E07F97" w:rsidRDefault="00E07F97" w:rsidP="00E07F97">
      <w:pPr>
        <w:pStyle w:val="Encabezadodetda"/>
        <w:tabs>
          <w:tab w:val="clear" w:pos="9360"/>
        </w:tabs>
        <w:suppressAutoHyphens w:val="0"/>
        <w:spacing w:line="360" w:lineRule="auto"/>
        <w:jc w:val="both"/>
        <w:rPr>
          <w:rFonts w:ascii="Arial" w:hAnsi="Arial"/>
          <w:spacing w:val="-3"/>
          <w:sz w:val="24"/>
          <w:lang w:val="es-ES_tradnl"/>
        </w:rPr>
      </w:pPr>
      <w:r>
        <w:rPr>
          <w:rFonts w:ascii="Arial" w:hAnsi="Arial"/>
          <w:b/>
          <w:spacing w:val="-3"/>
          <w:sz w:val="24"/>
          <w:lang w:val="es-ES_tradnl"/>
        </w:rPr>
        <w:t xml:space="preserve">1.3) </w:t>
      </w:r>
      <w:r w:rsidRPr="00E300D7">
        <w:rPr>
          <w:rFonts w:ascii="Arial" w:hAnsi="Arial"/>
          <w:spacing w:val="-3"/>
          <w:sz w:val="24"/>
          <w:lang w:val="es-ES_tradnl"/>
        </w:rPr>
        <w:t>Por Oficio Nº 005/</w:t>
      </w:r>
      <w:r>
        <w:rPr>
          <w:rFonts w:ascii="Arial" w:hAnsi="Arial"/>
          <w:spacing w:val="-3"/>
          <w:sz w:val="24"/>
          <w:lang w:val="es-ES_tradnl"/>
        </w:rPr>
        <w:t>2016 de fecha 04/01/2016, este Tribunal interrumpió el plazo de que dispone para expedirse, requiriendo información complementaria. Por Oficio Nº 7/16 de fecha 25/01/2016, se remite la información solicitada, ingresando las actuaciones el 27/01/2016.</w:t>
      </w:r>
    </w:p>
    <w:p w:rsidR="00E07F97" w:rsidRDefault="00E07F97" w:rsidP="00E07F97">
      <w:pPr>
        <w:pStyle w:val="Encabezadodetda"/>
        <w:tabs>
          <w:tab w:val="clear" w:pos="9360"/>
        </w:tabs>
        <w:suppressAutoHyphens w:val="0"/>
        <w:spacing w:line="360" w:lineRule="auto"/>
        <w:jc w:val="both"/>
        <w:rPr>
          <w:rFonts w:ascii="Arial" w:hAnsi="Arial"/>
          <w:spacing w:val="-3"/>
          <w:sz w:val="24"/>
          <w:lang w:val="es-ES_tradnl"/>
        </w:rPr>
      </w:pPr>
    </w:p>
    <w:p w:rsidR="00E07F97" w:rsidRDefault="00E07F97" w:rsidP="00E07F97">
      <w:pPr>
        <w:pStyle w:val="Encabezadodetda"/>
        <w:tabs>
          <w:tab w:val="clear" w:pos="9360"/>
        </w:tabs>
        <w:suppressAutoHyphens w:val="0"/>
        <w:spacing w:line="360" w:lineRule="auto"/>
        <w:jc w:val="both"/>
        <w:rPr>
          <w:rFonts w:ascii="Arial" w:hAnsi="Arial" w:cs="Arial"/>
          <w:sz w:val="24"/>
          <w:szCs w:val="24"/>
          <w:lang w:val="es-ES"/>
        </w:rPr>
      </w:pPr>
      <w:r w:rsidRPr="00E300D7">
        <w:rPr>
          <w:rFonts w:ascii="Arial" w:hAnsi="Arial"/>
          <w:b/>
          <w:spacing w:val="-3"/>
          <w:sz w:val="24"/>
          <w:lang w:val="es-ES_tradnl"/>
        </w:rPr>
        <w:t>1.4)</w:t>
      </w:r>
      <w:r>
        <w:rPr>
          <w:rFonts w:ascii="Arial" w:hAnsi="Arial"/>
          <w:spacing w:val="-3"/>
          <w:sz w:val="24"/>
          <w:lang w:val="es-ES_tradnl"/>
        </w:rPr>
        <w:t xml:space="preserve"> </w:t>
      </w:r>
      <w:r w:rsidRPr="00E300D7">
        <w:rPr>
          <w:rFonts w:ascii="Arial" w:hAnsi="Arial" w:cs="Arial"/>
          <w:sz w:val="24"/>
          <w:szCs w:val="24"/>
          <w:lang w:val="es-ES"/>
        </w:rPr>
        <w:t>De</w:t>
      </w:r>
      <w:r w:rsidRPr="00203E44">
        <w:rPr>
          <w:rFonts w:ascii="Arial" w:hAnsi="Arial" w:cs="Arial"/>
          <w:sz w:val="24"/>
          <w:szCs w:val="24"/>
          <w:lang w:val="es-ES"/>
        </w:rPr>
        <w:t xml:space="preserve"> conform</w:t>
      </w:r>
      <w:r>
        <w:rPr>
          <w:rFonts w:ascii="Arial" w:hAnsi="Arial" w:cs="Arial"/>
          <w:sz w:val="24"/>
          <w:szCs w:val="24"/>
          <w:lang w:val="es-ES"/>
        </w:rPr>
        <w:t>idad a lo establecido en el Artículo</w:t>
      </w:r>
      <w:r w:rsidRPr="00203E44">
        <w:rPr>
          <w:rFonts w:ascii="Arial" w:hAnsi="Arial" w:cs="Arial"/>
          <w:sz w:val="24"/>
          <w:szCs w:val="24"/>
          <w:lang w:val="es-ES"/>
        </w:rPr>
        <w:t xml:space="preserve"> 225 de la Constitución de la </w:t>
      </w:r>
      <w:r w:rsidRPr="00CC0837">
        <w:rPr>
          <w:rFonts w:ascii="Arial" w:hAnsi="Arial" w:cs="Arial"/>
          <w:spacing w:val="-8"/>
          <w:sz w:val="24"/>
          <w:szCs w:val="24"/>
          <w:lang w:val="es-ES"/>
        </w:rPr>
        <w:t>República, el plazo para la emisión del dictamen constitucional vence el</w:t>
      </w:r>
      <w:r w:rsidRPr="00203E44">
        <w:rPr>
          <w:rFonts w:ascii="Arial" w:hAnsi="Arial" w:cs="Arial"/>
          <w:sz w:val="24"/>
          <w:szCs w:val="24"/>
          <w:lang w:val="es-ES"/>
        </w:rPr>
        <w:t xml:space="preserve"> </w:t>
      </w:r>
      <w:r>
        <w:rPr>
          <w:rFonts w:ascii="Arial" w:hAnsi="Arial" w:cs="Arial"/>
          <w:sz w:val="24"/>
          <w:szCs w:val="24"/>
          <w:lang w:val="es-ES"/>
        </w:rPr>
        <w:t>13</w:t>
      </w:r>
      <w:r w:rsidRPr="00203E44">
        <w:rPr>
          <w:rFonts w:ascii="Arial" w:hAnsi="Arial" w:cs="Arial"/>
          <w:sz w:val="24"/>
          <w:szCs w:val="24"/>
          <w:lang w:val="es-ES"/>
        </w:rPr>
        <w:t>/</w:t>
      </w:r>
      <w:r>
        <w:rPr>
          <w:rFonts w:ascii="Arial" w:hAnsi="Arial" w:cs="Arial"/>
          <w:sz w:val="24"/>
          <w:szCs w:val="24"/>
          <w:lang w:val="es-ES"/>
        </w:rPr>
        <w:t>02</w:t>
      </w:r>
      <w:r w:rsidRPr="00203E44">
        <w:rPr>
          <w:rFonts w:ascii="Arial" w:hAnsi="Arial" w:cs="Arial"/>
          <w:sz w:val="24"/>
          <w:szCs w:val="24"/>
          <w:lang w:val="es-ES"/>
        </w:rPr>
        <w:t>/</w:t>
      </w:r>
      <w:r>
        <w:rPr>
          <w:rFonts w:ascii="Arial" w:hAnsi="Arial" w:cs="Arial"/>
          <w:sz w:val="24"/>
          <w:szCs w:val="24"/>
          <w:lang w:val="es-ES"/>
        </w:rPr>
        <w:t>20</w:t>
      </w:r>
      <w:r w:rsidRPr="00203E44">
        <w:rPr>
          <w:rFonts w:ascii="Arial" w:hAnsi="Arial" w:cs="Arial"/>
          <w:sz w:val="24"/>
          <w:szCs w:val="24"/>
          <w:lang w:val="es-ES"/>
        </w:rPr>
        <w:t>1</w:t>
      </w:r>
      <w:r>
        <w:rPr>
          <w:rFonts w:ascii="Arial" w:hAnsi="Arial" w:cs="Arial"/>
          <w:sz w:val="24"/>
          <w:szCs w:val="24"/>
          <w:lang w:val="es-ES"/>
        </w:rPr>
        <w:t>6.</w:t>
      </w:r>
    </w:p>
    <w:p w:rsidR="00A47133" w:rsidRPr="00961495" w:rsidRDefault="00A47133" w:rsidP="00E07F97">
      <w:pPr>
        <w:pStyle w:val="Encabezadodetda"/>
        <w:tabs>
          <w:tab w:val="clear" w:pos="9360"/>
        </w:tabs>
        <w:suppressAutoHyphens w:val="0"/>
        <w:spacing w:line="360" w:lineRule="auto"/>
        <w:jc w:val="both"/>
        <w:rPr>
          <w:rFonts w:ascii="Arial" w:hAnsi="Arial"/>
          <w:spacing w:val="-3"/>
          <w:sz w:val="24"/>
          <w:lang w:val="es-ES"/>
        </w:rPr>
      </w:pPr>
    </w:p>
    <w:p w:rsidR="00E07F97" w:rsidRDefault="00E07F97" w:rsidP="00E07F97">
      <w:pPr>
        <w:spacing w:line="360" w:lineRule="auto"/>
        <w:jc w:val="both"/>
        <w:rPr>
          <w:b/>
        </w:rPr>
      </w:pPr>
      <w:r>
        <w:rPr>
          <w:b/>
        </w:rPr>
        <w:t>2) Análisis de las asignaciones presupuestales proyectadas</w:t>
      </w:r>
    </w:p>
    <w:p w:rsidR="00E07F97" w:rsidRDefault="00E07F97" w:rsidP="00E07F97">
      <w:pPr>
        <w:pStyle w:val="Textoindependiente"/>
        <w:rPr>
          <w:rFonts w:cs="Arial"/>
        </w:rPr>
      </w:pPr>
      <w:r>
        <w:rPr>
          <w:rFonts w:cs="Arial"/>
        </w:rPr>
        <w:t>Las asignaciones proyectadas se exponen  a nivel de objeto, presentándose en forma comparativa con las vigentes. Su resumen, expresado en pesos uruguayos, a valores del 01/01/2016 con excepción del Grupo 0 que se expone a valores del 01/09/2015, se ajusta al siguiente detalle:</w:t>
      </w:r>
    </w:p>
    <w:tbl>
      <w:tblPr>
        <w:tblW w:w="7600" w:type="dxa"/>
        <w:tblInd w:w="55" w:type="dxa"/>
        <w:tblCellMar>
          <w:left w:w="70" w:type="dxa"/>
          <w:right w:w="70" w:type="dxa"/>
        </w:tblCellMar>
        <w:tblLook w:val="04A0" w:firstRow="1" w:lastRow="0" w:firstColumn="1" w:lastColumn="0" w:noHBand="0" w:noVBand="1"/>
      </w:tblPr>
      <w:tblGrid>
        <w:gridCol w:w="3220"/>
        <w:gridCol w:w="1600"/>
        <w:gridCol w:w="1420"/>
        <w:gridCol w:w="1360"/>
      </w:tblGrid>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rPr>
            </w:pPr>
          </w:p>
        </w:tc>
        <w:tc>
          <w:tcPr>
            <w:tcW w:w="160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b/>
                <w:bCs/>
                <w:color w:val="000000"/>
                <w:sz w:val="20"/>
                <w:szCs w:val="20"/>
              </w:rPr>
            </w:pPr>
            <w:r w:rsidRPr="00CE6BC2">
              <w:rPr>
                <w:rFonts w:cs="Arial"/>
                <w:b/>
                <w:bCs/>
                <w:color w:val="000000"/>
                <w:sz w:val="20"/>
                <w:szCs w:val="20"/>
              </w:rPr>
              <w:t>Vigente</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b/>
                <w:bCs/>
                <w:color w:val="000000"/>
                <w:sz w:val="20"/>
                <w:szCs w:val="20"/>
              </w:rPr>
            </w:pPr>
            <w:r w:rsidRPr="00CE6BC2">
              <w:rPr>
                <w:rFonts w:cs="Arial"/>
                <w:b/>
                <w:bCs/>
                <w:color w:val="000000"/>
                <w:sz w:val="20"/>
                <w:szCs w:val="20"/>
              </w:rPr>
              <w:t>Proyectado</w:t>
            </w:r>
          </w:p>
        </w:tc>
        <w:tc>
          <w:tcPr>
            <w:tcW w:w="1360" w:type="dxa"/>
            <w:tcBorders>
              <w:top w:val="nil"/>
              <w:left w:val="nil"/>
              <w:bottom w:val="nil"/>
              <w:right w:val="nil"/>
            </w:tcBorders>
            <w:shd w:val="clear" w:color="auto" w:fill="auto"/>
            <w:noWrap/>
            <w:vAlign w:val="bottom"/>
            <w:hideMark/>
          </w:tcPr>
          <w:p w:rsidR="00E07F97" w:rsidRPr="00CE6BC2" w:rsidRDefault="00E07F97" w:rsidP="00E07F97">
            <w:pPr>
              <w:jc w:val="center"/>
              <w:rPr>
                <w:rFonts w:ascii="Calibri" w:hAnsi="Calibri" w:cs="Calibri"/>
                <w:b/>
                <w:bCs/>
                <w:color w:val="000000"/>
                <w:sz w:val="22"/>
                <w:szCs w:val="22"/>
              </w:rPr>
            </w:pPr>
            <w:r w:rsidRPr="00CE6BC2">
              <w:rPr>
                <w:rFonts w:ascii="Calibri" w:hAnsi="Calibri" w:cs="Calibri"/>
                <w:b/>
                <w:bCs/>
                <w:color w:val="000000"/>
                <w:sz w:val="22"/>
                <w:szCs w:val="22"/>
              </w:rPr>
              <w:t>Proyectado</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b/>
                <w:bCs/>
                <w:color w:val="000000"/>
                <w:sz w:val="20"/>
                <w:szCs w:val="20"/>
              </w:rPr>
            </w:pPr>
            <w:r w:rsidRPr="00CE6BC2">
              <w:rPr>
                <w:rFonts w:cs="Arial"/>
                <w:b/>
                <w:bCs/>
                <w:color w:val="000000"/>
                <w:sz w:val="20"/>
                <w:szCs w:val="20"/>
              </w:rPr>
              <w:t>Grupo</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center"/>
              <w:rPr>
                <w:rFonts w:cs="Arial"/>
                <w:b/>
                <w:bCs/>
                <w:color w:val="000000"/>
                <w:sz w:val="20"/>
                <w:szCs w:val="20"/>
              </w:rPr>
            </w:pP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b/>
                <w:bCs/>
                <w:color w:val="000000"/>
                <w:sz w:val="20"/>
                <w:szCs w:val="20"/>
              </w:rPr>
            </w:pPr>
            <w:r w:rsidRPr="00CE6BC2">
              <w:rPr>
                <w:rFonts w:cs="Arial"/>
                <w:b/>
                <w:bCs/>
                <w:color w:val="000000"/>
                <w:sz w:val="20"/>
                <w:szCs w:val="20"/>
              </w:rPr>
              <w:t>2016</w:t>
            </w:r>
          </w:p>
        </w:tc>
        <w:tc>
          <w:tcPr>
            <w:tcW w:w="1360" w:type="dxa"/>
            <w:tcBorders>
              <w:top w:val="nil"/>
              <w:left w:val="nil"/>
              <w:bottom w:val="nil"/>
              <w:right w:val="nil"/>
            </w:tcBorders>
            <w:shd w:val="clear" w:color="auto" w:fill="auto"/>
            <w:noWrap/>
            <w:vAlign w:val="bottom"/>
            <w:hideMark/>
          </w:tcPr>
          <w:p w:rsidR="00E07F97" w:rsidRPr="00CE6BC2" w:rsidRDefault="00E07F97" w:rsidP="00E07F97">
            <w:pPr>
              <w:jc w:val="center"/>
              <w:rPr>
                <w:rFonts w:ascii="Calibri" w:hAnsi="Calibri" w:cs="Calibri"/>
                <w:b/>
                <w:bCs/>
                <w:color w:val="000000"/>
                <w:sz w:val="22"/>
                <w:szCs w:val="22"/>
              </w:rPr>
            </w:pPr>
            <w:r w:rsidRPr="00CE6BC2">
              <w:rPr>
                <w:rFonts w:ascii="Calibri" w:hAnsi="Calibri" w:cs="Calibri"/>
                <w:b/>
                <w:bCs/>
                <w:color w:val="000000"/>
                <w:sz w:val="22"/>
                <w:szCs w:val="22"/>
              </w:rPr>
              <w:t>2017 y sig.</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sz w:val="20"/>
                <w:szCs w:val="20"/>
              </w:rPr>
            </w:pPr>
            <w:r w:rsidRPr="00CE6BC2">
              <w:rPr>
                <w:rFonts w:cs="Arial"/>
                <w:color w:val="000000"/>
                <w:sz w:val="20"/>
                <w:szCs w:val="20"/>
              </w:rPr>
              <w:t>0 - "Servicios Personales"</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40.280.516 </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48.690.867 </w:t>
            </w:r>
          </w:p>
        </w:tc>
        <w:tc>
          <w:tcPr>
            <w:tcW w:w="136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48.690.867 </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sz w:val="20"/>
                <w:szCs w:val="20"/>
              </w:rPr>
            </w:pPr>
            <w:r w:rsidRPr="00CE6BC2">
              <w:rPr>
                <w:rFonts w:cs="Arial"/>
                <w:color w:val="000000"/>
                <w:sz w:val="20"/>
                <w:szCs w:val="20"/>
              </w:rPr>
              <w:t>1 - "Bienes de Consumo"</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10.992.720 </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12.878.000 </w:t>
            </w:r>
          </w:p>
        </w:tc>
        <w:tc>
          <w:tcPr>
            <w:tcW w:w="136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12.878.000 </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sz w:val="20"/>
                <w:szCs w:val="20"/>
              </w:rPr>
            </w:pPr>
            <w:r w:rsidRPr="00CE6BC2">
              <w:rPr>
                <w:rFonts w:cs="Arial"/>
                <w:color w:val="000000"/>
                <w:sz w:val="20"/>
                <w:szCs w:val="20"/>
              </w:rPr>
              <w:t>2 - "Servicios No Personales"</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7.328.119 </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8.069.000 </w:t>
            </w:r>
          </w:p>
        </w:tc>
        <w:tc>
          <w:tcPr>
            <w:tcW w:w="136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8.069.000 </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sz w:val="20"/>
                <w:szCs w:val="20"/>
              </w:rPr>
            </w:pPr>
            <w:r w:rsidRPr="00CE6BC2">
              <w:rPr>
                <w:rFonts w:cs="Arial"/>
                <w:color w:val="000000"/>
                <w:sz w:val="20"/>
                <w:szCs w:val="20"/>
              </w:rPr>
              <w:t>3 - "Bienes de Uso"</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5.621.942 </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5.635.000 </w:t>
            </w:r>
          </w:p>
        </w:tc>
        <w:tc>
          <w:tcPr>
            <w:tcW w:w="136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2.439.000 </w:t>
            </w:r>
          </w:p>
        </w:tc>
      </w:tr>
      <w:tr w:rsidR="00E07F97" w:rsidRPr="00CE6BC2" w:rsidTr="00E07F97">
        <w:trPr>
          <w:trHeight w:val="315"/>
        </w:trPr>
        <w:tc>
          <w:tcPr>
            <w:tcW w:w="3220" w:type="dxa"/>
            <w:tcBorders>
              <w:top w:val="nil"/>
              <w:left w:val="nil"/>
              <w:bottom w:val="nil"/>
              <w:right w:val="nil"/>
            </w:tcBorders>
            <w:shd w:val="clear" w:color="auto" w:fill="auto"/>
            <w:noWrap/>
            <w:vAlign w:val="center"/>
            <w:hideMark/>
          </w:tcPr>
          <w:p w:rsidR="00E07F97" w:rsidRPr="00CE6BC2" w:rsidRDefault="00E07F97" w:rsidP="00E07F97">
            <w:pPr>
              <w:rPr>
                <w:rFonts w:cs="Arial"/>
                <w:color w:val="000000"/>
                <w:sz w:val="20"/>
                <w:szCs w:val="20"/>
              </w:rPr>
            </w:pPr>
            <w:r w:rsidRPr="00CE6BC2">
              <w:rPr>
                <w:rFonts w:cs="Arial"/>
                <w:color w:val="000000"/>
                <w:sz w:val="20"/>
                <w:szCs w:val="20"/>
              </w:rPr>
              <w:t>5- “Transferencias"</w:t>
            </w:r>
          </w:p>
        </w:tc>
        <w:tc>
          <w:tcPr>
            <w:tcW w:w="1600" w:type="dxa"/>
            <w:tcBorders>
              <w:top w:val="nil"/>
              <w:left w:val="nil"/>
              <w:bottom w:val="single" w:sz="8" w:space="0" w:color="auto"/>
              <w:right w:val="nil"/>
            </w:tcBorders>
            <w:shd w:val="clear" w:color="auto" w:fill="auto"/>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216.520 </w:t>
            </w:r>
          </w:p>
        </w:tc>
        <w:tc>
          <w:tcPr>
            <w:tcW w:w="1420" w:type="dxa"/>
            <w:tcBorders>
              <w:top w:val="nil"/>
              <w:left w:val="nil"/>
              <w:bottom w:val="single" w:sz="8" w:space="0" w:color="auto"/>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200.000 </w:t>
            </w:r>
          </w:p>
        </w:tc>
        <w:tc>
          <w:tcPr>
            <w:tcW w:w="1360" w:type="dxa"/>
            <w:tcBorders>
              <w:top w:val="nil"/>
              <w:left w:val="nil"/>
              <w:bottom w:val="single" w:sz="8" w:space="0" w:color="auto"/>
              <w:right w:val="nil"/>
            </w:tcBorders>
            <w:shd w:val="clear" w:color="auto" w:fill="auto"/>
            <w:noWrap/>
            <w:vAlign w:val="center"/>
            <w:hideMark/>
          </w:tcPr>
          <w:p w:rsidR="00E07F97" w:rsidRPr="00CE6BC2" w:rsidRDefault="00E07F97" w:rsidP="00E07F97">
            <w:pPr>
              <w:jc w:val="right"/>
              <w:rPr>
                <w:rFonts w:cs="Arial"/>
                <w:color w:val="000000"/>
                <w:sz w:val="20"/>
                <w:szCs w:val="20"/>
              </w:rPr>
            </w:pPr>
            <w:r w:rsidRPr="00CE6BC2">
              <w:rPr>
                <w:rFonts w:cs="Arial"/>
                <w:color w:val="000000"/>
                <w:sz w:val="20"/>
                <w:szCs w:val="20"/>
              </w:rPr>
              <w:t xml:space="preserve">         200.000 </w:t>
            </w:r>
          </w:p>
        </w:tc>
      </w:tr>
      <w:tr w:rsidR="00E07F97" w:rsidRPr="00CE6BC2" w:rsidTr="00E07F97">
        <w:trPr>
          <w:trHeight w:val="300"/>
        </w:trPr>
        <w:tc>
          <w:tcPr>
            <w:tcW w:w="322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color w:val="000000"/>
                <w:sz w:val="20"/>
                <w:szCs w:val="20"/>
              </w:rPr>
            </w:pPr>
            <w:r w:rsidRPr="00CE6BC2">
              <w:rPr>
                <w:rFonts w:cs="Arial"/>
                <w:color w:val="000000"/>
                <w:sz w:val="20"/>
                <w:szCs w:val="20"/>
              </w:rPr>
              <w:t>Totales</w:t>
            </w:r>
          </w:p>
        </w:tc>
        <w:tc>
          <w:tcPr>
            <w:tcW w:w="1600" w:type="dxa"/>
            <w:tcBorders>
              <w:top w:val="nil"/>
              <w:left w:val="nil"/>
              <w:bottom w:val="nil"/>
              <w:right w:val="nil"/>
            </w:tcBorders>
            <w:shd w:val="clear" w:color="auto" w:fill="auto"/>
            <w:vAlign w:val="center"/>
            <w:hideMark/>
          </w:tcPr>
          <w:p w:rsidR="00E07F97" w:rsidRPr="00CE6BC2" w:rsidRDefault="00E07F97" w:rsidP="00E07F97">
            <w:pPr>
              <w:jc w:val="right"/>
              <w:rPr>
                <w:rFonts w:cs="Arial"/>
                <w:color w:val="000000"/>
                <w:sz w:val="20"/>
                <w:szCs w:val="20"/>
                <w:u w:val="double"/>
              </w:rPr>
            </w:pPr>
            <w:r w:rsidRPr="00CE6BC2">
              <w:rPr>
                <w:rFonts w:cs="Arial"/>
                <w:color w:val="000000"/>
                <w:sz w:val="20"/>
                <w:szCs w:val="20"/>
                <w:u w:val="double"/>
              </w:rPr>
              <w:t xml:space="preserve">        64.439.817 </w:t>
            </w:r>
          </w:p>
        </w:tc>
        <w:tc>
          <w:tcPr>
            <w:tcW w:w="1420" w:type="dxa"/>
            <w:tcBorders>
              <w:top w:val="nil"/>
              <w:left w:val="nil"/>
              <w:bottom w:val="nil"/>
              <w:right w:val="nil"/>
            </w:tcBorders>
            <w:shd w:val="clear" w:color="auto" w:fill="auto"/>
            <w:noWrap/>
            <w:vAlign w:val="center"/>
            <w:hideMark/>
          </w:tcPr>
          <w:p w:rsidR="00E07F97" w:rsidRPr="00CE6BC2" w:rsidRDefault="00E07F97" w:rsidP="00E07F97">
            <w:pPr>
              <w:jc w:val="right"/>
              <w:rPr>
                <w:rFonts w:cs="Arial"/>
                <w:color w:val="000000"/>
                <w:sz w:val="20"/>
                <w:szCs w:val="20"/>
                <w:u w:val="double"/>
              </w:rPr>
            </w:pPr>
            <w:r w:rsidRPr="00CE6BC2">
              <w:rPr>
                <w:rFonts w:cs="Arial"/>
                <w:color w:val="000000"/>
                <w:sz w:val="20"/>
                <w:szCs w:val="20"/>
                <w:u w:val="double"/>
              </w:rPr>
              <w:t xml:space="preserve">     75.472.867 </w:t>
            </w:r>
          </w:p>
        </w:tc>
        <w:tc>
          <w:tcPr>
            <w:tcW w:w="1360" w:type="dxa"/>
            <w:tcBorders>
              <w:top w:val="nil"/>
              <w:left w:val="nil"/>
              <w:bottom w:val="nil"/>
              <w:right w:val="nil"/>
            </w:tcBorders>
            <w:shd w:val="clear" w:color="auto" w:fill="auto"/>
            <w:noWrap/>
            <w:vAlign w:val="center"/>
            <w:hideMark/>
          </w:tcPr>
          <w:p w:rsidR="00E07F97" w:rsidRPr="00CE6BC2" w:rsidRDefault="00E07F97" w:rsidP="00E07F97">
            <w:pPr>
              <w:jc w:val="center"/>
              <w:rPr>
                <w:rFonts w:cs="Arial"/>
                <w:color w:val="000000"/>
                <w:sz w:val="20"/>
                <w:szCs w:val="20"/>
                <w:u w:val="double"/>
              </w:rPr>
            </w:pPr>
            <w:r w:rsidRPr="00CE6BC2">
              <w:rPr>
                <w:rFonts w:cs="Arial"/>
                <w:color w:val="000000"/>
                <w:sz w:val="20"/>
                <w:szCs w:val="20"/>
                <w:u w:val="double"/>
              </w:rPr>
              <w:t xml:space="preserve">  </w:t>
            </w:r>
            <w:r>
              <w:rPr>
                <w:rFonts w:cs="Arial"/>
                <w:color w:val="000000"/>
                <w:sz w:val="20"/>
                <w:szCs w:val="20"/>
                <w:u w:val="double"/>
              </w:rPr>
              <w:t xml:space="preserve"> </w:t>
            </w:r>
            <w:r w:rsidRPr="00CE6BC2">
              <w:rPr>
                <w:rFonts w:cs="Arial"/>
                <w:color w:val="000000"/>
                <w:sz w:val="20"/>
                <w:szCs w:val="20"/>
                <w:u w:val="double"/>
              </w:rPr>
              <w:t xml:space="preserve">72.276.867 </w:t>
            </w:r>
          </w:p>
        </w:tc>
      </w:tr>
    </w:tbl>
    <w:p w:rsidR="00E07F97" w:rsidRDefault="00E07F97" w:rsidP="00E07F97">
      <w:pPr>
        <w:pStyle w:val="Textoindependiente"/>
        <w:rPr>
          <w:bCs/>
        </w:rPr>
      </w:pPr>
    </w:p>
    <w:p w:rsidR="00E07F97" w:rsidRDefault="00E07F97" w:rsidP="00E07F97">
      <w:pPr>
        <w:pStyle w:val="Textoindependiente"/>
        <w:rPr>
          <w:b/>
        </w:rPr>
      </w:pPr>
      <w:r>
        <w:rPr>
          <w:b/>
          <w:bCs/>
        </w:rPr>
        <w:t>3)</w:t>
      </w:r>
      <w:r>
        <w:rPr>
          <w:b/>
        </w:rPr>
        <w:t xml:space="preserve"> Cumplimiento de normas legales y reglamentarias</w:t>
      </w:r>
    </w:p>
    <w:p w:rsidR="00E07F97" w:rsidRDefault="00E07F97" w:rsidP="00E07F97">
      <w:pPr>
        <w:pStyle w:val="Sangradetextonormal"/>
        <w:ind w:firstLine="0"/>
        <w:rPr>
          <w:rFonts w:ascii="Arial" w:hAnsi="Arial" w:cs="Arial"/>
        </w:rPr>
      </w:pPr>
      <w:r>
        <w:rPr>
          <w:rFonts w:ascii="Arial" w:hAnsi="Arial" w:cs="Arial"/>
          <w:b/>
        </w:rPr>
        <w:t>3.1)</w:t>
      </w:r>
      <w:r>
        <w:rPr>
          <w:rFonts w:ascii="Arial" w:hAnsi="Arial" w:cs="Arial"/>
        </w:rPr>
        <w:t xml:space="preserve"> Se ha dado cumplimiento a las disposiciones constitucionales vigentes con relación a plazos y mayorías (Artículos 225 y 273 Numeral 6) de la Constitución de la República y 483 de la Ley Nº 17.296).</w:t>
      </w:r>
    </w:p>
    <w:p w:rsidR="00E07F97" w:rsidRPr="00470464" w:rsidRDefault="00E07F97" w:rsidP="00E07F97">
      <w:pPr>
        <w:autoSpaceDE w:val="0"/>
        <w:autoSpaceDN w:val="0"/>
        <w:adjustRightInd w:val="0"/>
        <w:spacing w:line="360" w:lineRule="auto"/>
        <w:jc w:val="both"/>
        <w:rPr>
          <w:rFonts w:eastAsia="Calibri" w:cs="Arial"/>
          <w:lang w:eastAsia="en-US"/>
        </w:rPr>
      </w:pPr>
      <w:r>
        <w:rPr>
          <w:rFonts w:cs="Arial"/>
          <w:b/>
        </w:rPr>
        <w:t xml:space="preserve">3.2) </w:t>
      </w:r>
      <w:r w:rsidRPr="00470464">
        <w:rPr>
          <w:rFonts w:eastAsia="Calibri" w:cs="Arial"/>
          <w:lang w:eastAsia="en-US"/>
        </w:rPr>
        <w:t>El régimen de viáticos a percibir por los señores Ediles se encuentra</w:t>
      </w:r>
      <w:r>
        <w:rPr>
          <w:rFonts w:eastAsia="Calibri" w:cs="Arial"/>
          <w:lang w:eastAsia="en-US"/>
        </w:rPr>
        <w:t xml:space="preserve"> </w:t>
      </w:r>
      <w:r w:rsidRPr="00470464">
        <w:rPr>
          <w:rFonts w:eastAsia="Calibri" w:cs="Arial"/>
          <w:lang w:eastAsia="en-US"/>
        </w:rPr>
        <w:t>consagrado en la Resolución</w:t>
      </w:r>
      <w:r>
        <w:rPr>
          <w:rFonts w:eastAsia="Calibri" w:cs="Arial"/>
          <w:lang w:eastAsia="en-US"/>
        </w:rPr>
        <w:t xml:space="preserve"> Nº</w:t>
      </w:r>
      <w:r w:rsidRPr="00470464">
        <w:rPr>
          <w:rFonts w:eastAsia="Calibri" w:cs="Arial"/>
          <w:lang w:eastAsia="en-US"/>
        </w:rPr>
        <w:t xml:space="preserve"> 15/13 sancionada el 07/06/13, la que unifica la</w:t>
      </w:r>
    </w:p>
    <w:p w:rsidR="00E07F97" w:rsidRDefault="00E07F97" w:rsidP="00E07F97">
      <w:pPr>
        <w:autoSpaceDE w:val="0"/>
        <w:autoSpaceDN w:val="0"/>
        <w:adjustRightInd w:val="0"/>
        <w:spacing w:line="360" w:lineRule="auto"/>
        <w:jc w:val="both"/>
        <w:rPr>
          <w:rFonts w:eastAsia="Calibri" w:cs="Arial"/>
          <w:lang w:eastAsia="en-US"/>
        </w:rPr>
      </w:pPr>
      <w:proofErr w:type="gramStart"/>
      <w:r w:rsidRPr="00470464">
        <w:rPr>
          <w:rFonts w:eastAsia="Calibri" w:cs="Arial"/>
          <w:lang w:eastAsia="en-US"/>
        </w:rPr>
        <w:t>normativa</w:t>
      </w:r>
      <w:proofErr w:type="gramEnd"/>
      <w:r w:rsidRPr="00470464">
        <w:rPr>
          <w:rFonts w:eastAsia="Calibri" w:cs="Arial"/>
          <w:lang w:eastAsia="en-US"/>
        </w:rPr>
        <w:t xml:space="preserve"> que regula la compensación de gastos y pasajes. Dicha Resolución fue</w:t>
      </w:r>
      <w:r>
        <w:rPr>
          <w:rFonts w:eastAsia="Calibri" w:cs="Arial"/>
          <w:lang w:eastAsia="en-US"/>
        </w:rPr>
        <w:t xml:space="preserve"> </w:t>
      </w:r>
      <w:r w:rsidRPr="00470464">
        <w:rPr>
          <w:rFonts w:eastAsia="Calibri" w:cs="Arial"/>
          <w:lang w:eastAsia="en-US"/>
        </w:rPr>
        <w:t xml:space="preserve">observada por este Tribunal, en </w:t>
      </w:r>
      <w:r>
        <w:rPr>
          <w:rFonts w:eastAsia="Calibri" w:cs="Arial"/>
          <w:lang w:eastAsia="en-US"/>
        </w:rPr>
        <w:t>S</w:t>
      </w:r>
      <w:r w:rsidRPr="00470464">
        <w:rPr>
          <w:rFonts w:eastAsia="Calibri" w:cs="Arial"/>
          <w:lang w:eastAsia="en-US"/>
        </w:rPr>
        <w:t>esión del 10/07/13, en virtud de que la</w:t>
      </w:r>
      <w:r>
        <w:rPr>
          <w:rFonts w:eastAsia="Calibri" w:cs="Arial"/>
          <w:lang w:eastAsia="en-US"/>
        </w:rPr>
        <w:t xml:space="preserve"> </w:t>
      </w:r>
      <w:r w:rsidRPr="00470464">
        <w:rPr>
          <w:rFonts w:eastAsia="Calibri" w:cs="Arial"/>
          <w:lang w:eastAsia="en-US"/>
        </w:rPr>
        <w:t>reglamenta</w:t>
      </w:r>
      <w:r>
        <w:rPr>
          <w:rFonts w:eastAsia="Calibri" w:cs="Arial"/>
          <w:lang w:eastAsia="en-US"/>
        </w:rPr>
        <w:t>ción aprobada colide con el Artículo</w:t>
      </w:r>
      <w:r w:rsidRPr="00470464">
        <w:rPr>
          <w:rFonts w:eastAsia="Calibri" w:cs="Arial"/>
          <w:lang w:eastAsia="en-US"/>
        </w:rPr>
        <w:t xml:space="preserve"> 295 de la Constitución de la República</w:t>
      </w:r>
      <w:r>
        <w:rPr>
          <w:rFonts w:eastAsia="Calibri" w:cs="Arial"/>
          <w:lang w:eastAsia="en-US"/>
        </w:rPr>
        <w:t xml:space="preserve"> </w:t>
      </w:r>
      <w:r w:rsidRPr="00470464">
        <w:rPr>
          <w:rFonts w:eastAsia="Calibri" w:cs="Arial"/>
          <w:lang w:eastAsia="en-US"/>
        </w:rPr>
        <w:t>que dispone que “los miembros de las Juntas Departamentales y Locales serán</w:t>
      </w:r>
      <w:r>
        <w:rPr>
          <w:rFonts w:eastAsia="Calibri" w:cs="Arial"/>
          <w:lang w:eastAsia="en-US"/>
        </w:rPr>
        <w:t xml:space="preserve"> </w:t>
      </w:r>
      <w:r w:rsidRPr="00470464">
        <w:rPr>
          <w:rFonts w:eastAsia="Calibri" w:cs="Arial"/>
          <w:lang w:eastAsia="en-US"/>
        </w:rPr>
        <w:t xml:space="preserve">honorarios”. El monto fijo establecido en la Resolución </w:t>
      </w:r>
      <w:r>
        <w:rPr>
          <w:rFonts w:eastAsia="Calibri" w:cs="Arial"/>
          <w:lang w:eastAsia="en-US"/>
        </w:rPr>
        <w:t xml:space="preserve">Nº </w:t>
      </w:r>
      <w:r w:rsidRPr="00470464">
        <w:rPr>
          <w:rFonts w:eastAsia="Calibri" w:cs="Arial"/>
          <w:lang w:eastAsia="en-US"/>
        </w:rPr>
        <w:t>15/13, y su reajuste por el</w:t>
      </w:r>
      <w:r>
        <w:rPr>
          <w:rFonts w:eastAsia="Calibri" w:cs="Arial"/>
          <w:lang w:eastAsia="en-US"/>
        </w:rPr>
        <w:t xml:space="preserve"> </w:t>
      </w:r>
      <w:r w:rsidRPr="00470464">
        <w:rPr>
          <w:rFonts w:eastAsia="Calibri" w:cs="Arial"/>
          <w:lang w:eastAsia="en-US"/>
        </w:rPr>
        <w:t>Índice Medio de Salarios determina que los viáticos a abonar no tengan carácter</w:t>
      </w:r>
      <w:r>
        <w:rPr>
          <w:rFonts w:eastAsia="Calibri" w:cs="Arial"/>
          <w:lang w:eastAsia="en-US"/>
        </w:rPr>
        <w:t xml:space="preserve"> </w:t>
      </w:r>
      <w:r w:rsidRPr="00470464">
        <w:rPr>
          <w:rFonts w:eastAsia="Calibri" w:cs="Arial"/>
          <w:lang w:eastAsia="en-US"/>
        </w:rPr>
        <w:t>resarcitorio de los gastos en que incurren los Ediles en el cumplimiento de sus</w:t>
      </w:r>
      <w:r>
        <w:rPr>
          <w:rFonts w:eastAsia="Calibri" w:cs="Arial"/>
          <w:lang w:eastAsia="en-US"/>
        </w:rPr>
        <w:t xml:space="preserve"> </w:t>
      </w:r>
      <w:r w:rsidRPr="00470464">
        <w:rPr>
          <w:rFonts w:eastAsia="Calibri" w:cs="Arial"/>
          <w:lang w:eastAsia="en-US"/>
        </w:rPr>
        <w:t>funciones</w:t>
      </w:r>
      <w:r>
        <w:rPr>
          <w:rFonts w:eastAsia="Calibri" w:cs="Arial"/>
          <w:lang w:eastAsia="en-US"/>
        </w:rPr>
        <w:t xml:space="preserve">. </w:t>
      </w:r>
      <w:r w:rsidRPr="00470464">
        <w:rPr>
          <w:rFonts w:eastAsia="Calibri" w:cs="Arial"/>
          <w:lang w:eastAsia="en-US"/>
        </w:rPr>
        <w:t>Asimismo, la resolución referida no cumple con lo establecido en</w:t>
      </w:r>
      <w:r>
        <w:rPr>
          <w:rFonts w:eastAsia="Calibri" w:cs="Arial"/>
          <w:lang w:eastAsia="en-US"/>
        </w:rPr>
        <w:t xml:space="preserve"> </w:t>
      </w:r>
      <w:r w:rsidRPr="00470464">
        <w:rPr>
          <w:rFonts w:eastAsia="Calibri" w:cs="Arial"/>
          <w:lang w:eastAsia="en-US"/>
        </w:rPr>
        <w:t>Resolución del Tribunal de Cuentas de fecha 22/12/2010 (publicada en el Diario</w:t>
      </w:r>
      <w:r>
        <w:rPr>
          <w:rFonts w:eastAsia="Calibri" w:cs="Arial"/>
          <w:lang w:eastAsia="en-US"/>
        </w:rPr>
        <w:t xml:space="preserve"> </w:t>
      </w:r>
      <w:r w:rsidRPr="00470464">
        <w:rPr>
          <w:rFonts w:eastAsia="Calibri" w:cs="Arial"/>
          <w:lang w:eastAsia="en-US"/>
        </w:rPr>
        <w:t>Oficial del 31/12/2010)</w:t>
      </w:r>
      <w:r>
        <w:rPr>
          <w:rFonts w:eastAsia="Calibri" w:cs="Arial"/>
          <w:lang w:eastAsia="en-US"/>
        </w:rPr>
        <w:t>.</w:t>
      </w:r>
    </w:p>
    <w:p w:rsidR="00E07F97" w:rsidRPr="00E128CE" w:rsidRDefault="00E07F97" w:rsidP="00E07F97">
      <w:pPr>
        <w:autoSpaceDE w:val="0"/>
        <w:autoSpaceDN w:val="0"/>
        <w:adjustRightInd w:val="0"/>
        <w:spacing w:line="360" w:lineRule="auto"/>
        <w:jc w:val="both"/>
        <w:rPr>
          <w:rFonts w:cs="Arial"/>
        </w:rPr>
      </w:pPr>
      <w:r w:rsidRPr="00E128CE">
        <w:rPr>
          <w:rFonts w:cs="Arial"/>
          <w:b/>
        </w:rPr>
        <w:t>3.3)</w:t>
      </w:r>
      <w:r w:rsidRPr="00E128CE">
        <w:rPr>
          <w:rFonts w:cs="Arial"/>
        </w:rPr>
        <w:t xml:space="preserve"> Con relación a la previsión del Artículo 7º para la contratación de becarios o pasantes, oportunamente deberá remitirse la reglamentación dictada para dicha contratación, la que deberá prever plazos y remuneraciones fijadas.</w:t>
      </w:r>
    </w:p>
    <w:p w:rsidR="00E07F97" w:rsidRDefault="00E07F97" w:rsidP="00E07F97">
      <w:pPr>
        <w:autoSpaceDE w:val="0"/>
        <w:autoSpaceDN w:val="0"/>
        <w:adjustRightInd w:val="0"/>
        <w:spacing w:line="360" w:lineRule="auto"/>
        <w:jc w:val="both"/>
        <w:rPr>
          <w:rFonts w:cs="Arial"/>
        </w:rPr>
      </w:pPr>
      <w:r w:rsidRPr="00E128CE">
        <w:rPr>
          <w:rFonts w:cs="Arial"/>
          <w:b/>
        </w:rPr>
        <w:t>3.4)</w:t>
      </w:r>
      <w:r w:rsidRPr="00E128CE">
        <w:rPr>
          <w:rFonts w:cs="Arial"/>
        </w:rPr>
        <w:t xml:space="preserve"> El Artículo 9º que prevé una partida estimativa en el Objeto 221 (Publicidad) en lo que refiere a “eventos culturales, organizar concursos” excede las potestades que la Constitución </w:t>
      </w:r>
      <w:r>
        <w:rPr>
          <w:rFonts w:cs="Arial"/>
        </w:rPr>
        <w:t xml:space="preserve">de la República </w:t>
      </w:r>
      <w:r w:rsidRPr="00E128CE">
        <w:rPr>
          <w:rFonts w:cs="Arial"/>
        </w:rPr>
        <w:t xml:space="preserve">en su </w:t>
      </w:r>
      <w:r>
        <w:rPr>
          <w:rFonts w:cs="Arial"/>
        </w:rPr>
        <w:t>A</w:t>
      </w:r>
      <w:r w:rsidRPr="00E128CE">
        <w:rPr>
          <w:rFonts w:cs="Arial"/>
        </w:rPr>
        <w:t>rtículo 273 asigna a la Junta</w:t>
      </w:r>
      <w:r>
        <w:rPr>
          <w:rFonts w:cs="Arial"/>
        </w:rPr>
        <w:t xml:space="preserve"> </w:t>
      </w:r>
      <w:r w:rsidRPr="00E128CE">
        <w:rPr>
          <w:rFonts w:cs="Arial"/>
        </w:rPr>
        <w:t>Departamental.</w:t>
      </w:r>
    </w:p>
    <w:p w:rsidR="00A47133" w:rsidRPr="00E128CE" w:rsidRDefault="00A47133" w:rsidP="00E07F97">
      <w:pPr>
        <w:autoSpaceDE w:val="0"/>
        <w:autoSpaceDN w:val="0"/>
        <w:adjustRightInd w:val="0"/>
        <w:spacing w:line="360" w:lineRule="auto"/>
        <w:jc w:val="both"/>
        <w:rPr>
          <w:rFonts w:cs="Arial"/>
          <w:b/>
        </w:rPr>
      </w:pPr>
    </w:p>
    <w:p w:rsidR="00E07F97" w:rsidRPr="005217A6" w:rsidRDefault="00E07F97" w:rsidP="00E07F97">
      <w:pPr>
        <w:widowControl w:val="0"/>
        <w:spacing w:line="360" w:lineRule="auto"/>
        <w:jc w:val="both"/>
        <w:rPr>
          <w:rFonts w:cs="Arial"/>
          <w:b/>
          <w:snapToGrid w:val="0"/>
        </w:rPr>
      </w:pPr>
      <w:r>
        <w:rPr>
          <w:rFonts w:cs="Arial"/>
          <w:b/>
          <w:snapToGrid w:val="0"/>
        </w:rPr>
        <w:t>4) Opinión</w:t>
      </w:r>
    </w:p>
    <w:p w:rsidR="00E07F97" w:rsidRPr="00D2428E" w:rsidRDefault="00E07F97" w:rsidP="00E07F97">
      <w:pPr>
        <w:autoSpaceDE w:val="0"/>
        <w:autoSpaceDN w:val="0"/>
        <w:adjustRightInd w:val="0"/>
        <w:spacing w:line="360" w:lineRule="auto"/>
        <w:jc w:val="both"/>
        <w:rPr>
          <w:rFonts w:ascii="LiberationSans-Regular" w:hAnsi="LiberationSans-Regular" w:cs="LiberationSans-Regular"/>
        </w:rPr>
      </w:pPr>
      <w:r w:rsidRPr="005217A6">
        <w:rPr>
          <w:rFonts w:cs="Arial"/>
          <w:snapToGrid w:val="0"/>
        </w:rPr>
        <w:t>En opinión del Tribunal de Cuentas, el Proyecto de</w:t>
      </w:r>
      <w:r>
        <w:rPr>
          <w:rFonts w:cs="Arial"/>
          <w:snapToGrid w:val="0"/>
        </w:rPr>
        <w:t xml:space="preserve"> Presupuesto de la Junta  Departamental de Florida para </w:t>
      </w:r>
      <w:r w:rsidRPr="005217A6">
        <w:rPr>
          <w:rFonts w:cs="Arial"/>
          <w:snapToGrid w:val="0"/>
        </w:rPr>
        <w:t>el período 201</w:t>
      </w:r>
      <w:r>
        <w:rPr>
          <w:rFonts w:cs="Arial"/>
          <w:snapToGrid w:val="0"/>
        </w:rPr>
        <w:t>6</w:t>
      </w:r>
      <w:r w:rsidRPr="005217A6">
        <w:rPr>
          <w:rFonts w:cs="Arial"/>
          <w:snapToGrid w:val="0"/>
        </w:rPr>
        <w:t>-20</w:t>
      </w:r>
      <w:r>
        <w:rPr>
          <w:rFonts w:cs="Arial"/>
          <w:snapToGrid w:val="0"/>
        </w:rPr>
        <w:t>20</w:t>
      </w:r>
      <w:r w:rsidRPr="005217A6">
        <w:rPr>
          <w:rFonts w:cs="Arial"/>
          <w:snapToGrid w:val="0"/>
        </w:rPr>
        <w:t xml:space="preserve"> ha sido preparado en forma razonable de acuerdo a los supues</w:t>
      </w:r>
      <w:r>
        <w:rPr>
          <w:rFonts w:cs="Arial"/>
          <w:snapToGrid w:val="0"/>
        </w:rPr>
        <w:t>tos efectuados por el Organismo y</w:t>
      </w:r>
      <w:r w:rsidRPr="005217A6">
        <w:rPr>
          <w:rFonts w:cs="Arial"/>
          <w:snapToGrid w:val="0"/>
        </w:rPr>
        <w:t xml:space="preserve"> se presenta de conformidad con las disposiciones constitucionales, legales y </w:t>
      </w:r>
      <w:r w:rsidRPr="00E128CE">
        <w:rPr>
          <w:rFonts w:cs="Arial"/>
          <w:snapToGrid w:val="0"/>
        </w:rPr>
        <w:t xml:space="preserve">reglamentarias vigentes, excepto por lo establecido en los párrafos 3.2) y 3.4). </w:t>
      </w:r>
      <w:r w:rsidRPr="00E128CE">
        <w:rPr>
          <w:rFonts w:cs="Arial"/>
        </w:rPr>
        <w:t>Téngase presente lo establecido en el párrafo 3.3).</w:t>
      </w:r>
    </w:p>
    <w:p w:rsidR="00E07F97" w:rsidRDefault="00E07F97" w:rsidP="00E07F97">
      <w:pPr>
        <w:widowControl w:val="0"/>
        <w:spacing w:line="360" w:lineRule="auto"/>
        <w:jc w:val="right"/>
      </w:pPr>
      <w:r>
        <w:t>Montevideo, 5 de febrero de 2016</w:t>
      </w:r>
    </w:p>
    <w:p w:rsidR="0051603F" w:rsidRPr="00E07F97" w:rsidRDefault="00E07F97" w:rsidP="00E07F97">
      <w:pPr>
        <w:widowControl w:val="0"/>
        <w:spacing w:line="360" w:lineRule="auto"/>
        <w:rPr>
          <w:rFonts w:cs="Arial"/>
          <w:snapToGrid w:val="0"/>
        </w:rPr>
      </w:pPr>
      <w:proofErr w:type="spellStart"/>
      <w:proofErr w:type="gramStart"/>
      <w:r>
        <w:t>cr</w:t>
      </w:r>
      <w:proofErr w:type="spellEnd"/>
      <w:proofErr w:type="gramEnd"/>
    </w:p>
    <w:sectPr w:rsidR="0051603F" w:rsidRPr="00E07F97" w:rsidSect="00974C6E">
      <w:footerReference w:type="even" r:id="rId8"/>
      <w:footerReference w:type="default" r:id="rId9"/>
      <w:pgSz w:w="11906" w:h="16838" w:code="9"/>
      <w:pgMar w:top="3402" w:right="1701" w:bottom="1418"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97" w:rsidRDefault="00E07F97">
      <w:r>
        <w:separator/>
      </w:r>
    </w:p>
  </w:endnote>
  <w:endnote w:type="continuationSeparator" w:id="0">
    <w:p w:rsidR="00E07F97" w:rsidRDefault="00E0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97" w:rsidRDefault="00E07F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07F97" w:rsidRDefault="00E07F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97" w:rsidRDefault="00E07F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1495">
      <w:rPr>
        <w:rStyle w:val="Nmerodepgina"/>
        <w:noProof/>
      </w:rPr>
      <w:t>1</w:t>
    </w:r>
    <w:r>
      <w:rPr>
        <w:rStyle w:val="Nmerodepgina"/>
      </w:rPr>
      <w:fldChar w:fldCharType="end"/>
    </w:r>
  </w:p>
  <w:p w:rsidR="00E07F97" w:rsidRDefault="00E07F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97" w:rsidRDefault="00E07F97">
      <w:r>
        <w:separator/>
      </w:r>
    </w:p>
  </w:footnote>
  <w:footnote w:type="continuationSeparator" w:id="0">
    <w:p w:rsidR="00E07F97" w:rsidRDefault="00E07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9B3245DE"/>
    <w:lvl w:ilvl="0" w:tplc="DF6841A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3F"/>
    <w:rsid w:val="00124DA0"/>
    <w:rsid w:val="001373DE"/>
    <w:rsid w:val="001D3DC6"/>
    <w:rsid w:val="004F61A9"/>
    <w:rsid w:val="0051603F"/>
    <w:rsid w:val="00533F13"/>
    <w:rsid w:val="005B7042"/>
    <w:rsid w:val="006C77D3"/>
    <w:rsid w:val="0079018B"/>
    <w:rsid w:val="00961495"/>
    <w:rsid w:val="00974C6E"/>
    <w:rsid w:val="00A47133"/>
    <w:rsid w:val="00C37B59"/>
    <w:rsid w:val="00CB5F0E"/>
    <w:rsid w:val="00D65194"/>
    <w:rsid w:val="00E07F97"/>
    <w:rsid w:val="00F1030E"/>
    <w:rsid w:val="00FA6F8F"/>
    <w:rsid w:val="00FC0E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E07F97"/>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E07F97"/>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E07F97"/>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E07F97"/>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E07F97"/>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E07F97"/>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De Souza</dc:creator>
  <cp:keywords/>
  <dc:description/>
  <cp:lastModifiedBy> </cp:lastModifiedBy>
  <cp:revision>4</cp:revision>
  <cp:lastPrinted>2016-02-12T14:04:00Z</cp:lastPrinted>
  <dcterms:created xsi:type="dcterms:W3CDTF">2016-02-12T14:05:00Z</dcterms:created>
  <dcterms:modified xsi:type="dcterms:W3CDTF">2016-04-11T21:27:00Z</dcterms:modified>
</cp:coreProperties>
</file>