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9A" w:rsidRDefault="00C23C9A" w:rsidP="00C23C9A">
      <w:pPr>
        <w:pStyle w:val="Ttulo"/>
        <w:ind w:firstLine="708"/>
        <w:jc w:val="both"/>
        <w:rPr>
          <w:u w:val="none"/>
        </w:rPr>
      </w:pPr>
    </w:p>
    <w:p w:rsidR="00C23C9A" w:rsidRDefault="00C23C9A" w:rsidP="00C23C9A">
      <w:pPr>
        <w:pStyle w:val="Ttulo"/>
        <w:ind w:firstLine="708"/>
        <w:jc w:val="both"/>
        <w:rPr>
          <w:u w:val="none"/>
        </w:rPr>
      </w:pPr>
    </w:p>
    <w:p w:rsidR="00C23C9A" w:rsidRDefault="00C23C9A" w:rsidP="00C23C9A">
      <w:pPr>
        <w:pStyle w:val="Ttulo"/>
        <w:ind w:firstLine="708"/>
        <w:jc w:val="both"/>
        <w:rPr>
          <w:u w:val="none"/>
        </w:rPr>
      </w:pPr>
    </w:p>
    <w:p w:rsidR="00C23C9A" w:rsidRPr="00C23C9A" w:rsidRDefault="00C23C9A" w:rsidP="00292093">
      <w:pPr>
        <w:tabs>
          <w:tab w:val="center" w:pos="4253"/>
        </w:tabs>
        <w:suppressAutoHyphens/>
        <w:jc w:val="right"/>
        <w:rPr>
          <w:rFonts w:ascii="Arial" w:hAnsi="Arial" w:cs="Arial"/>
          <w:sz w:val="28"/>
          <w:szCs w:val="28"/>
          <w:lang w:val="es-ES_tradnl"/>
        </w:rPr>
      </w:pPr>
      <w:r w:rsidRPr="00C23C9A">
        <w:rPr>
          <w:rFonts w:ascii="Arial" w:hAnsi="Arial" w:cs="Arial"/>
          <w:sz w:val="28"/>
          <w:szCs w:val="28"/>
          <w:lang w:val="es-ES_tradnl"/>
        </w:rPr>
        <w:t>RES. 575/16</w:t>
      </w:r>
    </w:p>
    <w:p w:rsidR="00C23C9A" w:rsidRPr="00C23C9A" w:rsidRDefault="00C23C9A">
      <w:pPr>
        <w:tabs>
          <w:tab w:val="center" w:pos="4253"/>
        </w:tabs>
        <w:suppressAutoHyphens/>
        <w:jc w:val="center"/>
        <w:rPr>
          <w:rFonts w:ascii="Arial" w:hAnsi="Arial" w:cs="Arial"/>
          <w:szCs w:val="24"/>
          <w:lang w:val="es-ES_tradnl"/>
        </w:rPr>
      </w:pPr>
    </w:p>
    <w:p w:rsidR="00C23C9A" w:rsidRPr="00C23C9A" w:rsidRDefault="00C23C9A">
      <w:pPr>
        <w:tabs>
          <w:tab w:val="center" w:pos="4253"/>
        </w:tabs>
        <w:suppressAutoHyphens/>
        <w:jc w:val="center"/>
        <w:rPr>
          <w:rFonts w:ascii="Arial" w:hAnsi="Arial" w:cs="Arial"/>
          <w:szCs w:val="24"/>
          <w:lang w:val="es-ES_tradnl"/>
        </w:rPr>
      </w:pPr>
      <w:r w:rsidRPr="00C23C9A">
        <w:rPr>
          <w:rFonts w:ascii="Arial" w:hAnsi="Arial" w:cs="Arial"/>
          <w:szCs w:val="24"/>
          <w:lang w:val="es-ES_tradnl"/>
        </w:rPr>
        <w:t>RESOLUCION ADOPTADA POR EL</w:t>
      </w:r>
    </w:p>
    <w:p w:rsidR="00C23C9A" w:rsidRPr="00C23C9A" w:rsidRDefault="00C23C9A">
      <w:pPr>
        <w:tabs>
          <w:tab w:val="left" w:pos="-720"/>
        </w:tabs>
        <w:suppressAutoHyphens/>
        <w:jc w:val="center"/>
        <w:rPr>
          <w:rFonts w:ascii="Arial" w:hAnsi="Arial" w:cs="Arial"/>
          <w:szCs w:val="24"/>
          <w:lang w:val="es-ES_tradnl"/>
        </w:rPr>
      </w:pPr>
    </w:p>
    <w:p w:rsidR="00C23C9A" w:rsidRPr="00C23C9A" w:rsidRDefault="00C23C9A">
      <w:pPr>
        <w:tabs>
          <w:tab w:val="center" w:pos="4253"/>
        </w:tabs>
        <w:suppressAutoHyphens/>
        <w:jc w:val="center"/>
        <w:rPr>
          <w:rFonts w:ascii="Arial" w:hAnsi="Arial" w:cs="Arial"/>
          <w:szCs w:val="24"/>
          <w:lang w:val="es-ES_tradnl"/>
        </w:rPr>
      </w:pPr>
      <w:r w:rsidRPr="00C23C9A">
        <w:rPr>
          <w:rFonts w:ascii="Arial" w:hAnsi="Arial" w:cs="Arial"/>
          <w:szCs w:val="24"/>
          <w:lang w:val="es-ES_tradnl"/>
        </w:rPr>
        <w:t>TRIBUNAL DE CUENTAS</w:t>
      </w:r>
    </w:p>
    <w:p w:rsidR="00C23C9A" w:rsidRPr="00C23C9A" w:rsidRDefault="00C23C9A">
      <w:pPr>
        <w:tabs>
          <w:tab w:val="left" w:pos="-720"/>
        </w:tabs>
        <w:suppressAutoHyphens/>
        <w:jc w:val="center"/>
        <w:rPr>
          <w:rFonts w:ascii="Arial" w:hAnsi="Arial" w:cs="Arial"/>
          <w:szCs w:val="24"/>
          <w:lang w:val="es-ES_tradnl"/>
        </w:rPr>
      </w:pPr>
    </w:p>
    <w:p w:rsidR="00C23C9A" w:rsidRPr="00C23C9A" w:rsidRDefault="00C23C9A">
      <w:pPr>
        <w:tabs>
          <w:tab w:val="center" w:pos="4253"/>
        </w:tabs>
        <w:suppressAutoHyphens/>
        <w:jc w:val="center"/>
        <w:rPr>
          <w:rFonts w:ascii="Arial" w:hAnsi="Arial" w:cs="Arial"/>
          <w:szCs w:val="24"/>
          <w:lang w:val="es-ES_tradnl"/>
        </w:rPr>
      </w:pPr>
      <w:r w:rsidRPr="00C23C9A">
        <w:rPr>
          <w:rFonts w:ascii="Arial" w:hAnsi="Arial" w:cs="Arial"/>
          <w:szCs w:val="24"/>
          <w:lang w:val="es-ES_tradnl"/>
        </w:rPr>
        <w:t xml:space="preserve">EN SESION DE FECHA </w:t>
      </w:r>
      <w:r>
        <w:rPr>
          <w:rFonts w:ascii="Arial" w:hAnsi="Arial" w:cs="Arial"/>
          <w:szCs w:val="24"/>
          <w:lang w:val="es-ES_tradnl"/>
        </w:rPr>
        <w:t>17 DE FEBRERO</w:t>
      </w:r>
      <w:r w:rsidRPr="00C23C9A">
        <w:rPr>
          <w:rFonts w:ascii="Arial" w:hAnsi="Arial" w:cs="Arial"/>
          <w:szCs w:val="24"/>
          <w:lang w:val="es-ES_tradnl"/>
        </w:rPr>
        <w:t xml:space="preserve">  DE 2016</w:t>
      </w:r>
    </w:p>
    <w:p w:rsidR="00C23C9A" w:rsidRPr="00C23C9A" w:rsidRDefault="00C23C9A">
      <w:pPr>
        <w:tabs>
          <w:tab w:val="center" w:pos="4253"/>
        </w:tabs>
        <w:suppressAutoHyphens/>
        <w:jc w:val="center"/>
        <w:rPr>
          <w:rFonts w:ascii="Arial" w:hAnsi="Arial" w:cs="Arial"/>
          <w:szCs w:val="24"/>
          <w:lang w:val="es-ES_tradnl"/>
        </w:rPr>
      </w:pPr>
    </w:p>
    <w:p w:rsidR="00C23C9A" w:rsidRPr="00C23C9A" w:rsidRDefault="00C23C9A">
      <w:pPr>
        <w:tabs>
          <w:tab w:val="center" w:pos="4253"/>
        </w:tabs>
        <w:suppressAutoHyphens/>
        <w:jc w:val="center"/>
        <w:rPr>
          <w:rFonts w:ascii="Arial" w:hAnsi="Arial" w:cs="Arial"/>
          <w:szCs w:val="24"/>
          <w:lang w:val="es-ES_tradnl"/>
        </w:rPr>
      </w:pPr>
      <w:r w:rsidRPr="00C23C9A">
        <w:rPr>
          <w:rFonts w:ascii="Arial" w:hAnsi="Arial" w:cs="Arial"/>
          <w:szCs w:val="24"/>
          <w:lang w:val="es-ES_tradnl"/>
        </w:rPr>
        <w:t>(</w:t>
      </w:r>
      <w:r>
        <w:rPr>
          <w:rFonts w:ascii="Arial" w:hAnsi="Arial" w:cs="Arial"/>
          <w:szCs w:val="24"/>
          <w:lang w:val="es-ES_tradnl"/>
        </w:rPr>
        <w:t xml:space="preserve">E.E. </w:t>
      </w:r>
      <w:r w:rsidRPr="00C23C9A">
        <w:rPr>
          <w:rFonts w:ascii="Arial" w:hAnsi="Arial" w:cs="Arial"/>
          <w:szCs w:val="24"/>
          <w:lang w:val="es-ES_tradnl"/>
        </w:rPr>
        <w:t>Nº</w:t>
      </w:r>
      <w:r>
        <w:rPr>
          <w:rFonts w:ascii="Arial" w:hAnsi="Arial" w:cs="Arial"/>
          <w:szCs w:val="24"/>
          <w:lang w:val="es-ES_tradnl"/>
        </w:rPr>
        <w:t xml:space="preserve"> 2015-17-1-0008552</w:t>
      </w:r>
      <w:r w:rsidRPr="00C23C9A">
        <w:rPr>
          <w:rFonts w:ascii="Arial" w:hAnsi="Arial" w:cs="Arial"/>
          <w:szCs w:val="24"/>
          <w:lang w:val="es-ES_tradnl"/>
        </w:rPr>
        <w:t xml:space="preserve">, E. </w:t>
      </w:r>
      <w:r>
        <w:rPr>
          <w:rFonts w:ascii="Arial" w:hAnsi="Arial" w:cs="Arial"/>
          <w:szCs w:val="24"/>
          <w:lang w:val="es-ES_tradnl"/>
        </w:rPr>
        <w:t>Nº 454/16</w:t>
      </w:r>
      <w:r w:rsidRPr="00C23C9A">
        <w:rPr>
          <w:rFonts w:ascii="Arial" w:hAnsi="Arial" w:cs="Arial"/>
          <w:szCs w:val="24"/>
          <w:lang w:val="es-ES_tradnl"/>
        </w:rPr>
        <w:t>)</w:t>
      </w:r>
    </w:p>
    <w:p w:rsidR="00C23C9A" w:rsidRPr="00C23C9A" w:rsidRDefault="00C23C9A">
      <w:pPr>
        <w:tabs>
          <w:tab w:val="center" w:pos="4253"/>
        </w:tabs>
        <w:suppressAutoHyphens/>
        <w:jc w:val="center"/>
        <w:rPr>
          <w:rFonts w:ascii="Arial" w:hAnsi="Arial" w:cs="Arial"/>
          <w:spacing w:val="-3"/>
          <w:szCs w:val="24"/>
          <w:lang w:val="es-ES_tradnl"/>
        </w:rPr>
      </w:pPr>
    </w:p>
    <w:p w:rsidR="00C23C9A" w:rsidRPr="004746D1" w:rsidRDefault="00C23C9A">
      <w:pPr>
        <w:rPr>
          <w:rFonts w:ascii="Arial" w:hAnsi="Arial" w:cs="Arial"/>
          <w:szCs w:val="24"/>
        </w:rPr>
      </w:pPr>
    </w:p>
    <w:p w:rsidR="00C23C9A" w:rsidRDefault="00C23C9A" w:rsidP="00C23C9A">
      <w:pPr>
        <w:pStyle w:val="Ttulo"/>
        <w:ind w:firstLine="708"/>
        <w:jc w:val="both"/>
        <w:rPr>
          <w:b w:val="0"/>
          <w:u w:val="none"/>
        </w:rPr>
      </w:pPr>
      <w:r>
        <w:rPr>
          <w:u w:val="none"/>
        </w:rPr>
        <w:t>VISTO:</w:t>
      </w:r>
      <w:r>
        <w:rPr>
          <w:b w:val="0"/>
          <w:u w:val="none"/>
        </w:rPr>
        <w:t xml:space="preserve"> las nuevas actuaciones remitidas por el Ministerio del Interior relativas a la Licitación Pública N° 3/2015, convocada para la “</w:t>
      </w:r>
      <w:r>
        <w:rPr>
          <w:rFonts w:cs="Arial"/>
          <w:b w:val="0"/>
          <w:u w:val="none"/>
          <w:lang w:val="es-ES_tradnl"/>
        </w:rPr>
        <w:t xml:space="preserve">Construcción del Nuevo Centro Penitenciario a realizar en la </w:t>
      </w:r>
      <w:r w:rsidR="00F72EF1">
        <w:rPr>
          <w:rFonts w:cs="Arial"/>
          <w:b w:val="0"/>
          <w:u w:val="none"/>
          <w:lang w:val="es-ES_tradnl"/>
        </w:rPr>
        <w:t>F</w:t>
      </w:r>
      <w:r>
        <w:rPr>
          <w:rFonts w:cs="Arial"/>
          <w:b w:val="0"/>
          <w:u w:val="none"/>
          <w:lang w:val="es-ES_tradnl"/>
        </w:rPr>
        <w:t xml:space="preserve">racción A del </w:t>
      </w:r>
      <w:r w:rsidR="00F72EF1">
        <w:rPr>
          <w:rFonts w:cs="Arial"/>
          <w:b w:val="0"/>
          <w:u w:val="none"/>
          <w:lang w:val="es-ES_tradnl"/>
        </w:rPr>
        <w:t>P</w:t>
      </w:r>
      <w:r>
        <w:rPr>
          <w:rFonts w:cs="Arial"/>
          <w:b w:val="0"/>
          <w:u w:val="none"/>
          <w:lang w:val="es-ES_tradnl"/>
        </w:rPr>
        <w:t>adrón Nº 4176 de la ciudad de Florida, km. 100 de la Ruta Nacional Nº 5</w:t>
      </w:r>
      <w:r>
        <w:rPr>
          <w:b w:val="0"/>
          <w:u w:val="none"/>
        </w:rPr>
        <w:t>”</w:t>
      </w:r>
      <w:r>
        <w:rPr>
          <w:rFonts w:cs="Arial"/>
          <w:b w:val="0"/>
          <w:u w:val="none"/>
          <w:lang w:val="es-ES_tradnl"/>
        </w:rPr>
        <w:t xml:space="preserve">; </w:t>
      </w:r>
      <w:r>
        <w:rPr>
          <w:rFonts w:cs="Arial"/>
          <w:u w:val="none"/>
          <w:lang w:val="es-ES_tradnl"/>
        </w:rPr>
        <w:t xml:space="preserve"> </w:t>
      </w:r>
      <w:r>
        <w:rPr>
          <w:rFonts w:cs="Arial"/>
          <w:b w:val="0"/>
          <w:u w:val="none"/>
          <w:lang w:val="es-ES_tradnl"/>
        </w:rPr>
        <w:t xml:space="preserve"> </w:t>
      </w:r>
    </w:p>
    <w:p w:rsidR="00C23C9A" w:rsidRDefault="00C23C9A" w:rsidP="00C23C9A">
      <w:pPr>
        <w:pStyle w:val="Textoindependiente2"/>
        <w:tabs>
          <w:tab w:val="left" w:pos="2694"/>
        </w:tabs>
        <w:ind w:firstLine="708"/>
        <w:rPr>
          <w:lang w:val="es-ES"/>
        </w:rPr>
      </w:pPr>
      <w:r>
        <w:rPr>
          <w:b/>
        </w:rPr>
        <w:t>RESULTANDO</w:t>
      </w:r>
      <w:r>
        <w:t>:</w:t>
      </w:r>
      <w:r>
        <w:tab/>
      </w:r>
      <w:r>
        <w:rPr>
          <w:b/>
        </w:rPr>
        <w:t>1)</w:t>
      </w:r>
      <w:r>
        <w:t xml:space="preserve"> que este Tribunal en Sesión de fecha 30.12.2015 </w:t>
      </w:r>
      <w:bookmarkStart w:id="0" w:name="_GoBack"/>
      <w:bookmarkEnd w:id="0"/>
      <w:r>
        <w:t>observó  el gasto en virtud de las siguientes consideraciones:</w:t>
      </w:r>
      <w:r>
        <w:rPr>
          <w:lang w:val="es-ES"/>
        </w:rPr>
        <w:t xml:space="preserve"> </w:t>
      </w:r>
    </w:p>
    <w:p w:rsidR="00C23C9A" w:rsidRPr="002D409F" w:rsidRDefault="00C23C9A" w:rsidP="00C23C9A">
      <w:pPr>
        <w:pStyle w:val="Textoindependiente2"/>
        <w:tabs>
          <w:tab w:val="left" w:pos="2694"/>
        </w:tabs>
        <w:rPr>
          <w:lang w:val="es-ES"/>
        </w:rPr>
      </w:pPr>
      <w:r w:rsidRPr="002D409F">
        <w:rPr>
          <w:b/>
        </w:rPr>
        <w:t>1.1)</w:t>
      </w:r>
      <w:r>
        <w:rPr>
          <w:b/>
        </w:rPr>
        <w:t xml:space="preserve"> </w:t>
      </w:r>
      <w:r w:rsidRPr="002D409F">
        <w:t xml:space="preserve">incumplimiento de lo establecido en el Pliego de Condiciones Particulares, </w:t>
      </w:r>
      <w:r w:rsidRPr="002D409F">
        <w:rPr>
          <w:bCs w:val="0"/>
        </w:rPr>
        <w:t xml:space="preserve">el informe técnico referido en el </w:t>
      </w:r>
      <w:r>
        <w:rPr>
          <w:bCs w:val="0"/>
        </w:rPr>
        <w:t>R</w:t>
      </w:r>
      <w:r w:rsidRPr="002D409F">
        <w:rPr>
          <w:bCs w:val="0"/>
        </w:rPr>
        <w:t>esultando 5</w:t>
      </w:r>
      <w:r>
        <w:rPr>
          <w:bCs w:val="0"/>
        </w:rPr>
        <w:t>)</w:t>
      </w:r>
      <w:r w:rsidRPr="002D409F">
        <w:rPr>
          <w:bCs w:val="0"/>
        </w:rPr>
        <w:t xml:space="preserve"> expresa que “para el estudio de las propuestas técnicas se hizo </w:t>
      </w:r>
      <w:r w:rsidRPr="002D409F">
        <w:t xml:space="preserve">especial </w:t>
      </w:r>
      <w:r w:rsidRPr="002D409F">
        <w:rPr>
          <w:bCs w:val="0"/>
        </w:rPr>
        <w:t xml:space="preserve">hincapié en lo ofertado respecto al sistema de video-vigilancia, ya que el mismo se considera fundamental para este tipo de programa edilicio, contrariando lo dispuesto por el </w:t>
      </w:r>
      <w:r>
        <w:rPr>
          <w:bCs w:val="0"/>
        </w:rPr>
        <w:t>A</w:t>
      </w:r>
      <w:r w:rsidRPr="002D409F">
        <w:rPr>
          <w:bCs w:val="0"/>
        </w:rPr>
        <w:t>rt</w:t>
      </w:r>
      <w:r>
        <w:rPr>
          <w:bCs w:val="0"/>
        </w:rPr>
        <w:t>ículo</w:t>
      </w:r>
      <w:r w:rsidRPr="002D409F">
        <w:rPr>
          <w:bCs w:val="0"/>
        </w:rPr>
        <w:t xml:space="preserve"> 48 </w:t>
      </w:r>
      <w:r>
        <w:rPr>
          <w:bCs w:val="0"/>
        </w:rPr>
        <w:t>L</w:t>
      </w:r>
      <w:r w:rsidRPr="002D409F">
        <w:rPr>
          <w:bCs w:val="0"/>
        </w:rPr>
        <w:t>it</w:t>
      </w:r>
      <w:r>
        <w:rPr>
          <w:bCs w:val="0"/>
        </w:rPr>
        <w:t>eral</w:t>
      </w:r>
      <w:r w:rsidRPr="002D409F">
        <w:rPr>
          <w:bCs w:val="0"/>
        </w:rPr>
        <w:t xml:space="preserve"> C</w:t>
      </w:r>
      <w:r>
        <w:rPr>
          <w:bCs w:val="0"/>
        </w:rPr>
        <w:t>)</w:t>
      </w:r>
      <w:r w:rsidRPr="002D409F">
        <w:rPr>
          <w:bCs w:val="0"/>
        </w:rPr>
        <w:t xml:space="preserve"> del TOCAF al no respetar los criterios de ponderación establecidos;</w:t>
      </w:r>
    </w:p>
    <w:p w:rsidR="00C23C9A" w:rsidRDefault="00C23C9A" w:rsidP="00C23C9A">
      <w:pPr>
        <w:tabs>
          <w:tab w:val="left" w:pos="3402"/>
        </w:tabs>
        <w:spacing w:line="360" w:lineRule="auto"/>
        <w:jc w:val="both"/>
        <w:rPr>
          <w:rFonts w:ascii="Arial" w:hAnsi="Arial" w:cs="Arial"/>
          <w:b w:val="0"/>
          <w:bCs/>
          <w:lang w:val="es-ES_tradnl"/>
        </w:rPr>
      </w:pPr>
      <w:r>
        <w:rPr>
          <w:rFonts w:ascii="Arial" w:hAnsi="Arial" w:cs="Arial"/>
          <w:bCs/>
          <w:lang w:val="es-ES_tradnl"/>
        </w:rPr>
        <w:t>1.2)</w:t>
      </w:r>
      <w:r>
        <w:rPr>
          <w:rFonts w:ascii="Arial" w:hAnsi="Arial" w:cs="Arial"/>
          <w:b w:val="0"/>
          <w:bCs/>
          <w:lang w:val="es-ES_tradnl"/>
        </w:rPr>
        <w:t xml:space="preserve"> incumplimiento del Artículo 66 del TOCAF, al no explicitar los fundamentos para proceder a la contratación de referencia. La contratación proyectada carece de motivación, esto es, no se justifican en él las razones para proceder a la decisión que la </w:t>
      </w:r>
      <w:r w:rsidR="00F72EF1">
        <w:rPr>
          <w:rFonts w:ascii="Arial" w:hAnsi="Arial" w:cs="Arial"/>
          <w:b w:val="0"/>
          <w:bCs/>
          <w:lang w:val="es-ES_tradnl"/>
        </w:rPr>
        <w:t>A</w:t>
      </w:r>
      <w:r>
        <w:rPr>
          <w:rFonts w:ascii="Arial" w:hAnsi="Arial" w:cs="Arial"/>
          <w:b w:val="0"/>
          <w:bCs/>
          <w:lang w:val="es-ES_tradnl"/>
        </w:rPr>
        <w:t>dministración pretende adoptar;</w:t>
      </w:r>
    </w:p>
    <w:p w:rsidR="00C23C9A" w:rsidRPr="002D409F" w:rsidRDefault="00C23C9A" w:rsidP="00C23C9A">
      <w:pPr>
        <w:tabs>
          <w:tab w:val="left" w:pos="3402"/>
        </w:tabs>
        <w:spacing w:line="360" w:lineRule="auto"/>
        <w:jc w:val="both"/>
        <w:rPr>
          <w:rFonts w:ascii="Arial" w:hAnsi="Arial" w:cs="Arial"/>
          <w:b w:val="0"/>
          <w:bCs/>
          <w:lang w:val="es-ES_tradnl"/>
        </w:rPr>
      </w:pPr>
      <w:r w:rsidRPr="002D409F">
        <w:rPr>
          <w:rFonts w:ascii="Arial" w:hAnsi="Arial" w:cs="Arial"/>
          <w:bCs/>
        </w:rPr>
        <w:t>1.3)</w:t>
      </w:r>
      <w:r w:rsidRPr="002D409F">
        <w:rPr>
          <w:rFonts w:ascii="Arial" w:hAnsi="Arial" w:cs="Arial"/>
          <w:b w:val="0"/>
          <w:bCs/>
        </w:rPr>
        <w:t xml:space="preserve"> el Pliego de Condiciones Particulares en el Art</w:t>
      </w:r>
      <w:r>
        <w:rPr>
          <w:rFonts w:ascii="Arial" w:hAnsi="Arial" w:cs="Arial"/>
          <w:b w:val="0"/>
          <w:bCs/>
        </w:rPr>
        <w:t>ículo</w:t>
      </w:r>
      <w:r w:rsidRPr="002D409F">
        <w:rPr>
          <w:rFonts w:ascii="Arial" w:hAnsi="Arial" w:cs="Arial"/>
          <w:b w:val="0"/>
          <w:bCs/>
        </w:rPr>
        <w:t xml:space="preserve"> 9 “Documentos a presentar” establece que “el oferente deberá presentar un sobre con la oferta técnica y económica, adjuntándose: 3. Recaudos proporcionados por el área de </w:t>
      </w:r>
      <w:r w:rsidRPr="002D409F">
        <w:rPr>
          <w:rFonts w:ascii="Arial" w:hAnsi="Arial" w:cs="Arial"/>
          <w:b w:val="0"/>
          <w:bCs/>
        </w:rPr>
        <w:lastRenderedPageBreak/>
        <w:t xml:space="preserve">infraestructura (planos), validados con firma del oferente, </w:t>
      </w:r>
      <w:proofErr w:type="spellStart"/>
      <w:r w:rsidRPr="002D409F">
        <w:rPr>
          <w:rFonts w:ascii="Arial" w:hAnsi="Arial" w:cs="Arial"/>
          <w:b w:val="0"/>
          <w:bCs/>
        </w:rPr>
        <w:t>rubrado</w:t>
      </w:r>
      <w:proofErr w:type="spellEnd"/>
      <w:r w:rsidRPr="002D409F">
        <w:rPr>
          <w:rFonts w:ascii="Arial" w:hAnsi="Arial" w:cs="Arial"/>
          <w:b w:val="0"/>
          <w:bCs/>
        </w:rPr>
        <w:t xml:space="preserve"> de obra y cronograma de obra, según se indica en la memoria descriptiva”. El citado </w:t>
      </w:r>
      <w:r w:rsidR="00F72EF1">
        <w:rPr>
          <w:rFonts w:ascii="Arial" w:hAnsi="Arial" w:cs="Arial"/>
          <w:b w:val="0"/>
          <w:bCs/>
        </w:rPr>
        <w:t>A</w:t>
      </w:r>
      <w:r w:rsidRPr="002D409F">
        <w:rPr>
          <w:rFonts w:ascii="Arial" w:hAnsi="Arial" w:cs="Arial"/>
          <w:b w:val="0"/>
          <w:bCs/>
        </w:rPr>
        <w:t>rtículo establece que la administración podrá</w:t>
      </w:r>
      <w:r>
        <w:rPr>
          <w:b w:val="0"/>
          <w:bCs/>
        </w:rPr>
        <w:t xml:space="preserve"> </w:t>
      </w:r>
      <w:r w:rsidRPr="002D409F">
        <w:rPr>
          <w:rFonts w:ascii="Arial" w:hAnsi="Arial" w:cs="Arial"/>
          <w:b w:val="0"/>
          <w:bCs/>
        </w:rPr>
        <w:t>otorgar a los oferentes un plazo máximo de 2 días hábiles para salvar defectos, carencias formales o errores evidente</w:t>
      </w:r>
      <w:r w:rsidR="00F64CBB">
        <w:rPr>
          <w:rFonts w:ascii="Arial" w:hAnsi="Arial" w:cs="Arial"/>
          <w:b w:val="0"/>
          <w:bCs/>
        </w:rPr>
        <w:t>s</w:t>
      </w:r>
      <w:r w:rsidRPr="002D409F">
        <w:rPr>
          <w:rFonts w:ascii="Arial" w:hAnsi="Arial" w:cs="Arial"/>
          <w:b w:val="0"/>
          <w:bCs/>
        </w:rPr>
        <w:t xml:space="preserve"> o de escasa importancia; De acuerdo </w:t>
      </w:r>
      <w:r w:rsidR="00F64CBB">
        <w:rPr>
          <w:rFonts w:ascii="Arial" w:hAnsi="Arial" w:cs="Arial"/>
          <w:b w:val="0"/>
          <w:bCs/>
        </w:rPr>
        <w:t>con</w:t>
      </w:r>
      <w:r w:rsidRPr="002D409F">
        <w:rPr>
          <w:rFonts w:ascii="Arial" w:hAnsi="Arial" w:cs="Arial"/>
          <w:b w:val="0"/>
          <w:bCs/>
        </w:rPr>
        <w:t xml:space="preserve"> lo expresado, la empresa CLERC no presentó su oferta de acuerdo </w:t>
      </w:r>
      <w:r w:rsidR="00F64CBB">
        <w:rPr>
          <w:rFonts w:ascii="Arial" w:hAnsi="Arial" w:cs="Arial"/>
          <w:b w:val="0"/>
          <w:bCs/>
        </w:rPr>
        <w:t>con</w:t>
      </w:r>
      <w:r w:rsidRPr="002D409F">
        <w:rPr>
          <w:rFonts w:ascii="Arial" w:hAnsi="Arial" w:cs="Arial"/>
          <w:b w:val="0"/>
          <w:bCs/>
        </w:rPr>
        <w:t xml:space="preserve"> lo establecido en el Pliego de Condiciones y, en consecuencia, no debió ser tenida en cuenta por la Administración.  En la ocasión no correspondía otorgar el plazo </w:t>
      </w:r>
      <w:r w:rsidR="00F64CBB">
        <w:rPr>
          <w:rFonts w:ascii="Arial" w:hAnsi="Arial" w:cs="Arial"/>
          <w:b w:val="0"/>
          <w:bCs/>
        </w:rPr>
        <w:t xml:space="preserve">de </w:t>
      </w:r>
      <w:r w:rsidRPr="002D409F">
        <w:rPr>
          <w:rFonts w:ascii="Arial" w:hAnsi="Arial" w:cs="Arial"/>
          <w:b w:val="0"/>
          <w:bCs/>
        </w:rPr>
        <w:t xml:space="preserve">48 horas a la oferente ya que dicho plazo es para “salvar defectos, carencias formales o errores evidentes o de escasa importancia” (en consonancia con el </w:t>
      </w:r>
      <w:r>
        <w:rPr>
          <w:rFonts w:ascii="Arial" w:hAnsi="Arial" w:cs="Arial"/>
          <w:b w:val="0"/>
          <w:bCs/>
        </w:rPr>
        <w:t>A</w:t>
      </w:r>
      <w:r w:rsidRPr="002D409F">
        <w:rPr>
          <w:rFonts w:ascii="Arial" w:hAnsi="Arial" w:cs="Arial"/>
          <w:b w:val="0"/>
          <w:bCs/>
        </w:rPr>
        <w:t>rtículo 65 del TOCAF). En el caso concreto se le otorgó incluso prórroga del plazo original;</w:t>
      </w:r>
    </w:p>
    <w:p w:rsidR="00C23C9A" w:rsidRDefault="00C23C9A" w:rsidP="00C23C9A">
      <w:pPr>
        <w:pStyle w:val="Ttulo"/>
        <w:tabs>
          <w:tab w:val="left" w:pos="2694"/>
        </w:tabs>
        <w:ind w:firstLine="708"/>
        <w:jc w:val="both"/>
        <w:rPr>
          <w:rFonts w:cs="Arial"/>
          <w:b w:val="0"/>
        </w:rPr>
      </w:pPr>
      <w:r w:rsidRPr="002D409F">
        <w:rPr>
          <w:rFonts w:cs="Arial"/>
          <w:b w:val="0"/>
          <w:bCs/>
          <w:u w:val="none"/>
        </w:rPr>
        <w:tab/>
      </w:r>
      <w:r w:rsidRPr="002D409F">
        <w:rPr>
          <w:rFonts w:cs="Arial"/>
          <w:u w:val="none"/>
        </w:rPr>
        <w:t>2)</w:t>
      </w:r>
      <w:r w:rsidRPr="002D409F">
        <w:rPr>
          <w:rFonts w:cs="Arial"/>
          <w:b w:val="0"/>
          <w:bCs/>
          <w:u w:val="none"/>
        </w:rPr>
        <w:t xml:space="preserve"> que </w:t>
      </w:r>
      <w:r w:rsidRPr="002D409F">
        <w:rPr>
          <w:rFonts w:cs="Arial"/>
          <w:b w:val="0"/>
          <w:u w:val="none"/>
        </w:rPr>
        <w:t>en la oportu</w:t>
      </w:r>
      <w:r>
        <w:rPr>
          <w:b w:val="0"/>
          <w:u w:val="none"/>
        </w:rPr>
        <w:t>nidad el Director General de Secretaría del Ministerio del Interior  remite nota de fecha 25.01.16, solicitando que el Tribunal reconsidere las observaciones, expresando en síntesis que:</w:t>
      </w:r>
      <w:r>
        <w:rPr>
          <w:rFonts w:cs="Arial"/>
          <w:b w:val="0"/>
        </w:rPr>
        <w:t xml:space="preserve"> </w:t>
      </w:r>
    </w:p>
    <w:p w:rsidR="00C23C9A" w:rsidRDefault="00C23C9A" w:rsidP="00C23C9A">
      <w:pPr>
        <w:tabs>
          <w:tab w:val="left" w:pos="3402"/>
        </w:tabs>
        <w:spacing w:line="360" w:lineRule="auto"/>
        <w:jc w:val="both"/>
        <w:rPr>
          <w:rFonts w:ascii="Arial" w:hAnsi="Arial" w:cs="Arial"/>
          <w:b w:val="0"/>
        </w:rPr>
      </w:pPr>
      <w:r>
        <w:rPr>
          <w:rFonts w:ascii="Arial" w:hAnsi="Arial" w:cs="Arial"/>
          <w:lang w:val="es-UY"/>
        </w:rPr>
        <w:t xml:space="preserve">2.1) </w:t>
      </w:r>
      <w:r>
        <w:rPr>
          <w:rFonts w:ascii="Arial" w:hAnsi="Arial" w:cs="Arial"/>
          <w:b w:val="0"/>
        </w:rPr>
        <w:t xml:space="preserve">en cuanto a la observación del informe técnico, no se comparte la opinión del Tribunal, ya que si bien no se menciona expresamente, se debe entender comprendido dentro de la ponderación calidad. El hecho de que se haya puesto de relieve ese punto no debe llevar a la conclusión de que fue un elemento que  no correspondía ser ponderado; </w:t>
      </w:r>
    </w:p>
    <w:p w:rsidR="00C23C9A" w:rsidRDefault="00C23C9A" w:rsidP="00C23C9A">
      <w:pPr>
        <w:tabs>
          <w:tab w:val="left" w:pos="3402"/>
        </w:tabs>
        <w:spacing w:line="360" w:lineRule="auto"/>
        <w:jc w:val="both"/>
        <w:rPr>
          <w:rFonts w:ascii="Arial" w:hAnsi="Arial" w:cs="Arial"/>
          <w:b w:val="0"/>
        </w:rPr>
      </w:pPr>
      <w:r>
        <w:rPr>
          <w:rFonts w:ascii="Arial" w:hAnsi="Arial" w:cs="Arial"/>
        </w:rPr>
        <w:t>2.2)</w:t>
      </w:r>
      <w:r>
        <w:rPr>
          <w:rFonts w:ascii="Arial" w:hAnsi="Arial" w:cs="Arial"/>
          <w:b w:val="0"/>
        </w:rPr>
        <w:t xml:space="preserve"> respecto a la falta de motivación del acto, se argumenta que si bien el </w:t>
      </w:r>
      <w:r w:rsidR="00F64CBB">
        <w:rPr>
          <w:rFonts w:ascii="Arial" w:hAnsi="Arial" w:cs="Arial"/>
          <w:b w:val="0"/>
        </w:rPr>
        <w:t>C</w:t>
      </w:r>
      <w:r>
        <w:rPr>
          <w:rFonts w:ascii="Arial" w:hAnsi="Arial" w:cs="Arial"/>
          <w:b w:val="0"/>
        </w:rPr>
        <w:t xml:space="preserve">onsiderando de la </w:t>
      </w:r>
      <w:r w:rsidR="00F64CBB">
        <w:rPr>
          <w:rFonts w:ascii="Arial" w:hAnsi="Arial" w:cs="Arial"/>
          <w:b w:val="0"/>
        </w:rPr>
        <w:t>R</w:t>
      </w:r>
      <w:r>
        <w:rPr>
          <w:rFonts w:ascii="Arial" w:hAnsi="Arial" w:cs="Arial"/>
          <w:b w:val="0"/>
        </w:rPr>
        <w:t xml:space="preserve">esolución sólo hace referencia a la norma de </w:t>
      </w:r>
      <w:r w:rsidR="00F64CBB">
        <w:rPr>
          <w:rFonts w:ascii="Arial" w:hAnsi="Arial" w:cs="Arial"/>
          <w:b w:val="0"/>
        </w:rPr>
        <w:t>D</w:t>
      </w:r>
      <w:r>
        <w:rPr>
          <w:rFonts w:ascii="Arial" w:hAnsi="Arial" w:cs="Arial"/>
          <w:b w:val="0"/>
        </w:rPr>
        <w:t xml:space="preserve">erecho en que se funda el acto, puede entenderse, en una interpretación armónica, que el acto se fundamenta en el Resultando  IV del </w:t>
      </w:r>
      <w:r w:rsidR="00F64CBB">
        <w:rPr>
          <w:rFonts w:ascii="Arial" w:hAnsi="Arial" w:cs="Arial"/>
          <w:b w:val="0"/>
        </w:rPr>
        <w:t>P</w:t>
      </w:r>
      <w:r>
        <w:rPr>
          <w:rFonts w:ascii="Arial" w:hAnsi="Arial" w:cs="Arial"/>
          <w:b w:val="0"/>
        </w:rPr>
        <w:t xml:space="preserve">royecto de </w:t>
      </w:r>
      <w:r w:rsidR="00F64CBB">
        <w:rPr>
          <w:rFonts w:ascii="Arial" w:hAnsi="Arial" w:cs="Arial"/>
          <w:b w:val="0"/>
        </w:rPr>
        <w:t>R</w:t>
      </w:r>
      <w:r>
        <w:rPr>
          <w:rFonts w:ascii="Arial" w:hAnsi="Arial" w:cs="Arial"/>
          <w:b w:val="0"/>
        </w:rPr>
        <w:t>esolución, donde se remite a informes técnicos</w:t>
      </w:r>
      <w:r w:rsidR="00F64CBB">
        <w:rPr>
          <w:rFonts w:ascii="Arial" w:hAnsi="Arial" w:cs="Arial"/>
          <w:b w:val="0"/>
        </w:rPr>
        <w:t>.  E</w:t>
      </w:r>
      <w:r>
        <w:rPr>
          <w:rFonts w:ascii="Arial" w:hAnsi="Arial" w:cs="Arial"/>
          <w:b w:val="0"/>
        </w:rPr>
        <w:t xml:space="preserve">s en ese informe que el </w:t>
      </w:r>
      <w:r w:rsidR="00F64CBB">
        <w:rPr>
          <w:rFonts w:ascii="Arial" w:hAnsi="Arial" w:cs="Arial"/>
          <w:b w:val="0"/>
        </w:rPr>
        <w:t>O</w:t>
      </w:r>
      <w:r>
        <w:rPr>
          <w:rFonts w:ascii="Arial" w:hAnsi="Arial" w:cs="Arial"/>
          <w:b w:val="0"/>
        </w:rPr>
        <w:t>rdenador funda su decisión;</w:t>
      </w:r>
    </w:p>
    <w:p w:rsidR="00C23C9A" w:rsidRDefault="00C23C9A" w:rsidP="00C23C9A">
      <w:pPr>
        <w:tabs>
          <w:tab w:val="left" w:pos="3402"/>
        </w:tabs>
        <w:spacing w:line="360" w:lineRule="auto"/>
        <w:jc w:val="both"/>
        <w:rPr>
          <w:rFonts w:cs="Arial"/>
        </w:rPr>
      </w:pPr>
      <w:r>
        <w:rPr>
          <w:rFonts w:ascii="Arial" w:hAnsi="Arial" w:cs="Arial"/>
        </w:rPr>
        <w:t xml:space="preserve">2.3) </w:t>
      </w:r>
      <w:r>
        <w:rPr>
          <w:rFonts w:ascii="Arial" w:hAnsi="Arial" w:cs="Arial"/>
          <w:b w:val="0"/>
        </w:rPr>
        <w:t xml:space="preserve">en referencia al plazo otorgado a la </w:t>
      </w:r>
      <w:r w:rsidR="00F64CBB">
        <w:rPr>
          <w:rFonts w:ascii="Arial" w:hAnsi="Arial" w:cs="Arial"/>
          <w:b w:val="0"/>
        </w:rPr>
        <w:t>F</w:t>
      </w:r>
      <w:r>
        <w:rPr>
          <w:rFonts w:ascii="Arial" w:hAnsi="Arial" w:cs="Arial"/>
          <w:b w:val="0"/>
        </w:rPr>
        <w:t>irma CLERC, se concuerda con el Tribunal en cuanto no correspondía otorgarlo</w:t>
      </w:r>
      <w:r w:rsidR="00F64CBB">
        <w:rPr>
          <w:rFonts w:ascii="Arial" w:hAnsi="Arial" w:cs="Arial"/>
          <w:b w:val="0"/>
        </w:rPr>
        <w:t>. S</w:t>
      </w:r>
      <w:r>
        <w:rPr>
          <w:rFonts w:ascii="Arial" w:hAnsi="Arial" w:cs="Arial"/>
          <w:b w:val="0"/>
        </w:rPr>
        <w:t xml:space="preserve">in embargo, tal acto no lesionó en definitiva ningún otro oferente ya que la empresa no resultó adjudicataria y una vez puesto de manifiesto el expediente ninguna empresa impugnó tal </w:t>
      </w:r>
      <w:r>
        <w:rPr>
          <w:rFonts w:ascii="Arial" w:hAnsi="Arial" w:cs="Arial"/>
          <w:b w:val="0"/>
        </w:rPr>
        <w:lastRenderedPageBreak/>
        <w:t xml:space="preserve">decisión, por lo que el principio de igualdad de los oferentes no se vio vulnerado; </w:t>
      </w:r>
    </w:p>
    <w:p w:rsidR="00C23C9A" w:rsidRDefault="00C23C9A" w:rsidP="00C23C9A">
      <w:pPr>
        <w:pStyle w:val="Ttulo"/>
        <w:tabs>
          <w:tab w:val="left" w:pos="2835"/>
        </w:tabs>
        <w:ind w:firstLine="709"/>
        <w:jc w:val="both"/>
        <w:rPr>
          <w:b w:val="0"/>
          <w:bCs/>
          <w:u w:val="none"/>
        </w:rPr>
      </w:pPr>
      <w:r>
        <w:rPr>
          <w:bCs/>
          <w:u w:val="none"/>
        </w:rPr>
        <w:t>CONSIDERANDO:</w:t>
      </w:r>
      <w:r>
        <w:rPr>
          <w:b w:val="0"/>
          <w:bCs/>
          <w:u w:val="none"/>
        </w:rPr>
        <w:t xml:space="preserve"> </w:t>
      </w:r>
      <w:r>
        <w:rPr>
          <w:bCs/>
          <w:u w:val="none"/>
        </w:rPr>
        <w:t>1)</w:t>
      </w:r>
      <w:r>
        <w:rPr>
          <w:b w:val="0"/>
          <w:bCs/>
          <w:u w:val="none"/>
        </w:rPr>
        <w:t xml:space="preserve"> que en referencia a la adjudicación de las ofertas, se debió ponderar de acuerdo </w:t>
      </w:r>
      <w:r w:rsidR="00A94258">
        <w:rPr>
          <w:b w:val="0"/>
          <w:bCs/>
          <w:u w:val="none"/>
        </w:rPr>
        <w:t>con</w:t>
      </w:r>
      <w:r>
        <w:rPr>
          <w:b w:val="0"/>
          <w:bCs/>
          <w:u w:val="none"/>
        </w:rPr>
        <w:t xml:space="preserve"> lo establecido en el Pliego de Condiciones Particulares: en el caso se hace hincapié en un factor (video-vigilancia) que se encuentra establecido como un punto más en el </w:t>
      </w:r>
      <w:r w:rsidR="00A94258">
        <w:rPr>
          <w:b w:val="0"/>
          <w:bCs/>
          <w:u w:val="none"/>
        </w:rPr>
        <w:t>P</w:t>
      </w:r>
      <w:r>
        <w:rPr>
          <w:b w:val="0"/>
          <w:bCs/>
          <w:u w:val="none"/>
        </w:rPr>
        <w:t xml:space="preserve">liego de Condiciones pero no como factor de evaluación, incumpliéndose así lo establecido en el </w:t>
      </w:r>
      <w:r w:rsidR="00A94258">
        <w:rPr>
          <w:b w:val="0"/>
          <w:bCs/>
          <w:u w:val="none"/>
        </w:rPr>
        <w:t>A</w:t>
      </w:r>
      <w:r>
        <w:rPr>
          <w:b w:val="0"/>
          <w:bCs/>
          <w:u w:val="none"/>
        </w:rPr>
        <w:t xml:space="preserve">rtículo 65 del TOCAF al no adjudicar la Licitación de acuerdo </w:t>
      </w:r>
      <w:r w:rsidR="00A94258">
        <w:rPr>
          <w:b w:val="0"/>
          <w:bCs/>
          <w:u w:val="none"/>
        </w:rPr>
        <w:t>con e</w:t>
      </w:r>
      <w:r>
        <w:rPr>
          <w:b w:val="0"/>
          <w:bCs/>
          <w:u w:val="none"/>
        </w:rPr>
        <w:t>l criterio de evaluación establecido en el Pliego;</w:t>
      </w:r>
    </w:p>
    <w:p w:rsidR="00C23C9A" w:rsidRDefault="00C23C9A" w:rsidP="00C23C9A">
      <w:pPr>
        <w:pStyle w:val="Ttulo"/>
        <w:tabs>
          <w:tab w:val="left" w:pos="2835"/>
        </w:tabs>
        <w:ind w:firstLine="2835"/>
        <w:jc w:val="both"/>
        <w:rPr>
          <w:b w:val="0"/>
          <w:bCs/>
          <w:u w:val="none"/>
        </w:rPr>
      </w:pPr>
      <w:r>
        <w:rPr>
          <w:bCs/>
          <w:u w:val="none"/>
        </w:rPr>
        <w:t>2)</w:t>
      </w:r>
      <w:r>
        <w:rPr>
          <w:b w:val="0"/>
          <w:bCs/>
          <w:u w:val="none"/>
        </w:rPr>
        <w:t xml:space="preserve"> que </w:t>
      </w:r>
      <w:r>
        <w:rPr>
          <w:b w:val="0"/>
          <w:bCs/>
          <w:u w:val="none"/>
          <w:lang w:val="es-ES_tradnl"/>
        </w:rPr>
        <w:t xml:space="preserve">el Proyecto de Resolución si bien se </w:t>
      </w:r>
      <w:r>
        <w:rPr>
          <w:rFonts w:cs="Arial"/>
          <w:b w:val="0"/>
          <w:u w:val="none"/>
        </w:rPr>
        <w:t>remite a informes técnicos, debió fundar su decisión</w:t>
      </w:r>
      <w:r>
        <w:rPr>
          <w:b w:val="0"/>
          <w:bCs/>
          <w:u w:val="none"/>
          <w:lang w:val="es-ES_tradnl"/>
        </w:rPr>
        <w:t xml:space="preserve"> tal como preceptúa el </w:t>
      </w:r>
      <w:r w:rsidR="00A94258">
        <w:rPr>
          <w:b w:val="0"/>
          <w:bCs/>
          <w:u w:val="none"/>
          <w:lang w:val="es-ES_tradnl"/>
        </w:rPr>
        <w:t>A</w:t>
      </w:r>
      <w:r>
        <w:rPr>
          <w:b w:val="0"/>
          <w:bCs/>
          <w:u w:val="none"/>
          <w:lang w:val="es-ES_tradnl"/>
        </w:rPr>
        <w:t xml:space="preserve">rtículo 66 del TOCAF, en los </w:t>
      </w:r>
      <w:r w:rsidR="00A94258">
        <w:rPr>
          <w:b w:val="0"/>
          <w:bCs/>
          <w:u w:val="none"/>
          <w:lang w:val="es-ES_tradnl"/>
        </w:rPr>
        <w:t>C</w:t>
      </w:r>
      <w:r>
        <w:rPr>
          <w:b w:val="0"/>
          <w:bCs/>
          <w:u w:val="none"/>
          <w:lang w:val="es-ES_tradnl"/>
        </w:rPr>
        <w:t>onsiderandos donde se expresan los fundamentos de hecho y de derecho, pues los actos administrativos  deben estar motivados;</w:t>
      </w:r>
    </w:p>
    <w:p w:rsidR="00C23C9A" w:rsidRDefault="00C23C9A" w:rsidP="00C23C9A">
      <w:pPr>
        <w:pStyle w:val="Ttulo"/>
        <w:tabs>
          <w:tab w:val="left" w:pos="2835"/>
        </w:tabs>
        <w:ind w:firstLine="2835"/>
        <w:jc w:val="both"/>
        <w:rPr>
          <w:b w:val="0"/>
          <w:bCs/>
          <w:u w:val="none"/>
        </w:rPr>
      </w:pPr>
      <w:r>
        <w:rPr>
          <w:bCs/>
          <w:u w:val="none"/>
        </w:rPr>
        <w:t>3)</w:t>
      </w:r>
      <w:r>
        <w:rPr>
          <w:b w:val="0"/>
          <w:bCs/>
          <w:u w:val="none"/>
        </w:rPr>
        <w:t xml:space="preserve"> que en referencia al plazo de 48 horas otorgado a la oferente Ra</w:t>
      </w:r>
      <w:r w:rsidR="00A94258">
        <w:rPr>
          <w:b w:val="0"/>
          <w:bCs/>
          <w:u w:val="none"/>
        </w:rPr>
        <w:t>ú</w:t>
      </w:r>
      <w:r>
        <w:rPr>
          <w:b w:val="0"/>
          <w:bCs/>
          <w:u w:val="none"/>
        </w:rPr>
        <w:t xml:space="preserve">l </w:t>
      </w:r>
      <w:proofErr w:type="spellStart"/>
      <w:r>
        <w:rPr>
          <w:b w:val="0"/>
          <w:bCs/>
          <w:u w:val="none"/>
        </w:rPr>
        <w:t>Clerc</w:t>
      </w:r>
      <w:proofErr w:type="spellEnd"/>
      <w:r>
        <w:rPr>
          <w:b w:val="0"/>
          <w:bCs/>
          <w:u w:val="none"/>
        </w:rPr>
        <w:t xml:space="preserve">, se incumplió lo establecido en el </w:t>
      </w:r>
      <w:r w:rsidR="00A94258">
        <w:rPr>
          <w:b w:val="0"/>
          <w:bCs/>
          <w:u w:val="none"/>
        </w:rPr>
        <w:t>A</w:t>
      </w:r>
      <w:r>
        <w:rPr>
          <w:b w:val="0"/>
          <w:bCs/>
          <w:u w:val="none"/>
        </w:rPr>
        <w:t xml:space="preserve">rtículo 65 del TOCAF, otorgando dicho plazo en más de una oportunidad y considerando una oferta que no debió ser tenida en cuenta por la Administración. En consecuencia no se procedió de acuerdo </w:t>
      </w:r>
      <w:r w:rsidR="00A94258">
        <w:rPr>
          <w:b w:val="0"/>
          <w:bCs/>
          <w:u w:val="none"/>
        </w:rPr>
        <w:t>con</w:t>
      </w:r>
      <w:r>
        <w:rPr>
          <w:b w:val="0"/>
          <w:bCs/>
          <w:u w:val="none"/>
        </w:rPr>
        <w:t xml:space="preserve"> lo estipulado en la normativa vigente, no siendo relevante que la oferente no haya resultado adjudicataria;</w:t>
      </w:r>
    </w:p>
    <w:p w:rsidR="00C23C9A" w:rsidRDefault="00C23C9A" w:rsidP="00C23C9A">
      <w:pPr>
        <w:pStyle w:val="Ttulo"/>
        <w:jc w:val="both"/>
        <w:rPr>
          <w:b w:val="0"/>
          <w:bCs/>
          <w:u w:val="none"/>
        </w:rPr>
      </w:pPr>
      <w:r>
        <w:rPr>
          <w:u w:val="none"/>
        </w:rPr>
        <w:tab/>
        <w:t xml:space="preserve">ATENTO: </w:t>
      </w:r>
      <w:r>
        <w:rPr>
          <w:b w:val="0"/>
          <w:bCs/>
          <w:u w:val="none"/>
        </w:rPr>
        <w:t>a lo precedentemente expuesto y a lo establecido en el Artículo 211 Literal B) de la Constitución de la República;</w:t>
      </w:r>
    </w:p>
    <w:p w:rsidR="00C23C9A" w:rsidRPr="0064222B" w:rsidRDefault="00C23C9A" w:rsidP="00C23C9A">
      <w:pPr>
        <w:pStyle w:val="Ttulo"/>
        <w:ind w:firstLine="708"/>
        <w:rPr>
          <w:u w:val="none"/>
        </w:rPr>
      </w:pPr>
      <w:r w:rsidRPr="0064222B">
        <w:rPr>
          <w:u w:val="none"/>
        </w:rPr>
        <w:t>EL TRIBUNAL ACUERDA</w:t>
      </w:r>
    </w:p>
    <w:p w:rsidR="00C23C9A" w:rsidRDefault="00C23C9A" w:rsidP="00C23C9A">
      <w:pPr>
        <w:spacing w:line="360" w:lineRule="auto"/>
        <w:jc w:val="both"/>
        <w:rPr>
          <w:rFonts w:ascii="Arial" w:hAnsi="Arial" w:cs="Arial"/>
          <w:b w:val="0"/>
          <w:bCs/>
        </w:rPr>
      </w:pPr>
      <w:r w:rsidRPr="0064222B">
        <w:rPr>
          <w:rFonts w:ascii="Arial" w:hAnsi="Arial" w:cs="Arial"/>
          <w:bCs/>
        </w:rPr>
        <w:t>1)</w:t>
      </w:r>
      <w:r>
        <w:rPr>
          <w:rFonts w:ascii="Arial" w:hAnsi="Arial" w:cs="Arial"/>
          <w:b w:val="0"/>
          <w:bCs/>
        </w:rPr>
        <w:t xml:space="preserve"> Estar a lo acordado  en  </w:t>
      </w:r>
      <w:r w:rsidR="00A94258">
        <w:rPr>
          <w:rFonts w:ascii="Arial" w:hAnsi="Arial" w:cs="Arial"/>
          <w:b w:val="0"/>
          <w:bCs/>
        </w:rPr>
        <w:t>S</w:t>
      </w:r>
      <w:r>
        <w:rPr>
          <w:rFonts w:ascii="Arial" w:hAnsi="Arial" w:cs="Arial"/>
          <w:b w:val="0"/>
          <w:bCs/>
        </w:rPr>
        <w:t>esión de fecha 30.12.2015; y</w:t>
      </w:r>
    </w:p>
    <w:p w:rsidR="00D23790" w:rsidRPr="00C23C9A" w:rsidRDefault="00C23C9A" w:rsidP="00C23C9A">
      <w:pPr>
        <w:rPr>
          <w:rFonts w:ascii="Arial" w:hAnsi="Arial" w:cs="Arial"/>
          <w:szCs w:val="24"/>
        </w:rPr>
      </w:pPr>
      <w:r w:rsidRPr="0064222B">
        <w:rPr>
          <w:rFonts w:ascii="Arial" w:hAnsi="Arial" w:cs="Arial"/>
          <w:bCs/>
        </w:rPr>
        <w:t>2)</w:t>
      </w:r>
      <w:r>
        <w:rPr>
          <w:rFonts w:ascii="Arial" w:hAnsi="Arial" w:cs="Arial"/>
          <w:b w:val="0"/>
          <w:bCs/>
        </w:rPr>
        <w:t xml:space="preserve"> Comunicar al Organismo actuante y a la Contadora Auditora.</w:t>
      </w:r>
    </w:p>
    <w:sectPr w:rsidR="00D23790" w:rsidRPr="00C23C9A" w:rsidSect="00136916">
      <w:pgSz w:w="11906" w:h="16838"/>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9A"/>
    <w:rsid w:val="00136916"/>
    <w:rsid w:val="00A94258"/>
    <w:rsid w:val="00C23C9A"/>
    <w:rsid w:val="00D063CE"/>
    <w:rsid w:val="00D23790"/>
    <w:rsid w:val="00F64CBB"/>
    <w:rsid w:val="00F72E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9A"/>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C23C9A"/>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C23C9A"/>
    <w:rPr>
      <w:rFonts w:ascii="Arial" w:eastAsia="Times New Roman" w:hAnsi="Arial" w:cs="Arial"/>
      <w:bCs/>
      <w:color w:val="000000"/>
      <w:sz w:val="24"/>
      <w:szCs w:val="20"/>
      <w:lang w:val="es-ES_tradnl" w:eastAsia="es-ES"/>
    </w:rPr>
  </w:style>
  <w:style w:type="paragraph" w:styleId="Ttulo">
    <w:name w:val="Title"/>
    <w:basedOn w:val="Normal"/>
    <w:link w:val="TtuloCar"/>
    <w:qFormat/>
    <w:rsid w:val="00C23C9A"/>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C23C9A"/>
    <w:rPr>
      <w:rFonts w:ascii="Arial" w:eastAsia="Times New Roman" w:hAnsi="Arial" w:cs="Times New Roman"/>
      <w:b/>
      <w:sz w:val="24"/>
      <w:szCs w:val="24"/>
      <w:u w:val="single"/>
      <w:lang w:eastAsia="es-ES"/>
    </w:rPr>
  </w:style>
  <w:style w:type="paragraph" w:styleId="Textodeglobo">
    <w:name w:val="Balloon Text"/>
    <w:basedOn w:val="Normal"/>
    <w:link w:val="TextodegloboCar"/>
    <w:uiPriority w:val="99"/>
    <w:semiHidden/>
    <w:unhideWhenUsed/>
    <w:rsid w:val="001369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916"/>
    <w:rPr>
      <w:rFonts w:ascii="Tahoma" w:eastAsia="Times New Roman"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C9A"/>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C23C9A"/>
    <w:pPr>
      <w:spacing w:line="360" w:lineRule="auto"/>
      <w:jc w:val="both"/>
    </w:pPr>
    <w:rPr>
      <w:rFonts w:ascii="Arial" w:hAnsi="Arial" w:cs="Arial"/>
      <w:b w:val="0"/>
      <w:bCs/>
      <w:lang w:val="es-ES_tradnl"/>
    </w:rPr>
  </w:style>
  <w:style w:type="character" w:customStyle="1" w:styleId="Textoindependiente2Car">
    <w:name w:val="Texto independiente 2 Car"/>
    <w:basedOn w:val="Fuentedeprrafopredeter"/>
    <w:link w:val="Textoindependiente2"/>
    <w:semiHidden/>
    <w:rsid w:val="00C23C9A"/>
    <w:rPr>
      <w:rFonts w:ascii="Arial" w:eastAsia="Times New Roman" w:hAnsi="Arial" w:cs="Arial"/>
      <w:bCs/>
      <w:color w:val="000000"/>
      <w:sz w:val="24"/>
      <w:szCs w:val="20"/>
      <w:lang w:val="es-ES_tradnl" w:eastAsia="es-ES"/>
    </w:rPr>
  </w:style>
  <w:style w:type="paragraph" w:styleId="Ttulo">
    <w:name w:val="Title"/>
    <w:basedOn w:val="Normal"/>
    <w:link w:val="TtuloCar"/>
    <w:qFormat/>
    <w:rsid w:val="00C23C9A"/>
    <w:pPr>
      <w:spacing w:line="360" w:lineRule="auto"/>
      <w:jc w:val="center"/>
    </w:pPr>
    <w:rPr>
      <w:rFonts w:ascii="Arial" w:hAnsi="Arial"/>
      <w:color w:val="auto"/>
      <w:szCs w:val="24"/>
      <w:u w:val="single"/>
      <w:lang w:val="es-UY"/>
    </w:rPr>
  </w:style>
  <w:style w:type="character" w:customStyle="1" w:styleId="TtuloCar">
    <w:name w:val="Título Car"/>
    <w:basedOn w:val="Fuentedeprrafopredeter"/>
    <w:link w:val="Ttulo"/>
    <w:rsid w:val="00C23C9A"/>
    <w:rPr>
      <w:rFonts w:ascii="Arial" w:eastAsia="Times New Roman" w:hAnsi="Arial" w:cs="Times New Roman"/>
      <w:b/>
      <w:sz w:val="24"/>
      <w:szCs w:val="24"/>
      <w:u w:val="single"/>
      <w:lang w:eastAsia="es-ES"/>
    </w:rPr>
  </w:style>
  <w:style w:type="paragraph" w:styleId="Textodeglobo">
    <w:name w:val="Balloon Text"/>
    <w:basedOn w:val="Normal"/>
    <w:link w:val="TextodegloboCar"/>
    <w:uiPriority w:val="99"/>
    <w:semiHidden/>
    <w:unhideWhenUsed/>
    <w:rsid w:val="001369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36916"/>
    <w:rPr>
      <w:rFonts w:ascii="Tahoma" w:eastAsia="Times New Roman"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796</Words>
  <Characters>4378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Tribunal1</cp:lastModifiedBy>
  <cp:revision>7</cp:revision>
  <cp:lastPrinted>2016-02-22T16:13:00Z</cp:lastPrinted>
  <dcterms:created xsi:type="dcterms:W3CDTF">2016-02-22T16:03:00Z</dcterms:created>
  <dcterms:modified xsi:type="dcterms:W3CDTF">2016-02-22T16:13:00Z</dcterms:modified>
</cp:coreProperties>
</file>