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36" w:rsidRPr="00786EEB" w:rsidRDefault="00724A36" w:rsidP="00724A36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463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724A36" w:rsidRDefault="00724A3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24A36" w:rsidRPr="00762B34" w:rsidRDefault="00724A36" w:rsidP="00724A3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24A36" w:rsidRPr="00762B34" w:rsidRDefault="00724A36" w:rsidP="00724A3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24A36" w:rsidRPr="00762B34" w:rsidRDefault="00724A36" w:rsidP="00724A3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24A36" w:rsidRPr="00762B34" w:rsidRDefault="00724A36" w:rsidP="00724A3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24A36" w:rsidRPr="00762B34" w:rsidRDefault="00724A36" w:rsidP="00724A3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 </w:t>
      </w:r>
      <w:r>
        <w:rPr>
          <w:rFonts w:cs="Arial"/>
          <w:b/>
          <w:lang w:val="es-ES_tradnl"/>
        </w:rPr>
        <w:t xml:space="preserve">11 DE FEBRERO </w:t>
      </w:r>
      <w:r w:rsidRPr="00762B34">
        <w:rPr>
          <w:rFonts w:cs="Arial"/>
          <w:b/>
          <w:lang w:val="es-ES_tradnl"/>
        </w:rPr>
        <w:t>DE 2016</w:t>
      </w:r>
    </w:p>
    <w:p w:rsidR="00724A36" w:rsidRPr="00762B34" w:rsidRDefault="00724A36" w:rsidP="00724A3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24A36" w:rsidRPr="00724A36" w:rsidRDefault="00724A36" w:rsidP="00724A36">
      <w:pPr>
        <w:jc w:val="center"/>
        <w:rPr>
          <w:rFonts w:cs="Arial"/>
          <w:b/>
        </w:rPr>
      </w:pPr>
      <w:r w:rsidRPr="00AD0672">
        <w:rPr>
          <w:rFonts w:cs="Arial"/>
          <w:b/>
          <w:lang w:val="es-UY"/>
        </w:rPr>
        <w:t xml:space="preserve">(E. E. Nº </w:t>
      </w:r>
      <w:r>
        <w:rPr>
          <w:rFonts w:cs="Arial"/>
          <w:b/>
          <w:lang w:val="es-MX"/>
        </w:rPr>
        <w:t>2013-17-1-</w:t>
      </w:r>
      <w:r w:rsidRPr="00E00702">
        <w:rPr>
          <w:rFonts w:cs="Arial"/>
          <w:b/>
          <w:lang w:val="es-MX"/>
        </w:rPr>
        <w:t>0007681</w:t>
      </w:r>
      <w:r w:rsidRPr="00AD0672">
        <w:rPr>
          <w:rFonts w:cs="Arial"/>
          <w:b/>
          <w:lang w:val="es-UY"/>
        </w:rPr>
        <w:t xml:space="preserve">, </w:t>
      </w:r>
      <w:proofErr w:type="spellStart"/>
      <w:r w:rsidRPr="00AD0672">
        <w:rPr>
          <w:rFonts w:cs="Arial"/>
          <w:b/>
          <w:lang w:val="es-UY"/>
        </w:rPr>
        <w:t>Ent</w:t>
      </w:r>
      <w:proofErr w:type="spellEnd"/>
      <w:r w:rsidRPr="00AD0672">
        <w:rPr>
          <w:rFonts w:cs="Arial"/>
          <w:b/>
          <w:lang w:val="es-UY"/>
        </w:rPr>
        <w:t xml:space="preserve">. N° </w:t>
      </w:r>
      <w:r>
        <w:rPr>
          <w:rFonts w:cs="Arial"/>
          <w:b/>
        </w:rPr>
        <w:t>7260/15</w:t>
      </w:r>
      <w:r w:rsidRPr="00AD0672">
        <w:rPr>
          <w:rFonts w:cs="Arial"/>
          <w:b/>
          <w:lang w:val="es-UY"/>
        </w:rPr>
        <w:t>)</w:t>
      </w:r>
    </w:p>
    <w:p w:rsidR="00724A36" w:rsidRPr="00AD0672" w:rsidRDefault="00724A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724A36" w:rsidRPr="00AD0672" w:rsidRDefault="00724A36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1D499E" w:rsidRDefault="001D499E" w:rsidP="00724A36">
      <w:pPr>
        <w:pStyle w:val="Textoindependiente"/>
        <w:ind w:firstLine="851"/>
      </w:pPr>
      <w:r>
        <w:rPr>
          <w:b/>
          <w:bCs/>
        </w:rPr>
        <w:t>VISTO</w:t>
      </w:r>
      <w:r>
        <w:t>: la</w:t>
      </w:r>
      <w:r w:rsidR="009F1696">
        <w:t xml:space="preserve">s nuevas actuaciones remitidas por el Hospital de Clínicas –UDELAR, relacionadas con </w:t>
      </w:r>
      <w:r>
        <w:t xml:space="preserve">la reiteración del gasto </w:t>
      </w:r>
      <w:r w:rsidR="009F1696">
        <w:t>derivado de la</w:t>
      </w:r>
      <w:r w:rsidR="00277967">
        <w:t xml:space="preserve"> ampliación de la C</w:t>
      </w:r>
      <w:r>
        <w:t xml:space="preserve">ontratación </w:t>
      </w:r>
      <w:r w:rsidR="00277967">
        <w:t>D</w:t>
      </w:r>
      <w:r>
        <w:t>irecta N° 16/13 para la impermeabilización de la azotea del edificio;</w:t>
      </w:r>
    </w:p>
    <w:p w:rsidR="00724A36" w:rsidRDefault="001D499E" w:rsidP="00724A3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RESULTANDO</w:t>
      </w:r>
      <w:r>
        <w:rPr>
          <w:rFonts w:cs="Arial"/>
          <w:lang w:val="es-MX"/>
        </w:rPr>
        <w:t xml:space="preserve">: </w:t>
      </w:r>
      <w:r w:rsidRPr="00091E42">
        <w:rPr>
          <w:rFonts w:cs="Arial"/>
          <w:b/>
          <w:bCs/>
          <w:lang w:val="es-MX"/>
        </w:rPr>
        <w:t>1</w:t>
      </w:r>
      <w:r w:rsidRPr="00091E42">
        <w:rPr>
          <w:rFonts w:cs="Arial"/>
          <w:b/>
          <w:lang w:val="es-MX"/>
        </w:rPr>
        <w:t>)</w:t>
      </w:r>
      <w:r>
        <w:rPr>
          <w:rFonts w:cs="Arial"/>
          <w:lang w:val="es-MX"/>
        </w:rPr>
        <w:t xml:space="preserve"> que por Resolución de fecha </w:t>
      </w:r>
      <w:r w:rsidR="001F08BE">
        <w:rPr>
          <w:rFonts w:cs="Arial"/>
          <w:lang w:val="es-MX"/>
        </w:rPr>
        <w:t>28</w:t>
      </w:r>
      <w:r w:rsidR="00AD0672">
        <w:rPr>
          <w:rFonts w:cs="Arial"/>
          <w:lang w:val="es-MX"/>
        </w:rPr>
        <w:t>/</w:t>
      </w:r>
      <w:r w:rsidR="00572DCE">
        <w:rPr>
          <w:rFonts w:cs="Arial"/>
          <w:lang w:val="es-MX"/>
        </w:rPr>
        <w:t>0</w:t>
      </w:r>
      <w:r w:rsidR="001F08BE">
        <w:rPr>
          <w:rFonts w:cs="Arial"/>
          <w:lang w:val="es-MX"/>
        </w:rPr>
        <w:t>3</w:t>
      </w:r>
      <w:r w:rsidR="00AD0672">
        <w:rPr>
          <w:rFonts w:cs="Arial"/>
          <w:lang w:val="es-MX"/>
        </w:rPr>
        <w:t>/</w:t>
      </w:r>
      <w:r>
        <w:rPr>
          <w:rFonts w:cs="Arial"/>
          <w:lang w:val="es-MX"/>
        </w:rPr>
        <w:t xml:space="preserve">12, se adjudicó la Licitación Publica N° 23/1212 </w:t>
      </w:r>
      <w:r w:rsidR="009F1696">
        <w:rPr>
          <w:rFonts w:cs="Arial"/>
          <w:lang w:val="es-MX"/>
        </w:rPr>
        <w:t xml:space="preserve">con </w:t>
      </w:r>
      <w:r>
        <w:rPr>
          <w:rFonts w:cs="Arial"/>
          <w:lang w:val="es-MX"/>
        </w:rPr>
        <w:t>el mismo objeto</w:t>
      </w:r>
      <w:r w:rsidR="001F08BE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a la firma </w:t>
      </w:r>
      <w:proofErr w:type="spellStart"/>
      <w:r>
        <w:rPr>
          <w:rFonts w:cs="Arial"/>
          <w:lang w:val="es-MX"/>
        </w:rPr>
        <w:t>Bongiovani</w:t>
      </w:r>
      <w:proofErr w:type="spellEnd"/>
      <w:r>
        <w:rPr>
          <w:rFonts w:cs="Arial"/>
          <w:lang w:val="es-MX"/>
        </w:rPr>
        <w:t xml:space="preserve"> </w:t>
      </w:r>
      <w:r w:rsidR="00AD0672">
        <w:rPr>
          <w:rFonts w:cs="Arial"/>
          <w:lang w:val="es-MX"/>
        </w:rPr>
        <w:t xml:space="preserve">      </w:t>
      </w:r>
      <w:r>
        <w:rPr>
          <w:rFonts w:cs="Arial"/>
          <w:lang w:val="es-MX"/>
        </w:rPr>
        <w:t>P. Construcciones SRL</w:t>
      </w:r>
      <w:r w:rsidR="00091E42">
        <w:rPr>
          <w:rFonts w:cs="Arial"/>
          <w:lang w:val="es-MX"/>
        </w:rPr>
        <w:t xml:space="preserve">, y </w:t>
      </w:r>
      <w:r w:rsidR="001F08BE">
        <w:rPr>
          <w:rFonts w:cs="Arial"/>
          <w:lang w:val="es-MX"/>
        </w:rPr>
        <w:t>con fecha</w:t>
      </w:r>
      <w:r w:rsidR="00277967">
        <w:rPr>
          <w:rFonts w:cs="Arial"/>
          <w:lang w:val="es-MX"/>
        </w:rPr>
        <w:t xml:space="preserve"> 21</w:t>
      </w:r>
      <w:r w:rsidR="00AD0672">
        <w:rPr>
          <w:rFonts w:cs="Arial"/>
          <w:lang w:val="es-MX"/>
        </w:rPr>
        <w:t>/0</w:t>
      </w:r>
      <w:r w:rsidR="00091E42">
        <w:rPr>
          <w:rFonts w:cs="Arial"/>
          <w:lang w:val="es-MX"/>
        </w:rPr>
        <w:t>9</w:t>
      </w:r>
      <w:r w:rsidR="00AD0672">
        <w:rPr>
          <w:rFonts w:cs="Arial"/>
          <w:lang w:val="es-MX"/>
        </w:rPr>
        <w:t>/</w:t>
      </w:r>
      <w:r w:rsidR="00091E42">
        <w:rPr>
          <w:rFonts w:cs="Arial"/>
          <w:lang w:val="es-MX"/>
        </w:rPr>
        <w:t>2012</w:t>
      </w:r>
      <w:r w:rsidR="001F08BE">
        <w:rPr>
          <w:rFonts w:cs="Arial"/>
          <w:lang w:val="es-MX"/>
        </w:rPr>
        <w:t>,</w:t>
      </w:r>
      <w:r w:rsidR="00091E42">
        <w:rPr>
          <w:rFonts w:cs="Arial"/>
          <w:lang w:val="es-MX"/>
        </w:rPr>
        <w:t xml:space="preserve"> la Dirección del Hospital </w:t>
      </w:r>
      <w:r w:rsidR="001F08BE">
        <w:rPr>
          <w:rFonts w:cs="Arial"/>
          <w:lang w:val="es-MX"/>
        </w:rPr>
        <w:t>dejó sin efecto</w:t>
      </w:r>
      <w:r w:rsidR="00091E42">
        <w:rPr>
          <w:rFonts w:cs="Arial"/>
          <w:lang w:val="es-MX"/>
        </w:rPr>
        <w:t xml:space="preserve"> </w:t>
      </w:r>
      <w:r w:rsidR="009468A6">
        <w:rPr>
          <w:rFonts w:cs="Arial"/>
          <w:lang w:val="es-MX"/>
        </w:rPr>
        <w:t>dicho</w:t>
      </w:r>
      <w:r w:rsidR="001F08BE">
        <w:rPr>
          <w:rFonts w:cs="Arial"/>
          <w:lang w:val="es-MX"/>
        </w:rPr>
        <w:t xml:space="preserve"> </w:t>
      </w:r>
      <w:r w:rsidR="00091E42">
        <w:rPr>
          <w:rFonts w:cs="Arial"/>
          <w:lang w:val="es-MX"/>
        </w:rPr>
        <w:t>procedimiento</w:t>
      </w:r>
      <w:r w:rsidR="001F08BE">
        <w:rPr>
          <w:rFonts w:cs="Arial"/>
          <w:lang w:val="es-MX"/>
        </w:rPr>
        <w:t>,</w:t>
      </w:r>
      <w:r w:rsidR="00091E42">
        <w:rPr>
          <w:rFonts w:cs="Arial"/>
          <w:lang w:val="es-MX"/>
        </w:rPr>
        <w:t xml:space="preserve"> aduciendo importantes diferencias de interpretació</w:t>
      </w:r>
      <w:r w:rsidR="00724A36">
        <w:rPr>
          <w:rFonts w:cs="Arial"/>
          <w:lang w:val="es-MX"/>
        </w:rPr>
        <w:t>n en los pliegos de condiciones;</w:t>
      </w:r>
    </w:p>
    <w:p w:rsidR="00724A36" w:rsidRDefault="001D499E" w:rsidP="00724A36">
      <w:pPr>
        <w:spacing w:line="360" w:lineRule="auto"/>
        <w:ind w:firstLine="2835"/>
        <w:jc w:val="both"/>
        <w:rPr>
          <w:rFonts w:cs="Arial"/>
          <w:lang w:val="es-MX"/>
        </w:rPr>
      </w:pPr>
      <w:r w:rsidRPr="001D499E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091E42">
        <w:rPr>
          <w:rFonts w:cs="Arial"/>
          <w:lang w:val="es-MX"/>
        </w:rPr>
        <w:t>que, invocando</w:t>
      </w:r>
      <w:r w:rsidR="00A93204">
        <w:rPr>
          <w:rFonts w:cs="Arial"/>
          <w:lang w:val="es-MX"/>
        </w:rPr>
        <w:t xml:space="preserve"> las hipótesis de urgencia no previsible y resentimiento del servicio previstas en</w:t>
      </w:r>
      <w:r w:rsidR="00091E42">
        <w:rPr>
          <w:rFonts w:cs="Arial"/>
          <w:lang w:val="es-MX"/>
        </w:rPr>
        <w:t xml:space="preserve"> </w:t>
      </w:r>
      <w:r w:rsidR="000A4E5E">
        <w:rPr>
          <w:rFonts w:cs="Arial"/>
          <w:lang w:val="es-MX"/>
        </w:rPr>
        <w:t xml:space="preserve">el </w:t>
      </w:r>
      <w:r w:rsidR="00AD0672">
        <w:rPr>
          <w:rFonts w:cs="Arial"/>
          <w:lang w:val="es-MX"/>
        </w:rPr>
        <w:t>A</w:t>
      </w:r>
      <w:r w:rsidR="000A4E5E">
        <w:rPr>
          <w:rFonts w:cs="Arial"/>
          <w:lang w:val="es-MX"/>
        </w:rPr>
        <w:t xml:space="preserve">rtículo 33 </w:t>
      </w:r>
      <w:r w:rsidR="00AD0672">
        <w:rPr>
          <w:rFonts w:cs="Arial"/>
          <w:lang w:val="es-MX"/>
        </w:rPr>
        <w:t>L</w:t>
      </w:r>
      <w:r w:rsidR="000A4E5E">
        <w:rPr>
          <w:rFonts w:cs="Arial"/>
          <w:lang w:val="es-MX"/>
        </w:rPr>
        <w:t>iteral C)</w:t>
      </w:r>
      <w:r w:rsidR="00091E42">
        <w:rPr>
          <w:rFonts w:cs="Arial"/>
          <w:lang w:val="es-MX"/>
        </w:rPr>
        <w:t xml:space="preserve"> </w:t>
      </w:r>
      <w:r w:rsidR="00AD0672">
        <w:rPr>
          <w:rFonts w:cs="Arial"/>
          <w:lang w:val="es-MX"/>
        </w:rPr>
        <w:t>N</w:t>
      </w:r>
      <w:r w:rsidR="00091E42">
        <w:rPr>
          <w:rFonts w:cs="Arial"/>
          <w:lang w:val="es-MX"/>
        </w:rPr>
        <w:t>umeral 9 del T</w:t>
      </w:r>
      <w:r w:rsidR="000A4E5E">
        <w:rPr>
          <w:rFonts w:cs="Arial"/>
          <w:lang w:val="es-MX"/>
        </w:rPr>
        <w:t>OCAF</w:t>
      </w:r>
      <w:r w:rsidR="00091E42">
        <w:rPr>
          <w:rFonts w:cs="Arial"/>
          <w:lang w:val="es-MX"/>
        </w:rPr>
        <w:t>, con fecha 13</w:t>
      </w:r>
      <w:r w:rsidR="00AD0672">
        <w:rPr>
          <w:rFonts w:cs="Arial"/>
          <w:lang w:val="es-MX"/>
        </w:rPr>
        <w:t>/</w:t>
      </w:r>
      <w:r w:rsidR="009468A6">
        <w:rPr>
          <w:rFonts w:cs="Arial"/>
          <w:lang w:val="es-MX"/>
        </w:rPr>
        <w:t>0</w:t>
      </w:r>
      <w:r w:rsidR="00091E42">
        <w:rPr>
          <w:rFonts w:cs="Arial"/>
          <w:lang w:val="es-MX"/>
        </w:rPr>
        <w:t>3</w:t>
      </w:r>
      <w:r w:rsidR="00AD0672">
        <w:rPr>
          <w:rFonts w:cs="Arial"/>
          <w:lang w:val="es-MX"/>
        </w:rPr>
        <w:t>/</w:t>
      </w:r>
      <w:r w:rsidR="00091E42">
        <w:rPr>
          <w:rFonts w:cs="Arial"/>
          <w:lang w:val="es-MX"/>
        </w:rPr>
        <w:t xml:space="preserve">13 el Director Asistente del Hospital </w:t>
      </w:r>
      <w:r w:rsidR="00A93204">
        <w:rPr>
          <w:rFonts w:cs="Arial"/>
          <w:lang w:val="es-MX"/>
        </w:rPr>
        <w:t>dispuso contratar</w:t>
      </w:r>
      <w:r w:rsidR="00091E42">
        <w:rPr>
          <w:rFonts w:cs="Arial"/>
          <w:lang w:val="es-MX"/>
        </w:rPr>
        <w:t xml:space="preserve"> a </w:t>
      </w:r>
      <w:proofErr w:type="spellStart"/>
      <w:r w:rsidR="00091E42">
        <w:rPr>
          <w:rFonts w:cs="Arial"/>
          <w:lang w:val="es-MX"/>
        </w:rPr>
        <w:t>Amavi</w:t>
      </w:r>
      <w:proofErr w:type="spellEnd"/>
      <w:r w:rsidR="00091E42">
        <w:rPr>
          <w:rFonts w:cs="Arial"/>
          <w:lang w:val="es-MX"/>
        </w:rPr>
        <w:t xml:space="preserve"> Ltd</w:t>
      </w:r>
      <w:r w:rsidR="00A93204">
        <w:rPr>
          <w:rFonts w:cs="Arial"/>
          <w:lang w:val="es-MX"/>
        </w:rPr>
        <w:t xml:space="preserve">a. </w:t>
      </w:r>
      <w:proofErr w:type="gramStart"/>
      <w:r w:rsidR="00A93204">
        <w:rPr>
          <w:rFonts w:cs="Arial"/>
          <w:lang w:val="es-MX"/>
        </w:rPr>
        <w:t>por</w:t>
      </w:r>
      <w:proofErr w:type="gramEnd"/>
      <w:r w:rsidR="00A93204">
        <w:rPr>
          <w:rFonts w:cs="Arial"/>
          <w:lang w:val="es-MX"/>
        </w:rPr>
        <w:t xml:space="preserve"> un monto de $ 9:983.428, más $ 1:392.616 </w:t>
      </w:r>
      <w:r w:rsidR="00091E42">
        <w:rPr>
          <w:rFonts w:cs="Arial"/>
          <w:lang w:val="es-MX"/>
        </w:rPr>
        <w:t>por concepto de aportes al Banco de Previsión Social,</w:t>
      </w:r>
      <w:r w:rsidR="00A93204">
        <w:rPr>
          <w:rFonts w:cs="Arial"/>
          <w:lang w:val="es-MX"/>
        </w:rPr>
        <w:t xml:space="preserve"> lo</w:t>
      </w:r>
      <w:r w:rsidR="00091E42">
        <w:rPr>
          <w:rFonts w:cs="Arial"/>
          <w:lang w:val="es-MX"/>
        </w:rPr>
        <w:t xml:space="preserve"> </w:t>
      </w:r>
      <w:r w:rsidR="001F08BE">
        <w:rPr>
          <w:rFonts w:cs="Arial"/>
          <w:lang w:val="es-MX"/>
        </w:rPr>
        <w:t xml:space="preserve">que </w:t>
      </w:r>
      <w:r w:rsidR="00A93204">
        <w:rPr>
          <w:rFonts w:cs="Arial"/>
          <w:lang w:val="es-MX"/>
        </w:rPr>
        <w:t>en Sesión de fecha 18</w:t>
      </w:r>
      <w:r w:rsidR="00AD0672">
        <w:rPr>
          <w:rFonts w:cs="Arial"/>
          <w:lang w:val="es-MX"/>
        </w:rPr>
        <w:t>/</w:t>
      </w:r>
      <w:r w:rsidR="00A93204">
        <w:rPr>
          <w:rFonts w:cs="Arial"/>
          <w:lang w:val="es-MX"/>
        </w:rPr>
        <w:t>12</w:t>
      </w:r>
      <w:r w:rsidR="00AD0672">
        <w:rPr>
          <w:rFonts w:cs="Arial"/>
          <w:lang w:val="es-MX"/>
        </w:rPr>
        <w:t>/</w:t>
      </w:r>
      <w:r w:rsidR="00A93204">
        <w:rPr>
          <w:rFonts w:cs="Arial"/>
          <w:lang w:val="es-MX"/>
        </w:rPr>
        <w:t xml:space="preserve">13, </w:t>
      </w:r>
      <w:r w:rsidR="001F08BE">
        <w:rPr>
          <w:rFonts w:cs="Arial"/>
          <w:lang w:val="es-MX"/>
        </w:rPr>
        <w:t>fue observado por este Tribunal, argumentando que no se configuró ninguna de las hipótesis previstas en la causal invocada</w:t>
      </w:r>
      <w:r w:rsidR="000A4E5E">
        <w:rPr>
          <w:rFonts w:cs="Arial"/>
          <w:lang w:val="es-MX"/>
        </w:rPr>
        <w:t xml:space="preserve"> y que tampoco se dio cumplimiento a lo estableci</w:t>
      </w:r>
      <w:r w:rsidR="00FD24DF">
        <w:rPr>
          <w:rFonts w:cs="Arial"/>
          <w:lang w:val="es-MX"/>
        </w:rPr>
        <w:t xml:space="preserve">do en el </w:t>
      </w:r>
      <w:r w:rsidR="00AD0672">
        <w:rPr>
          <w:rFonts w:cs="Arial"/>
          <w:lang w:val="es-MX"/>
        </w:rPr>
        <w:t>A</w:t>
      </w:r>
      <w:r w:rsidR="00FD24DF">
        <w:rPr>
          <w:rFonts w:cs="Arial"/>
          <w:lang w:val="es-MX"/>
        </w:rPr>
        <w:t>rtículo 157 del TOCAF;</w:t>
      </w:r>
    </w:p>
    <w:p w:rsidR="00FD24DF" w:rsidRDefault="000A4E5E" w:rsidP="00724A36">
      <w:pPr>
        <w:spacing w:line="360" w:lineRule="auto"/>
        <w:ind w:firstLine="2835"/>
        <w:jc w:val="both"/>
        <w:rPr>
          <w:rFonts w:cs="Arial"/>
          <w:lang w:val="es-MX"/>
        </w:rPr>
      </w:pPr>
      <w:r w:rsidRPr="000A4E5E">
        <w:rPr>
          <w:rFonts w:cs="Arial"/>
          <w:b/>
          <w:lang w:val="es-MX"/>
        </w:rPr>
        <w:t>3)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>que con fecha 29</w:t>
      </w:r>
      <w:r w:rsidR="00AD0672">
        <w:rPr>
          <w:rFonts w:cs="Arial"/>
          <w:lang w:val="es-MX"/>
        </w:rPr>
        <w:t>/</w:t>
      </w:r>
      <w:r>
        <w:rPr>
          <w:rFonts w:cs="Arial"/>
          <w:lang w:val="es-MX"/>
        </w:rPr>
        <w:t>09</w:t>
      </w:r>
      <w:r w:rsidR="00AD0672">
        <w:rPr>
          <w:rFonts w:cs="Arial"/>
          <w:lang w:val="es-MX"/>
        </w:rPr>
        <w:t>/</w:t>
      </w:r>
      <w:r>
        <w:rPr>
          <w:rFonts w:cs="Arial"/>
          <w:lang w:val="es-MX"/>
        </w:rPr>
        <w:t>15, el Director Asistente dispuso la ampliación</w:t>
      </w:r>
      <w:r w:rsidR="00FD24DF">
        <w:rPr>
          <w:rFonts w:cs="Arial"/>
          <w:lang w:val="es-MX"/>
        </w:rPr>
        <w:t xml:space="preserve"> de la contratación a </w:t>
      </w:r>
      <w:proofErr w:type="spellStart"/>
      <w:r w:rsidR="00FD24DF">
        <w:rPr>
          <w:rFonts w:cs="Arial"/>
          <w:lang w:val="es-MX"/>
        </w:rPr>
        <w:t>Amavi</w:t>
      </w:r>
      <w:proofErr w:type="spellEnd"/>
      <w:r w:rsidR="00FD24DF">
        <w:rPr>
          <w:rFonts w:cs="Arial"/>
          <w:lang w:val="es-MX"/>
        </w:rPr>
        <w:t xml:space="preserve"> S.A,</w:t>
      </w:r>
      <w:r>
        <w:rPr>
          <w:rFonts w:cs="Arial"/>
          <w:lang w:val="es-MX"/>
        </w:rPr>
        <w:t xml:space="preserve"> por </w:t>
      </w:r>
      <w:r w:rsidR="00FD24DF">
        <w:rPr>
          <w:rFonts w:cs="Arial"/>
          <w:lang w:val="es-MX"/>
        </w:rPr>
        <w:t xml:space="preserve">$ 293.047, </w:t>
      </w:r>
      <w:r w:rsidR="00A93204">
        <w:rPr>
          <w:rFonts w:cs="Arial"/>
          <w:lang w:val="es-MX"/>
        </w:rPr>
        <w:t>observado por la Contadora Delegada con fecha 16</w:t>
      </w:r>
      <w:r w:rsidR="00AD0672">
        <w:rPr>
          <w:rFonts w:cs="Arial"/>
          <w:lang w:val="es-MX"/>
        </w:rPr>
        <w:t>/</w:t>
      </w:r>
      <w:r w:rsidR="00A93204">
        <w:rPr>
          <w:rFonts w:cs="Arial"/>
          <w:lang w:val="es-MX"/>
        </w:rPr>
        <w:t>11</w:t>
      </w:r>
      <w:r w:rsidR="00AD0672">
        <w:rPr>
          <w:rFonts w:cs="Arial"/>
          <w:lang w:val="es-MX"/>
        </w:rPr>
        <w:t>/</w:t>
      </w:r>
      <w:r w:rsidR="00A93204">
        <w:rPr>
          <w:rFonts w:cs="Arial"/>
          <w:lang w:val="es-MX"/>
        </w:rPr>
        <w:t>15</w:t>
      </w:r>
      <w:r w:rsidR="009F1696">
        <w:rPr>
          <w:rFonts w:cs="Arial"/>
          <w:lang w:val="es-MX"/>
        </w:rPr>
        <w:t xml:space="preserve">, y </w:t>
      </w:r>
      <w:r w:rsidR="00572DCE">
        <w:rPr>
          <w:rFonts w:cs="Arial"/>
          <w:lang w:val="es-MX"/>
        </w:rPr>
        <w:t>el</w:t>
      </w:r>
      <w:r w:rsidR="00FD24DF">
        <w:rPr>
          <w:rFonts w:cs="Arial"/>
          <w:lang w:val="es-MX"/>
        </w:rPr>
        <w:t xml:space="preserve"> 23</w:t>
      </w:r>
      <w:r w:rsidR="00AD0672">
        <w:rPr>
          <w:rFonts w:cs="Arial"/>
          <w:lang w:val="es-MX"/>
        </w:rPr>
        <w:t>/</w:t>
      </w:r>
      <w:r w:rsidR="00FD24DF">
        <w:rPr>
          <w:rFonts w:cs="Arial"/>
          <w:lang w:val="es-MX"/>
        </w:rPr>
        <w:t>11</w:t>
      </w:r>
      <w:r w:rsidR="00AD0672">
        <w:rPr>
          <w:rFonts w:cs="Arial"/>
          <w:lang w:val="es-MX"/>
        </w:rPr>
        <w:t>/</w:t>
      </w:r>
      <w:r w:rsidR="00FD24DF">
        <w:rPr>
          <w:rFonts w:cs="Arial"/>
          <w:lang w:val="es-MX"/>
        </w:rPr>
        <w:t xml:space="preserve">15, la Dirección del Hospital dispuso reiterar  el </w:t>
      </w:r>
      <w:r w:rsidR="009F1696">
        <w:rPr>
          <w:rFonts w:cs="Arial"/>
          <w:lang w:val="es-MX"/>
        </w:rPr>
        <w:t xml:space="preserve">mencionado </w:t>
      </w:r>
      <w:r w:rsidR="00FD24DF">
        <w:rPr>
          <w:rFonts w:cs="Arial"/>
          <w:lang w:val="es-MX"/>
        </w:rPr>
        <w:t>gasto argumentando que:</w:t>
      </w:r>
    </w:p>
    <w:p w:rsidR="00FD24DF" w:rsidRDefault="009F1696" w:rsidP="001D499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lastRenderedPageBreak/>
        <w:t>3</w:t>
      </w:r>
      <w:r w:rsidR="00FD24DF" w:rsidRPr="00FD24DF">
        <w:rPr>
          <w:rFonts w:cs="Arial"/>
          <w:b/>
          <w:lang w:val="es-MX"/>
        </w:rPr>
        <w:t>.1)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>las exigencias solicitadas en los pliegos originales en el procedimiento de la Licitación Pública N° 23/1212, llevó a disímiles interpretaciones sobre lo solicitado por la Administración convocante, obteniendo como consecuencia muy diversas propuestas y precios en rubros esenciales del objeto y, en consecuencia, se procedió a revocar el llamado;</w:t>
      </w:r>
    </w:p>
    <w:p w:rsidR="009F1696" w:rsidRDefault="009F1696" w:rsidP="001D499E">
      <w:pPr>
        <w:spacing w:line="360" w:lineRule="auto"/>
        <w:jc w:val="both"/>
        <w:rPr>
          <w:rFonts w:cs="Arial"/>
          <w:lang w:val="es-MX"/>
        </w:rPr>
      </w:pPr>
      <w:r w:rsidRPr="009F1696">
        <w:rPr>
          <w:rFonts w:cs="Arial"/>
          <w:b/>
          <w:lang w:val="es-MX"/>
        </w:rPr>
        <w:t>3.2)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 xml:space="preserve">ninguno de los oferentes impugnó la </w:t>
      </w:r>
      <w:r w:rsidR="00AD0672">
        <w:rPr>
          <w:rFonts w:cs="Arial"/>
          <w:lang w:val="es-MX"/>
        </w:rPr>
        <w:t>R</w:t>
      </w:r>
      <w:r>
        <w:rPr>
          <w:rFonts w:cs="Arial"/>
          <w:lang w:val="es-MX"/>
        </w:rPr>
        <w:t>esolución de anulación del procedimiento;</w:t>
      </w:r>
    </w:p>
    <w:p w:rsidR="009F1696" w:rsidRDefault="009F1696" w:rsidP="001D499E">
      <w:pPr>
        <w:spacing w:line="360" w:lineRule="auto"/>
        <w:jc w:val="both"/>
        <w:rPr>
          <w:rFonts w:cs="Arial"/>
          <w:lang w:val="es-MX"/>
        </w:rPr>
      </w:pPr>
      <w:r w:rsidRPr="009F1696">
        <w:rPr>
          <w:rFonts w:cs="Arial"/>
          <w:b/>
          <w:lang w:val="es-MX"/>
        </w:rPr>
        <w:t>3.3</w:t>
      </w:r>
      <w:r>
        <w:rPr>
          <w:rFonts w:cs="Arial"/>
          <w:b/>
          <w:lang w:val="es-MX"/>
        </w:rPr>
        <w:t xml:space="preserve">) </w:t>
      </w:r>
      <w:r>
        <w:rPr>
          <w:rFonts w:cs="Arial"/>
          <w:lang w:val="es-MX"/>
        </w:rPr>
        <w:t xml:space="preserve">la Administración dispuso la contratación directa por razones de urgencia, basadas en la naturaleza de la obra a ejecutar y </w:t>
      </w:r>
      <w:r w:rsidR="002F6F70">
        <w:rPr>
          <w:rFonts w:cs="Arial"/>
          <w:lang w:val="es-MX"/>
        </w:rPr>
        <w:t xml:space="preserve">en </w:t>
      </w:r>
      <w:r w:rsidR="00A93204">
        <w:rPr>
          <w:rFonts w:cs="Arial"/>
          <w:lang w:val="es-MX"/>
        </w:rPr>
        <w:t xml:space="preserve">su relación con el clima, </w:t>
      </w:r>
      <w:r>
        <w:rPr>
          <w:rFonts w:cs="Arial"/>
          <w:lang w:val="es-MX"/>
        </w:rPr>
        <w:t xml:space="preserve">debido a la conveniencia de </w:t>
      </w:r>
      <w:r w:rsidR="002F6F70">
        <w:rPr>
          <w:rFonts w:cs="Arial"/>
          <w:lang w:val="es-MX"/>
        </w:rPr>
        <w:t>su realización</w:t>
      </w:r>
      <w:r>
        <w:rPr>
          <w:rFonts w:cs="Arial"/>
          <w:lang w:val="es-MX"/>
        </w:rPr>
        <w:t xml:space="preserve"> durante meses estivales</w:t>
      </w:r>
      <w:r w:rsidR="002F6F70">
        <w:rPr>
          <w:rFonts w:cs="Arial"/>
          <w:lang w:val="es-MX"/>
        </w:rPr>
        <w:t xml:space="preserve">, agregando que </w:t>
      </w:r>
      <w:r w:rsidR="00EB57FD">
        <w:rPr>
          <w:rFonts w:cs="Arial"/>
          <w:lang w:val="es-MX"/>
        </w:rPr>
        <w:t>las instalaciones d</w:t>
      </w:r>
      <w:r w:rsidR="00572DCE">
        <w:rPr>
          <w:rFonts w:cs="Arial"/>
          <w:lang w:val="es-MX"/>
        </w:rPr>
        <w:t>el Hospital se veían resentidas</w:t>
      </w:r>
      <w:r w:rsidR="00EB57FD">
        <w:rPr>
          <w:rFonts w:cs="Arial"/>
          <w:lang w:val="es-MX"/>
        </w:rPr>
        <w:t>;</w:t>
      </w:r>
    </w:p>
    <w:p w:rsidR="00EB57FD" w:rsidRDefault="002F6F70" w:rsidP="001D499E">
      <w:pPr>
        <w:spacing w:line="360" w:lineRule="auto"/>
        <w:jc w:val="both"/>
        <w:rPr>
          <w:rFonts w:cs="Arial"/>
          <w:lang w:val="es-MX"/>
        </w:rPr>
      </w:pPr>
      <w:r w:rsidRPr="002F6F70">
        <w:rPr>
          <w:rFonts w:cs="Arial"/>
          <w:b/>
          <w:lang w:val="es-MX"/>
        </w:rPr>
        <w:t xml:space="preserve">3.4) </w:t>
      </w:r>
      <w:r w:rsidR="00EB57FD">
        <w:rPr>
          <w:rFonts w:cs="Arial"/>
          <w:lang w:val="es-MX"/>
        </w:rPr>
        <w:t>la implementación de un procedimiento análogo al fracasado resentiría seriamente el servicio, debido al tiempo que insumiría su realización;</w:t>
      </w:r>
    </w:p>
    <w:p w:rsidR="00EB57FD" w:rsidRDefault="00D444BA" w:rsidP="001D499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</w:t>
      </w:r>
      <w:r w:rsidR="00EB57FD" w:rsidRPr="00EB57FD">
        <w:rPr>
          <w:rFonts w:cs="Arial"/>
          <w:b/>
          <w:lang w:val="es-MX"/>
        </w:rPr>
        <w:t xml:space="preserve">.4) </w:t>
      </w:r>
      <w:r w:rsidR="00EB57FD">
        <w:rPr>
          <w:rFonts w:cs="Arial"/>
          <w:lang w:val="es-MX"/>
        </w:rPr>
        <w:t>la revocación del procedimiento</w:t>
      </w:r>
      <w:r w:rsidR="004949AF">
        <w:rPr>
          <w:rFonts w:cs="Arial"/>
          <w:lang w:val="es-MX"/>
        </w:rPr>
        <w:t xml:space="preserve"> no inhibe o prohíbe la posibilidad de acudir a la contratación directa u otro procedimiento competitivo al que por razones de mejor administración resulte aconsejable acudir, por urgencia </w:t>
      </w:r>
      <w:r w:rsidR="005629A8">
        <w:rPr>
          <w:rFonts w:cs="Arial"/>
          <w:lang w:val="es-MX"/>
        </w:rPr>
        <w:t>n</w:t>
      </w:r>
      <w:r w:rsidR="004949AF">
        <w:rPr>
          <w:rFonts w:cs="Arial"/>
          <w:lang w:val="es-MX"/>
        </w:rPr>
        <w:t>o previsible o resentimiento del servicio;</w:t>
      </w:r>
      <w:r w:rsidR="00A93204">
        <w:rPr>
          <w:rFonts w:cs="Arial"/>
          <w:lang w:val="es-MX"/>
        </w:rPr>
        <w:t xml:space="preserve"> y</w:t>
      </w:r>
    </w:p>
    <w:p w:rsidR="004949AF" w:rsidRDefault="00D444BA" w:rsidP="001D499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</w:t>
      </w:r>
      <w:r w:rsidR="004949AF" w:rsidRPr="004949AF">
        <w:rPr>
          <w:rFonts w:cs="Arial"/>
          <w:b/>
          <w:lang w:val="es-MX"/>
        </w:rPr>
        <w:t>.5)</w:t>
      </w:r>
      <w:r w:rsidR="00A93204">
        <w:rPr>
          <w:rFonts w:cs="Arial"/>
          <w:b/>
          <w:lang w:val="es-MX"/>
        </w:rPr>
        <w:t xml:space="preserve"> </w:t>
      </w:r>
      <w:r w:rsidR="000C73A3">
        <w:rPr>
          <w:rFonts w:cs="Arial"/>
          <w:lang w:val="es-MX"/>
        </w:rPr>
        <w:t xml:space="preserve">el nuevo procedimiento observó en todo momento los principios de concurrencia, transparencia, publicidad e igualdad, adjudicándose por razones de conveniencia a la oferta de menor precio; </w:t>
      </w:r>
    </w:p>
    <w:p w:rsidR="00447B9D" w:rsidRPr="00447B9D" w:rsidRDefault="00447B9D" w:rsidP="00724A36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4</w:t>
      </w:r>
      <w:r w:rsidRPr="00447B9D">
        <w:rPr>
          <w:rFonts w:cs="Arial"/>
          <w:b/>
          <w:lang w:val="es-MX"/>
        </w:rPr>
        <w:t>)</w:t>
      </w:r>
      <w:r>
        <w:rPr>
          <w:rFonts w:cs="Arial"/>
          <w:b/>
          <w:lang w:val="es-MX"/>
        </w:rPr>
        <w:t xml:space="preserve"> </w:t>
      </w:r>
      <w:r w:rsidR="00AD0672">
        <w:rPr>
          <w:rFonts w:cs="Arial"/>
          <w:lang w:val="es-MX"/>
        </w:rPr>
        <w:t>que con fecha 26/</w:t>
      </w:r>
      <w:r>
        <w:rPr>
          <w:rFonts w:cs="Arial"/>
          <w:lang w:val="es-MX"/>
        </w:rPr>
        <w:t>11</w:t>
      </w:r>
      <w:r w:rsidR="00AD0672">
        <w:rPr>
          <w:rFonts w:cs="Arial"/>
          <w:lang w:val="es-MX"/>
        </w:rPr>
        <w:t>/</w:t>
      </w:r>
      <w:r>
        <w:rPr>
          <w:rFonts w:cs="Arial"/>
          <w:lang w:val="es-MX"/>
        </w:rPr>
        <w:t>15, la División Servicios Contables</w:t>
      </w:r>
      <w:r w:rsidR="00006231">
        <w:rPr>
          <w:rFonts w:cs="Arial"/>
          <w:lang w:val="es-MX"/>
        </w:rPr>
        <w:t xml:space="preserve"> informó que el gasto se imputó con cargo al renglón 3.8.2, financiación Proy</w:t>
      </w:r>
      <w:r w:rsidR="00AD0672">
        <w:rPr>
          <w:rFonts w:cs="Arial"/>
          <w:lang w:val="es-MX"/>
        </w:rPr>
        <w:t>ecto</w:t>
      </w:r>
      <w:r w:rsidR="00006231">
        <w:rPr>
          <w:rFonts w:cs="Arial"/>
          <w:lang w:val="es-MX"/>
        </w:rPr>
        <w:t xml:space="preserve"> 704;</w:t>
      </w:r>
    </w:p>
    <w:p w:rsidR="005478C4" w:rsidRDefault="001D499E" w:rsidP="00724A36">
      <w:pPr>
        <w:spacing w:line="360" w:lineRule="auto"/>
        <w:ind w:firstLine="851"/>
        <w:jc w:val="both"/>
        <w:rPr>
          <w:rFonts w:cs="Arial"/>
          <w:lang w:val="es-MX"/>
        </w:rPr>
      </w:pPr>
      <w:r w:rsidRPr="00D069BB">
        <w:rPr>
          <w:b/>
          <w:lang w:val="es-MX"/>
        </w:rPr>
        <w:t>CONSIDERANDO:</w:t>
      </w:r>
      <w:r w:rsidRPr="00D069BB">
        <w:t xml:space="preserve"> </w:t>
      </w:r>
      <w:r w:rsidR="00724A36">
        <w:rPr>
          <w:rFonts w:cs="Arial"/>
          <w:b/>
          <w:lang w:val="es-MX"/>
        </w:rPr>
        <w:t xml:space="preserve"> </w:t>
      </w:r>
      <w:r w:rsidR="005478C4">
        <w:rPr>
          <w:rFonts w:cs="Arial"/>
          <w:b/>
          <w:lang w:val="es-MX"/>
        </w:rPr>
        <w:t>1</w:t>
      </w:r>
      <w:r w:rsidR="0036699D">
        <w:rPr>
          <w:rFonts w:cs="Arial"/>
          <w:b/>
          <w:lang w:val="es-MX"/>
        </w:rPr>
        <w:t xml:space="preserve">) </w:t>
      </w:r>
      <w:r w:rsidR="005478C4" w:rsidRPr="00972FB6">
        <w:rPr>
          <w:lang w:val="es-MX"/>
        </w:rPr>
        <w:t>que no son de recibo los argumentos esgrimidos</w:t>
      </w:r>
      <w:r w:rsidR="005478C4">
        <w:rPr>
          <w:lang w:val="es-MX"/>
        </w:rPr>
        <w:t xml:space="preserve"> por la Administración actuante, respecto a que </w:t>
      </w:r>
      <w:r w:rsidR="005478C4">
        <w:rPr>
          <w:rFonts w:cs="Arial"/>
          <w:lang w:val="es-MX"/>
        </w:rPr>
        <w:t>la revocación del procedimiento no inhibe o prohíbe la posibilidad de acudir a la contratación directa u otro procedimiento competitivo por r</w:t>
      </w:r>
      <w:r w:rsidR="003F5CA0">
        <w:rPr>
          <w:rFonts w:cs="Arial"/>
          <w:lang w:val="es-MX"/>
        </w:rPr>
        <w:t>azones de mejor administración. L</w:t>
      </w:r>
      <w:r w:rsidR="005478C4">
        <w:rPr>
          <w:rFonts w:cs="Arial"/>
          <w:lang w:val="es-MX"/>
        </w:rPr>
        <w:t xml:space="preserve">a contratación directa por excepción exige el cumplimiento de alguno de los extremos previstos en las causales establecidas en el </w:t>
      </w:r>
      <w:r w:rsidR="00AD0672">
        <w:rPr>
          <w:rFonts w:cs="Arial"/>
          <w:lang w:val="es-MX"/>
        </w:rPr>
        <w:t>A</w:t>
      </w:r>
      <w:r w:rsidR="005478C4">
        <w:rPr>
          <w:rFonts w:cs="Arial"/>
          <w:lang w:val="es-MX"/>
        </w:rPr>
        <w:t>rtículo 33 del TOCAF</w:t>
      </w:r>
      <w:r w:rsidR="003F5CA0">
        <w:rPr>
          <w:rFonts w:cs="Arial"/>
          <w:lang w:val="es-MX"/>
        </w:rPr>
        <w:t xml:space="preserve"> y </w:t>
      </w:r>
      <w:r w:rsidR="003F5CA0">
        <w:rPr>
          <w:rFonts w:cs="Arial"/>
          <w:lang w:val="es-MX"/>
        </w:rPr>
        <w:lastRenderedPageBreak/>
        <w:t>e</w:t>
      </w:r>
      <w:r w:rsidR="00B5399D">
        <w:rPr>
          <w:rFonts w:cs="Arial"/>
          <w:lang w:val="es-MX"/>
        </w:rPr>
        <w:t>n el caso concreto</w:t>
      </w:r>
      <w:r w:rsidR="0045436D">
        <w:rPr>
          <w:rFonts w:cs="Arial"/>
          <w:lang w:val="es-MX"/>
        </w:rPr>
        <w:t xml:space="preserve">, </w:t>
      </w:r>
      <w:r w:rsidR="00B5399D">
        <w:rPr>
          <w:rFonts w:cs="Arial"/>
          <w:lang w:val="es-MX"/>
        </w:rPr>
        <w:t xml:space="preserve">debe configurarse alguna de </w:t>
      </w:r>
      <w:r w:rsidR="0045436D">
        <w:rPr>
          <w:rFonts w:cs="Arial"/>
          <w:lang w:val="es-MX"/>
        </w:rPr>
        <w:t>las hipótesis</w:t>
      </w:r>
      <w:r w:rsidR="00B5399D">
        <w:rPr>
          <w:rFonts w:cs="Arial"/>
          <w:lang w:val="es-MX"/>
        </w:rPr>
        <w:t xml:space="preserve"> invocadas,</w:t>
      </w:r>
      <w:r w:rsidR="0045436D">
        <w:rPr>
          <w:rFonts w:cs="Arial"/>
          <w:lang w:val="es-MX"/>
        </w:rPr>
        <w:t xml:space="preserve"> previstas en el </w:t>
      </w:r>
      <w:r w:rsidR="00AD0672">
        <w:rPr>
          <w:rFonts w:cs="Arial"/>
          <w:lang w:val="es-MX"/>
        </w:rPr>
        <w:t>N</w:t>
      </w:r>
      <w:r w:rsidR="0045436D">
        <w:rPr>
          <w:rFonts w:cs="Arial"/>
          <w:lang w:val="es-MX"/>
        </w:rPr>
        <w:t>umeral 9)</w:t>
      </w:r>
      <w:r w:rsidR="00B5399D">
        <w:rPr>
          <w:rFonts w:cs="Arial"/>
          <w:lang w:val="es-MX"/>
        </w:rPr>
        <w:t>, extremo que no ocurrió ya</w:t>
      </w:r>
      <w:r w:rsidR="005478C4">
        <w:rPr>
          <w:rFonts w:cs="Arial"/>
          <w:lang w:val="es-MX"/>
        </w:rPr>
        <w:t xml:space="preserve"> que:</w:t>
      </w:r>
    </w:p>
    <w:p w:rsidR="00777506" w:rsidRDefault="005478C4" w:rsidP="001D499E">
      <w:pPr>
        <w:spacing w:line="360" w:lineRule="auto"/>
        <w:jc w:val="both"/>
        <w:rPr>
          <w:rFonts w:cs="Arial"/>
          <w:lang w:val="es-MX"/>
        </w:rPr>
      </w:pPr>
      <w:r w:rsidRPr="005478C4">
        <w:rPr>
          <w:rFonts w:cs="Arial"/>
          <w:b/>
          <w:lang w:val="es-MX"/>
        </w:rPr>
        <w:t>1.2)</w:t>
      </w:r>
      <w:r>
        <w:rPr>
          <w:rFonts w:cs="Arial"/>
          <w:lang w:val="es-MX"/>
        </w:rPr>
        <w:t xml:space="preserve"> </w:t>
      </w:r>
      <w:r w:rsidR="00777506" w:rsidRPr="0036699D">
        <w:rPr>
          <w:rFonts w:cs="Arial"/>
          <w:lang w:val="es-MX"/>
        </w:rPr>
        <w:t xml:space="preserve">la </w:t>
      </w:r>
      <w:r w:rsidR="00777506" w:rsidRPr="00777506">
        <w:rPr>
          <w:rFonts w:cs="Arial"/>
          <w:lang w:val="es-MX"/>
        </w:rPr>
        <w:t>anulación</w:t>
      </w:r>
      <w:r w:rsidR="00777506">
        <w:rPr>
          <w:rFonts w:cs="Arial"/>
          <w:lang w:val="es-MX"/>
        </w:rPr>
        <w:t xml:space="preserve"> del procedimiento </w:t>
      </w:r>
      <w:r w:rsidR="00D02738">
        <w:rPr>
          <w:rFonts w:cs="Arial"/>
          <w:lang w:val="es-MX"/>
        </w:rPr>
        <w:t xml:space="preserve">licitatorio </w:t>
      </w:r>
      <w:r w:rsidR="003F5CA0">
        <w:rPr>
          <w:rFonts w:cs="Arial"/>
          <w:lang w:val="es-MX"/>
        </w:rPr>
        <w:t xml:space="preserve">se debió </w:t>
      </w:r>
      <w:r w:rsidR="00D02738">
        <w:rPr>
          <w:rFonts w:cs="Arial"/>
          <w:lang w:val="es-MX"/>
        </w:rPr>
        <w:t xml:space="preserve">a </w:t>
      </w:r>
      <w:r w:rsidR="003F5CA0">
        <w:rPr>
          <w:rFonts w:cs="Arial"/>
          <w:lang w:val="es-MX"/>
        </w:rPr>
        <w:t xml:space="preserve">la falta de precisión en </w:t>
      </w:r>
      <w:r w:rsidR="00777506">
        <w:rPr>
          <w:rFonts w:cs="Arial"/>
          <w:lang w:val="es-MX"/>
        </w:rPr>
        <w:t>los pliegos</w:t>
      </w:r>
      <w:r w:rsidR="003F5CA0">
        <w:rPr>
          <w:rFonts w:cs="Arial"/>
          <w:lang w:val="es-MX"/>
        </w:rPr>
        <w:t xml:space="preserve"> confeccionados</w:t>
      </w:r>
      <w:r w:rsidR="00777506">
        <w:rPr>
          <w:rFonts w:cs="Arial"/>
          <w:lang w:val="es-MX"/>
        </w:rPr>
        <w:t xml:space="preserve"> por la Administración actuante</w:t>
      </w:r>
      <w:r w:rsidR="003F5CA0">
        <w:rPr>
          <w:rFonts w:cs="Arial"/>
          <w:lang w:val="es-MX"/>
        </w:rPr>
        <w:t>, lo que resultó en disímiles interpretaciones sobre lo solicitado, obteniendo propuestas y precios muy diversos en rubros esenciales del objeto. No es procedente la invocación de la hipótesis</w:t>
      </w:r>
      <w:r w:rsidR="00AC3D9A">
        <w:rPr>
          <w:rFonts w:cs="Arial"/>
          <w:lang w:val="es-MX"/>
        </w:rPr>
        <w:t xml:space="preserve"> de urgencia cuando la anulación de la licitación se</w:t>
      </w:r>
      <w:r w:rsidR="003F5CA0">
        <w:rPr>
          <w:rFonts w:cs="Arial"/>
          <w:lang w:val="es-MX"/>
        </w:rPr>
        <w:t xml:space="preserve"> debió a errores cometidos por la misma Administración que redactó los pliegos del procedimiento</w:t>
      </w:r>
      <w:r w:rsidR="00777506">
        <w:rPr>
          <w:rFonts w:cs="Arial"/>
          <w:lang w:val="es-MX"/>
        </w:rPr>
        <w:t>;</w:t>
      </w:r>
    </w:p>
    <w:p w:rsidR="00ED28E0" w:rsidRDefault="005478C4" w:rsidP="001D499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1.3</w:t>
      </w:r>
      <w:r w:rsidR="0036699D">
        <w:rPr>
          <w:rFonts w:cs="Arial"/>
          <w:b/>
          <w:lang w:val="es-MX"/>
        </w:rPr>
        <w:t xml:space="preserve">) </w:t>
      </w:r>
      <w:r w:rsidR="00AC3D9A" w:rsidRPr="00AC3D9A">
        <w:rPr>
          <w:rFonts w:cs="Arial"/>
          <w:lang w:val="es-MX"/>
        </w:rPr>
        <w:t xml:space="preserve">por otro lado, </w:t>
      </w:r>
      <w:r w:rsidR="00572DCE" w:rsidRPr="00AC3D9A">
        <w:rPr>
          <w:rFonts w:cs="Arial"/>
          <w:lang w:val="es-MX"/>
        </w:rPr>
        <w:t>el</w:t>
      </w:r>
      <w:r w:rsidR="00ED28E0">
        <w:rPr>
          <w:rFonts w:cs="Arial"/>
          <w:lang w:val="es-MX"/>
        </w:rPr>
        <w:t xml:space="preserve"> </w:t>
      </w:r>
      <w:r w:rsidR="00ED28E0" w:rsidRPr="00972FB6">
        <w:rPr>
          <w:lang w:val="es-MX"/>
        </w:rPr>
        <w:t xml:space="preserve">prolongado lapso </w:t>
      </w:r>
      <w:r w:rsidR="00572DCE">
        <w:rPr>
          <w:lang w:val="es-MX"/>
        </w:rPr>
        <w:t>que medió</w:t>
      </w:r>
      <w:r w:rsidR="00ED28E0">
        <w:rPr>
          <w:lang w:val="es-MX"/>
        </w:rPr>
        <w:t xml:space="preserve"> </w:t>
      </w:r>
      <w:r w:rsidR="00ED28E0" w:rsidRPr="00972FB6">
        <w:rPr>
          <w:lang w:val="es-MX"/>
        </w:rPr>
        <w:t xml:space="preserve">entre </w:t>
      </w:r>
      <w:r w:rsidR="00ED28E0">
        <w:rPr>
          <w:lang w:val="es-MX"/>
        </w:rPr>
        <w:t xml:space="preserve">la </w:t>
      </w:r>
      <w:r w:rsidR="00ED28E0" w:rsidRPr="00972FB6">
        <w:rPr>
          <w:lang w:val="es-MX"/>
        </w:rPr>
        <w:t>disp</w:t>
      </w:r>
      <w:r w:rsidR="00ED28E0">
        <w:rPr>
          <w:lang w:val="es-MX"/>
        </w:rPr>
        <w:t>osición de la contratación directa, realizada el día 21</w:t>
      </w:r>
      <w:r w:rsidR="00AD0672">
        <w:rPr>
          <w:lang w:val="es-MX"/>
        </w:rPr>
        <w:t>/</w:t>
      </w:r>
      <w:r w:rsidR="00ED28E0">
        <w:rPr>
          <w:lang w:val="es-MX"/>
        </w:rPr>
        <w:t>09</w:t>
      </w:r>
      <w:r w:rsidR="00AD0672">
        <w:rPr>
          <w:lang w:val="es-MX"/>
        </w:rPr>
        <w:t>/</w:t>
      </w:r>
      <w:r w:rsidR="00ED28E0">
        <w:rPr>
          <w:lang w:val="es-MX"/>
        </w:rPr>
        <w:t>12 y el informe contable de fecha 08</w:t>
      </w:r>
      <w:r w:rsidR="00AD0672">
        <w:rPr>
          <w:lang w:val="es-MX"/>
        </w:rPr>
        <w:t>/</w:t>
      </w:r>
      <w:r w:rsidR="00ED28E0">
        <w:rPr>
          <w:lang w:val="es-MX"/>
        </w:rPr>
        <w:t>11</w:t>
      </w:r>
      <w:r w:rsidR="00AD0672">
        <w:rPr>
          <w:lang w:val="es-MX"/>
        </w:rPr>
        <w:t>/</w:t>
      </w:r>
      <w:r w:rsidR="00ED28E0">
        <w:rPr>
          <w:lang w:val="es-MX"/>
        </w:rPr>
        <w:t xml:space="preserve">13, seguido de </w:t>
      </w:r>
      <w:r w:rsidR="00ED28E0" w:rsidRPr="00972FB6">
        <w:rPr>
          <w:lang w:val="es-MX"/>
        </w:rPr>
        <w:t xml:space="preserve">la remisión de las actuaciones </w:t>
      </w:r>
      <w:r w:rsidR="00ED28E0">
        <w:rPr>
          <w:lang w:val="es-MX"/>
        </w:rPr>
        <w:t>a este Tribunal el 20</w:t>
      </w:r>
      <w:r w:rsidR="00AD0672">
        <w:rPr>
          <w:lang w:val="es-MX"/>
        </w:rPr>
        <w:t>/</w:t>
      </w:r>
      <w:r w:rsidR="00ED28E0">
        <w:rPr>
          <w:lang w:val="es-MX"/>
        </w:rPr>
        <w:t>11</w:t>
      </w:r>
      <w:r w:rsidR="00AD0672">
        <w:rPr>
          <w:lang w:val="es-MX"/>
        </w:rPr>
        <w:t>/</w:t>
      </w:r>
      <w:r w:rsidR="00ED28E0">
        <w:rPr>
          <w:lang w:val="es-MX"/>
        </w:rPr>
        <w:t xml:space="preserve">13, </w:t>
      </w:r>
      <w:r w:rsidR="00572DCE">
        <w:rPr>
          <w:lang w:val="es-MX"/>
        </w:rPr>
        <w:t xml:space="preserve">contradice el argumento de que </w:t>
      </w:r>
      <w:r w:rsidR="00ED28E0">
        <w:rPr>
          <w:rFonts w:cs="Arial"/>
          <w:lang w:val="es-MX"/>
        </w:rPr>
        <w:t>la implementación de un procedimiento análogo al fracasado resentiría seriamente el servicio debido al tiempo que insumiría su realización</w:t>
      </w:r>
      <w:r w:rsidR="001251D4">
        <w:rPr>
          <w:lang w:val="es-MX"/>
        </w:rPr>
        <w:t>, y</w:t>
      </w:r>
      <w:r w:rsidR="00F82728">
        <w:rPr>
          <w:lang w:val="es-MX"/>
        </w:rPr>
        <w:t xml:space="preserve"> </w:t>
      </w:r>
      <w:r w:rsidR="00572DCE">
        <w:rPr>
          <w:lang w:val="es-MX"/>
        </w:rPr>
        <w:t>relativiza la</w:t>
      </w:r>
      <w:r w:rsidR="00ED28E0">
        <w:rPr>
          <w:rFonts w:cs="Arial"/>
          <w:lang w:val="es-MX"/>
        </w:rPr>
        <w:t xml:space="preserve"> urgencia</w:t>
      </w:r>
      <w:r w:rsidR="007F4E8F">
        <w:rPr>
          <w:rFonts w:cs="Arial"/>
          <w:lang w:val="es-MX"/>
        </w:rPr>
        <w:t>,</w:t>
      </w:r>
      <w:r w:rsidR="00572DCE">
        <w:rPr>
          <w:rFonts w:cs="Arial"/>
          <w:lang w:val="es-MX"/>
        </w:rPr>
        <w:t xml:space="preserve"> alegada</w:t>
      </w:r>
      <w:r w:rsidR="00572DCE">
        <w:rPr>
          <w:lang w:val="es-MX"/>
        </w:rPr>
        <w:t xml:space="preserve"> luego de</w:t>
      </w:r>
      <w:r w:rsidR="00ED28E0">
        <w:rPr>
          <w:lang w:val="es-MX"/>
        </w:rPr>
        <w:t xml:space="preserve"> </w:t>
      </w:r>
      <w:r w:rsidR="00572DCE">
        <w:rPr>
          <w:rFonts w:cs="Arial"/>
          <w:lang w:val="es-MX"/>
        </w:rPr>
        <w:t xml:space="preserve">la anulación de </w:t>
      </w:r>
      <w:r w:rsidR="00ED28E0">
        <w:rPr>
          <w:rFonts w:cs="Arial"/>
          <w:lang w:val="es-MX"/>
        </w:rPr>
        <w:t xml:space="preserve"> la</w:t>
      </w:r>
      <w:r w:rsidR="00D02738">
        <w:rPr>
          <w:rFonts w:cs="Arial"/>
          <w:lang w:val="es-MX"/>
        </w:rPr>
        <w:t xml:space="preserve"> Licitación Pública N°</w:t>
      </w:r>
      <w:r w:rsidR="00D02738" w:rsidRPr="00D02738">
        <w:rPr>
          <w:rFonts w:cs="Arial"/>
          <w:lang w:val="es-MX"/>
        </w:rPr>
        <w:t xml:space="preserve"> </w:t>
      </w:r>
      <w:r w:rsidR="00D02738">
        <w:rPr>
          <w:rFonts w:cs="Arial"/>
          <w:lang w:val="es-MX"/>
        </w:rPr>
        <w:t>23/1212</w:t>
      </w:r>
      <w:r w:rsidR="00ED28E0">
        <w:rPr>
          <w:rFonts w:cs="Arial"/>
          <w:lang w:val="es-MX"/>
        </w:rPr>
        <w:t>;</w:t>
      </w:r>
    </w:p>
    <w:p w:rsidR="00724A36" w:rsidRDefault="00056506" w:rsidP="00724A36">
      <w:pPr>
        <w:spacing w:line="360" w:lineRule="auto"/>
        <w:ind w:firstLine="3119"/>
        <w:jc w:val="both"/>
        <w:rPr>
          <w:lang w:val="es-MX"/>
        </w:rPr>
      </w:pPr>
      <w:r>
        <w:rPr>
          <w:b/>
          <w:lang w:val="es-MX"/>
        </w:rPr>
        <w:t>2</w:t>
      </w:r>
      <w:r w:rsidR="00447B9D">
        <w:rPr>
          <w:b/>
          <w:lang w:val="es-MX"/>
        </w:rPr>
        <w:t>)</w:t>
      </w:r>
      <w:r w:rsidR="001251D4">
        <w:rPr>
          <w:lang w:val="es-MX"/>
        </w:rPr>
        <w:t xml:space="preserve"> </w:t>
      </w:r>
      <w:r w:rsidR="0036699D">
        <w:rPr>
          <w:lang w:val="es-MX"/>
        </w:rPr>
        <w:t xml:space="preserve">que </w:t>
      </w:r>
      <w:r w:rsidR="00AC6CA1">
        <w:rPr>
          <w:lang w:val="es-MX"/>
        </w:rPr>
        <w:t>tampoco se configuró la imposibilid</w:t>
      </w:r>
      <w:r w:rsidR="008F32DE">
        <w:rPr>
          <w:lang w:val="es-MX"/>
        </w:rPr>
        <w:t>ad</w:t>
      </w:r>
      <w:r w:rsidR="009468A6">
        <w:rPr>
          <w:lang w:val="es-MX"/>
        </w:rPr>
        <w:t xml:space="preserve"> de </w:t>
      </w:r>
      <w:r w:rsidR="008F32DE">
        <w:rPr>
          <w:lang w:val="es-MX"/>
        </w:rPr>
        <w:t>previsión en el tiempo</w:t>
      </w:r>
      <w:r w:rsidR="00447B9D" w:rsidRPr="00447B9D">
        <w:rPr>
          <w:lang w:val="es-MX"/>
        </w:rPr>
        <w:t xml:space="preserve"> </w:t>
      </w:r>
      <w:r w:rsidR="00447B9D">
        <w:rPr>
          <w:lang w:val="es-MX"/>
        </w:rPr>
        <w:t xml:space="preserve">exigida por el </w:t>
      </w:r>
      <w:r w:rsidR="00956D3E">
        <w:rPr>
          <w:lang w:val="es-MX"/>
        </w:rPr>
        <w:t>A</w:t>
      </w:r>
      <w:r w:rsidR="00447B9D" w:rsidRPr="00972FB6">
        <w:rPr>
          <w:lang w:val="es-MX"/>
        </w:rPr>
        <w:t>rtículo 157 del TOCAF</w:t>
      </w:r>
      <w:r w:rsidR="008F32DE">
        <w:rPr>
          <w:lang w:val="es-MX"/>
        </w:rPr>
        <w:t xml:space="preserve">, </w:t>
      </w:r>
      <w:r w:rsidR="0090640C">
        <w:rPr>
          <w:lang w:val="es-MX"/>
        </w:rPr>
        <w:t xml:space="preserve">puesto que </w:t>
      </w:r>
      <w:r w:rsidR="008F32DE">
        <w:rPr>
          <w:lang w:val="es-MX"/>
        </w:rPr>
        <w:t xml:space="preserve">debido a </w:t>
      </w:r>
      <w:r w:rsidR="008F32DE" w:rsidRPr="00972FB6">
        <w:rPr>
          <w:lang w:val="es-MX"/>
        </w:rPr>
        <w:t xml:space="preserve">la naturaleza de la obra a ejecutar y </w:t>
      </w:r>
      <w:r w:rsidR="008F32DE">
        <w:rPr>
          <w:lang w:val="es-MX"/>
        </w:rPr>
        <w:t xml:space="preserve">a </w:t>
      </w:r>
      <w:r w:rsidR="008F32DE" w:rsidRPr="00972FB6">
        <w:rPr>
          <w:lang w:val="es-MX"/>
        </w:rPr>
        <w:t>su relación con el clima</w:t>
      </w:r>
      <w:r w:rsidR="00F82728">
        <w:rPr>
          <w:lang w:val="es-MX"/>
        </w:rPr>
        <w:t xml:space="preserve">, </w:t>
      </w:r>
      <w:r w:rsidR="008F32DE">
        <w:rPr>
          <w:lang w:val="es-MX"/>
        </w:rPr>
        <w:t>la</w:t>
      </w:r>
      <w:r w:rsidR="008F32DE">
        <w:rPr>
          <w:rFonts w:cs="Arial"/>
          <w:lang w:val="es-MX"/>
        </w:rPr>
        <w:t xml:space="preserve"> conveniencia de </w:t>
      </w:r>
      <w:r w:rsidR="00FD5252">
        <w:rPr>
          <w:rFonts w:cs="Arial"/>
          <w:lang w:val="es-MX"/>
        </w:rPr>
        <w:t>su ejecución</w:t>
      </w:r>
      <w:r w:rsidR="008F32DE">
        <w:rPr>
          <w:rFonts w:cs="Arial"/>
          <w:lang w:val="es-MX"/>
        </w:rPr>
        <w:t xml:space="preserve"> durante </w:t>
      </w:r>
      <w:r w:rsidR="00447B9D">
        <w:rPr>
          <w:rFonts w:cs="Arial"/>
          <w:lang w:val="es-MX"/>
        </w:rPr>
        <w:t xml:space="preserve">los </w:t>
      </w:r>
      <w:r w:rsidR="008F32DE">
        <w:rPr>
          <w:rFonts w:cs="Arial"/>
          <w:lang w:val="es-MX"/>
        </w:rPr>
        <w:t>meses estivales</w:t>
      </w:r>
      <w:r w:rsidR="00447B9D">
        <w:rPr>
          <w:rFonts w:cs="Arial"/>
          <w:lang w:val="es-MX"/>
        </w:rPr>
        <w:t xml:space="preserve"> en los que </w:t>
      </w:r>
      <w:r w:rsidR="001251D4">
        <w:rPr>
          <w:rFonts w:cs="Arial"/>
          <w:lang w:val="es-MX"/>
        </w:rPr>
        <w:t>el clima es cálido y seco</w:t>
      </w:r>
      <w:r w:rsidR="00447B9D">
        <w:rPr>
          <w:rFonts w:cs="Arial"/>
          <w:lang w:val="es-MX"/>
        </w:rPr>
        <w:t>, result</w:t>
      </w:r>
      <w:r w:rsidR="007F4E8F">
        <w:rPr>
          <w:rFonts w:cs="Arial"/>
          <w:lang w:val="es-MX"/>
        </w:rPr>
        <w:t>a</w:t>
      </w:r>
      <w:r w:rsidR="00447B9D">
        <w:rPr>
          <w:rFonts w:cs="Arial"/>
          <w:lang w:val="es-MX"/>
        </w:rPr>
        <w:t xml:space="preserve"> ser</w:t>
      </w:r>
      <w:r w:rsidR="007F4E8F">
        <w:rPr>
          <w:rFonts w:cs="Arial"/>
          <w:lang w:val="es-MX"/>
        </w:rPr>
        <w:t xml:space="preserve"> un extremo</w:t>
      </w:r>
      <w:r w:rsidR="00F82728">
        <w:rPr>
          <w:rFonts w:cs="Arial"/>
          <w:lang w:val="es-MX"/>
        </w:rPr>
        <w:t xml:space="preserve"> previsible</w:t>
      </w:r>
      <w:r w:rsidR="00447B9D">
        <w:rPr>
          <w:lang w:val="es-MX"/>
        </w:rPr>
        <w:t>;</w:t>
      </w:r>
    </w:p>
    <w:p w:rsidR="0090640C" w:rsidRPr="008F32DE" w:rsidRDefault="00056506" w:rsidP="00724A36">
      <w:pPr>
        <w:spacing w:line="360" w:lineRule="auto"/>
        <w:ind w:firstLine="3119"/>
        <w:jc w:val="both"/>
        <w:rPr>
          <w:lang w:val="es-MX"/>
        </w:rPr>
      </w:pPr>
      <w:r>
        <w:rPr>
          <w:b/>
          <w:lang w:val="es-MX"/>
        </w:rPr>
        <w:t>3</w:t>
      </w:r>
      <w:r w:rsidR="0090640C" w:rsidRPr="0090640C">
        <w:rPr>
          <w:b/>
          <w:lang w:val="es-MX"/>
        </w:rPr>
        <w:t>)</w:t>
      </w:r>
      <w:r w:rsidR="0090640C">
        <w:rPr>
          <w:lang w:val="es-MX"/>
        </w:rPr>
        <w:t xml:space="preserve"> </w:t>
      </w:r>
      <w:r w:rsidR="0036699D">
        <w:rPr>
          <w:lang w:val="es-MX"/>
        </w:rPr>
        <w:t xml:space="preserve">que </w:t>
      </w:r>
      <w:r>
        <w:rPr>
          <w:lang w:val="es-MX"/>
        </w:rPr>
        <w:t>al no configurarse</w:t>
      </w:r>
      <w:r w:rsidR="0036699D">
        <w:rPr>
          <w:lang w:val="es-MX"/>
        </w:rPr>
        <w:t xml:space="preserve"> los extremos previstos en el </w:t>
      </w:r>
      <w:r w:rsidR="00956D3E">
        <w:rPr>
          <w:lang w:val="es-MX"/>
        </w:rPr>
        <w:t>A</w:t>
      </w:r>
      <w:r w:rsidR="0090640C">
        <w:rPr>
          <w:lang w:val="es-MX"/>
        </w:rPr>
        <w:t xml:space="preserve">rtículo 33 </w:t>
      </w:r>
      <w:r w:rsidR="00956D3E">
        <w:rPr>
          <w:lang w:val="es-MX"/>
        </w:rPr>
        <w:t>L</w:t>
      </w:r>
      <w:r w:rsidR="0090640C">
        <w:rPr>
          <w:lang w:val="es-MX"/>
        </w:rPr>
        <w:t xml:space="preserve">iteral C) </w:t>
      </w:r>
      <w:r w:rsidR="00956D3E">
        <w:rPr>
          <w:lang w:val="es-MX"/>
        </w:rPr>
        <w:t>N</w:t>
      </w:r>
      <w:r w:rsidR="0090640C">
        <w:rPr>
          <w:lang w:val="es-MX"/>
        </w:rPr>
        <w:t xml:space="preserve">umeral 9 y </w:t>
      </w:r>
      <w:r w:rsidR="00956D3E">
        <w:rPr>
          <w:lang w:val="es-MX"/>
        </w:rPr>
        <w:t>A</w:t>
      </w:r>
      <w:r w:rsidR="0090640C">
        <w:rPr>
          <w:lang w:val="es-MX"/>
        </w:rPr>
        <w:t xml:space="preserve">rtículo 157 del TOCAF, no se cumplieron los requisitos </w:t>
      </w:r>
      <w:r>
        <w:rPr>
          <w:lang w:val="es-MX"/>
        </w:rPr>
        <w:t xml:space="preserve">exigidos </w:t>
      </w:r>
      <w:r w:rsidR="0090640C">
        <w:rPr>
          <w:lang w:val="es-MX"/>
        </w:rPr>
        <w:t>para proceder a la contratación directa;</w:t>
      </w:r>
      <w:r w:rsidR="005478C4" w:rsidRPr="005478C4">
        <w:rPr>
          <w:lang w:val="es-MX"/>
        </w:rPr>
        <w:t xml:space="preserve"> </w:t>
      </w:r>
      <w:r w:rsidR="005478C4">
        <w:rPr>
          <w:lang w:val="es-MX"/>
        </w:rPr>
        <w:t xml:space="preserve"> </w:t>
      </w:r>
    </w:p>
    <w:p w:rsidR="00FD5252" w:rsidRDefault="001D499E" w:rsidP="00724A36">
      <w:pPr>
        <w:spacing w:line="360" w:lineRule="auto"/>
        <w:ind w:firstLine="851"/>
        <w:jc w:val="both"/>
        <w:rPr>
          <w:lang w:val="es-MX"/>
        </w:rPr>
      </w:pPr>
      <w:r w:rsidRPr="00972FB6">
        <w:rPr>
          <w:b/>
          <w:lang w:val="es-MX"/>
        </w:rPr>
        <w:t>ATENTO:</w:t>
      </w:r>
      <w:r>
        <w:rPr>
          <w:lang w:val="es-MX"/>
        </w:rPr>
        <w:t xml:space="preserve"> a lo expuesto y a lo dispuesto por el </w:t>
      </w:r>
      <w:r w:rsidR="00956D3E">
        <w:rPr>
          <w:lang w:val="es-MX"/>
        </w:rPr>
        <w:t>A</w:t>
      </w:r>
      <w:r>
        <w:rPr>
          <w:lang w:val="es-MX"/>
        </w:rPr>
        <w:t xml:space="preserve">rtículo 211 </w:t>
      </w:r>
      <w:r w:rsidR="00956D3E">
        <w:rPr>
          <w:lang w:val="es-MX"/>
        </w:rPr>
        <w:t>L</w:t>
      </w:r>
      <w:bookmarkStart w:id="0" w:name="_GoBack"/>
      <w:bookmarkEnd w:id="0"/>
      <w:r>
        <w:rPr>
          <w:lang w:val="es-MX"/>
        </w:rPr>
        <w:t>iteral B) de la Constitución de la República</w:t>
      </w:r>
      <w:r w:rsidR="008F32DE">
        <w:rPr>
          <w:lang w:val="es-MX"/>
        </w:rPr>
        <w:t>;</w:t>
      </w:r>
    </w:p>
    <w:p w:rsidR="00724A36" w:rsidRDefault="00724A36" w:rsidP="00724A36">
      <w:pPr>
        <w:spacing w:line="360" w:lineRule="auto"/>
        <w:ind w:firstLine="851"/>
        <w:jc w:val="both"/>
        <w:rPr>
          <w:lang w:val="es-MX"/>
        </w:rPr>
      </w:pPr>
    </w:p>
    <w:p w:rsidR="00724A36" w:rsidRDefault="00724A36" w:rsidP="00724A36">
      <w:pPr>
        <w:spacing w:line="360" w:lineRule="auto"/>
        <w:ind w:firstLine="851"/>
        <w:jc w:val="both"/>
      </w:pPr>
    </w:p>
    <w:p w:rsidR="001D499E" w:rsidRDefault="001D499E" w:rsidP="001D499E">
      <w:pPr>
        <w:pStyle w:val="Ttulo1"/>
        <w:rPr>
          <w:rFonts w:cs="Times New Roman"/>
        </w:rPr>
      </w:pPr>
      <w:r>
        <w:rPr>
          <w:rFonts w:cs="Times New Roman"/>
        </w:rPr>
        <w:lastRenderedPageBreak/>
        <w:t>EL TRIBUNAL ACUERDA</w:t>
      </w:r>
    </w:p>
    <w:p w:rsidR="00724A36" w:rsidRPr="00724A36" w:rsidRDefault="001D499E" w:rsidP="00724A36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lang w:val="es-MX"/>
        </w:rPr>
      </w:pPr>
      <w:r w:rsidRPr="00724A36">
        <w:rPr>
          <w:lang w:val="es-MX"/>
        </w:rPr>
        <w:t xml:space="preserve">Mantener la observación formulada </w:t>
      </w:r>
      <w:r w:rsidR="00FD5252" w:rsidRPr="00724A36">
        <w:rPr>
          <w:lang w:val="es-MX"/>
        </w:rPr>
        <w:t>la Contadora Delegada de fecha</w:t>
      </w:r>
      <w:r w:rsidRPr="00724A36">
        <w:rPr>
          <w:lang w:val="es-MX"/>
        </w:rPr>
        <w:t xml:space="preserve"> </w:t>
      </w:r>
      <w:r w:rsidR="00FD5252" w:rsidRPr="00724A36">
        <w:rPr>
          <w:lang w:val="es-MX"/>
        </w:rPr>
        <w:t>16</w:t>
      </w:r>
      <w:r w:rsidR="00724A36" w:rsidRPr="00724A36">
        <w:rPr>
          <w:lang w:val="es-MX"/>
        </w:rPr>
        <w:t>/</w:t>
      </w:r>
      <w:r w:rsidR="00FD5252" w:rsidRPr="00724A36">
        <w:rPr>
          <w:lang w:val="es-MX"/>
        </w:rPr>
        <w:t>11</w:t>
      </w:r>
      <w:r w:rsidR="00724A36" w:rsidRPr="00724A36">
        <w:rPr>
          <w:lang w:val="es-MX"/>
        </w:rPr>
        <w:t>/</w:t>
      </w:r>
      <w:r w:rsidR="00FD5252" w:rsidRPr="00724A36">
        <w:rPr>
          <w:lang w:val="es-MX"/>
        </w:rPr>
        <w:t>15</w:t>
      </w:r>
      <w:r w:rsidR="00724A36" w:rsidRPr="00724A36">
        <w:rPr>
          <w:lang w:val="es-MX"/>
        </w:rPr>
        <w:t>;</w:t>
      </w:r>
    </w:p>
    <w:p w:rsidR="001D499E" w:rsidRDefault="001D499E" w:rsidP="001D499E">
      <w:pPr>
        <w:spacing w:line="360" w:lineRule="auto"/>
        <w:jc w:val="both"/>
        <w:rPr>
          <w:lang w:val="es-MX"/>
        </w:rPr>
      </w:pPr>
      <w:r w:rsidRPr="00ED6358">
        <w:rPr>
          <w:b/>
          <w:lang w:val="es-MX"/>
        </w:rPr>
        <w:t>2</w:t>
      </w:r>
      <w:r w:rsidR="00724A36">
        <w:rPr>
          <w:b/>
          <w:lang w:val="es-MX"/>
        </w:rPr>
        <w:t>)</w:t>
      </w:r>
      <w:r>
        <w:rPr>
          <w:lang w:val="es-MX"/>
        </w:rPr>
        <w:t xml:space="preserve"> Dar cuenta a la Asamblea General</w:t>
      </w:r>
      <w:r w:rsidR="00724A36">
        <w:rPr>
          <w:lang w:val="es-MX"/>
        </w:rPr>
        <w:t>:</w:t>
      </w:r>
    </w:p>
    <w:p w:rsidR="009468A6" w:rsidRDefault="001D499E" w:rsidP="001D499E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3</w:t>
      </w:r>
      <w:r w:rsidR="00724A36">
        <w:rPr>
          <w:b/>
          <w:bCs/>
          <w:lang w:val="es-MX"/>
        </w:rPr>
        <w:t>)</w:t>
      </w:r>
      <w:r>
        <w:rPr>
          <w:lang w:val="es-MX"/>
        </w:rPr>
        <w:t xml:space="preserve"> Devolver las actuaciones.</w:t>
      </w:r>
    </w:p>
    <w:p w:rsidR="00724A36" w:rsidRDefault="00724A36" w:rsidP="001D499E">
      <w:pPr>
        <w:spacing w:line="360" w:lineRule="auto"/>
        <w:jc w:val="both"/>
        <w:rPr>
          <w:lang w:val="es-MX"/>
        </w:rPr>
      </w:pPr>
    </w:p>
    <w:p w:rsidR="00724A36" w:rsidRDefault="00724A36" w:rsidP="001D499E">
      <w:pPr>
        <w:spacing w:line="360" w:lineRule="auto"/>
        <w:jc w:val="both"/>
        <w:rPr>
          <w:lang w:val="es-MX"/>
        </w:rPr>
      </w:pPr>
    </w:p>
    <w:p w:rsidR="00724A36" w:rsidRDefault="00724A36" w:rsidP="001D499E">
      <w:pPr>
        <w:spacing w:line="360" w:lineRule="auto"/>
        <w:jc w:val="both"/>
        <w:rPr>
          <w:lang w:val="es-MX"/>
        </w:rPr>
      </w:pPr>
    </w:p>
    <w:p w:rsidR="00724A36" w:rsidRDefault="00724A36" w:rsidP="001D499E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bf</w:t>
      </w:r>
      <w:proofErr w:type="spellEnd"/>
      <w:proofErr w:type="gramEnd"/>
    </w:p>
    <w:p w:rsidR="001D499E" w:rsidRPr="00DA763C" w:rsidRDefault="00DA763C" w:rsidP="00724A36">
      <w:pPr>
        <w:spacing w:line="360" w:lineRule="auto"/>
        <w:jc w:val="both"/>
        <w:rPr>
          <w:rFonts w:cs="Arial"/>
          <w:i/>
          <w:sz w:val="20"/>
          <w:lang w:val="es-UY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</w:p>
    <w:p w:rsidR="00EB57FD" w:rsidRPr="00DA763C" w:rsidRDefault="00EB57FD">
      <w:pPr>
        <w:rPr>
          <w:i/>
          <w:sz w:val="20"/>
          <w:lang w:val="es-UY"/>
        </w:rPr>
      </w:pPr>
    </w:p>
    <w:sectPr w:rsidR="00EB57FD" w:rsidRPr="00DA763C" w:rsidSect="00956D3E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65D"/>
    <w:multiLevelType w:val="hybridMultilevel"/>
    <w:tmpl w:val="E312B90C"/>
    <w:lvl w:ilvl="0" w:tplc="550AFA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9E"/>
    <w:rsid w:val="00006231"/>
    <w:rsid w:val="0005507B"/>
    <w:rsid w:val="00056506"/>
    <w:rsid w:val="00091E42"/>
    <w:rsid w:val="000A4E5E"/>
    <w:rsid w:val="000C73A3"/>
    <w:rsid w:val="001251D4"/>
    <w:rsid w:val="00130655"/>
    <w:rsid w:val="001C057E"/>
    <w:rsid w:val="001D499E"/>
    <w:rsid w:val="001F08BE"/>
    <w:rsid w:val="00277967"/>
    <w:rsid w:val="002F6F70"/>
    <w:rsid w:val="0036699D"/>
    <w:rsid w:val="003F5CA0"/>
    <w:rsid w:val="00447B9D"/>
    <w:rsid w:val="0045436D"/>
    <w:rsid w:val="004949AF"/>
    <w:rsid w:val="005478C4"/>
    <w:rsid w:val="005629A8"/>
    <w:rsid w:val="00572DCE"/>
    <w:rsid w:val="00724A36"/>
    <w:rsid w:val="00777506"/>
    <w:rsid w:val="007F4E8F"/>
    <w:rsid w:val="008F32DE"/>
    <w:rsid w:val="0090640C"/>
    <w:rsid w:val="009468A6"/>
    <w:rsid w:val="00956D3E"/>
    <w:rsid w:val="009F1696"/>
    <w:rsid w:val="00A93204"/>
    <w:rsid w:val="00AC3D9A"/>
    <w:rsid w:val="00AC6CA1"/>
    <w:rsid w:val="00AD0672"/>
    <w:rsid w:val="00B5399D"/>
    <w:rsid w:val="00D02738"/>
    <w:rsid w:val="00D444BA"/>
    <w:rsid w:val="00DA763C"/>
    <w:rsid w:val="00EB57FD"/>
    <w:rsid w:val="00ED28E0"/>
    <w:rsid w:val="00F82728"/>
    <w:rsid w:val="00FD24DF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9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499E"/>
    <w:pPr>
      <w:keepNext/>
      <w:spacing w:line="360" w:lineRule="auto"/>
      <w:jc w:val="center"/>
      <w:outlineLvl w:val="0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499E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1D499E"/>
    <w:pPr>
      <w:spacing w:line="360" w:lineRule="auto"/>
      <w:jc w:val="both"/>
    </w:pPr>
    <w:rPr>
      <w:rFonts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499E"/>
    <w:rPr>
      <w:rFonts w:ascii="Arial" w:eastAsia="Times New Roman" w:hAnsi="Arial" w:cs="Arial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2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9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499E"/>
    <w:pPr>
      <w:keepNext/>
      <w:spacing w:line="360" w:lineRule="auto"/>
      <w:jc w:val="center"/>
      <w:outlineLvl w:val="0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499E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1D499E"/>
    <w:pPr>
      <w:spacing w:line="360" w:lineRule="auto"/>
      <w:jc w:val="both"/>
    </w:pPr>
    <w:rPr>
      <w:rFonts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499E"/>
    <w:rPr>
      <w:rFonts w:ascii="Arial" w:eastAsia="Times New Roman" w:hAnsi="Arial" w:cs="Arial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2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97E-AC9E-4C0C-8766-C5E63068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dcterms:created xsi:type="dcterms:W3CDTF">2016-02-16T12:16:00Z</dcterms:created>
  <dcterms:modified xsi:type="dcterms:W3CDTF">2016-02-16T12:16:00Z</dcterms:modified>
</cp:coreProperties>
</file>