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F0" w:rsidRPr="00C61614" w:rsidRDefault="002C77F0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C6161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9C1CF2">
        <w:rPr>
          <w:rFonts w:ascii="Arial" w:hAnsi="Arial" w:cs="Arial"/>
          <w:b/>
          <w:sz w:val="28"/>
          <w:szCs w:val="28"/>
          <w:lang w:val="es-ES_tradnl"/>
        </w:rPr>
        <w:t>81</w:t>
      </w:r>
      <w:r w:rsidRPr="00C61614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C77F0" w:rsidRDefault="002C77F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C77F0" w:rsidRPr="002C77F0" w:rsidRDefault="002C77F0" w:rsidP="007F636D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C77F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C77F0" w:rsidRPr="002C77F0" w:rsidRDefault="002C77F0" w:rsidP="007F636D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C77F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C77F0" w:rsidRPr="002C77F0" w:rsidRDefault="002C77F0" w:rsidP="007F636D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C77F0">
        <w:rPr>
          <w:rFonts w:ascii="Arial" w:hAnsi="Arial" w:cs="Arial"/>
          <w:b/>
          <w:sz w:val="24"/>
          <w:szCs w:val="24"/>
          <w:lang w:val="es-ES_tradnl"/>
        </w:rPr>
        <w:t>EN SESION DE FECHA 20 DE ENERO DE 2016</w:t>
      </w:r>
    </w:p>
    <w:p w:rsidR="002C77F0" w:rsidRPr="007F636D" w:rsidRDefault="002C77F0" w:rsidP="007F636D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7F636D">
        <w:rPr>
          <w:rFonts w:ascii="Arial" w:hAnsi="Arial" w:cs="Arial"/>
          <w:b/>
          <w:sz w:val="24"/>
          <w:szCs w:val="24"/>
        </w:rPr>
        <w:t>(E. E. Nº</w:t>
      </w:r>
      <w:r w:rsidR="009C1CF2" w:rsidRPr="007F636D">
        <w:rPr>
          <w:rFonts w:ascii="Arial" w:hAnsi="Arial" w:cs="Arial"/>
          <w:b/>
          <w:sz w:val="24"/>
          <w:szCs w:val="24"/>
        </w:rPr>
        <w:t xml:space="preserve"> 2015-17-1-0006999</w:t>
      </w:r>
      <w:r w:rsidRPr="007F636D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7F636D">
        <w:rPr>
          <w:rFonts w:ascii="Arial" w:hAnsi="Arial" w:cs="Arial"/>
          <w:b/>
          <w:sz w:val="24"/>
          <w:szCs w:val="24"/>
        </w:rPr>
        <w:t>Ent</w:t>
      </w:r>
      <w:proofErr w:type="spellEnd"/>
      <w:r w:rsidRPr="007F636D">
        <w:rPr>
          <w:rFonts w:ascii="Arial" w:hAnsi="Arial" w:cs="Arial"/>
          <w:b/>
          <w:sz w:val="24"/>
          <w:szCs w:val="24"/>
        </w:rPr>
        <w:t xml:space="preserve">. N° </w:t>
      </w:r>
      <w:r w:rsidR="002E0395" w:rsidRPr="007F636D">
        <w:rPr>
          <w:rFonts w:ascii="Arial" w:hAnsi="Arial" w:cs="Arial"/>
          <w:b/>
          <w:sz w:val="24"/>
          <w:szCs w:val="24"/>
        </w:rPr>
        <w:t>7093/15</w:t>
      </w:r>
      <w:r w:rsidRPr="007F636D">
        <w:rPr>
          <w:rFonts w:ascii="Arial" w:hAnsi="Arial" w:cs="Arial"/>
          <w:b/>
          <w:sz w:val="24"/>
          <w:szCs w:val="24"/>
        </w:rPr>
        <w:t>)</w:t>
      </w:r>
    </w:p>
    <w:p w:rsidR="00DC2A6C" w:rsidRDefault="00DC2A6C" w:rsidP="007F636D">
      <w:pPr>
        <w:keepNext/>
        <w:spacing w:after="0" w:line="360" w:lineRule="auto"/>
        <w:ind w:firstLine="851"/>
        <w:jc w:val="both"/>
        <w:outlineLvl w:val="0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EC0305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VISTO:</w:t>
      </w:r>
      <w:r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las </w:t>
      </w:r>
      <w:r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nuevas </w:t>
      </w:r>
      <w:r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actuaciones remitidas por</w:t>
      </w:r>
      <w:r w:rsidRPr="00EC0305">
        <w:rPr>
          <w:rFonts w:ascii="Arial" w:eastAsia="Times New Roman" w:hAnsi="Arial" w:cs="Times New Roman"/>
          <w:bCs/>
          <w:iCs/>
          <w:sz w:val="24"/>
          <w:szCs w:val="24"/>
          <w:lang w:val="es-ES" w:eastAsia="es-ES"/>
        </w:rPr>
        <w:t xml:space="preserve"> la </w:t>
      </w:r>
      <w:r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Administración Nacional de </w:t>
      </w:r>
      <w:r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Usinas y Transmisiones Eléctricas, relacionadas</w:t>
      </w:r>
      <w:r w:rsidRPr="00EC0305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con la reiteración del gasto derivado de </w:t>
      </w:r>
      <w:r w:rsidRPr="00EC030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la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ampliación de la Licitación Pública P42735 para la contratación de una consultora que brinde servicios de asistencia técnica en la Central de Ciclo Combinado Punta del Tigre “B”;</w:t>
      </w:r>
    </w:p>
    <w:p w:rsidR="00DC2A6C" w:rsidRPr="00EC0305" w:rsidRDefault="00DC2A6C" w:rsidP="007F636D">
      <w:pPr>
        <w:spacing w:after="12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EC030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RESULTANDO: 1) </w:t>
      </w:r>
      <w:r w:rsidRPr="00EC0305">
        <w:rPr>
          <w:rFonts w:ascii="Arial" w:eastAsia="Times New Roman" w:hAnsi="Arial" w:cs="Arial"/>
          <w:sz w:val="24"/>
          <w:szCs w:val="24"/>
          <w:lang w:eastAsia="es-ES"/>
        </w:rPr>
        <w:t xml:space="preserve">que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por R</w:t>
      </w:r>
      <w:r w:rsidRPr="00EC030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esolución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G.G N° 176/12 de fecha 23.08.12, el Gerente General, en uso de  atribuciones delegadas, dispuso adjudicar la </w:t>
      </w:r>
      <w:r w:rsidR="005323F7">
        <w:rPr>
          <w:rFonts w:ascii="Arial" w:eastAsia="Times New Roman" w:hAnsi="Arial" w:cs="Arial"/>
          <w:sz w:val="24"/>
          <w:szCs w:val="24"/>
          <w:lang w:val="es-MX" w:eastAsia="es-ES"/>
        </w:rPr>
        <w:t>l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icitación </w:t>
      </w:r>
      <w:r w:rsidR="005323F7">
        <w:rPr>
          <w:rFonts w:ascii="Arial" w:eastAsia="Times New Roman" w:hAnsi="Arial" w:cs="Arial"/>
          <w:sz w:val="24"/>
          <w:szCs w:val="24"/>
          <w:lang w:val="es-MX" w:eastAsia="es-ES"/>
        </w:rPr>
        <w:t>p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ública de referenci</w:t>
      </w:r>
      <w:r w:rsidR="005323F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a a la firma </w:t>
      </w:r>
      <w:proofErr w:type="spellStart"/>
      <w:r w:rsidR="005323F7">
        <w:rPr>
          <w:rFonts w:ascii="Arial" w:eastAsia="Times New Roman" w:hAnsi="Arial" w:cs="Arial"/>
          <w:sz w:val="24"/>
          <w:szCs w:val="24"/>
          <w:lang w:val="es-MX" w:eastAsia="es-ES"/>
        </w:rPr>
        <w:t>Poyry</w:t>
      </w:r>
      <w:proofErr w:type="spellEnd"/>
      <w:r w:rsidR="005323F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proofErr w:type="spellStart"/>
      <w:r w:rsidR="005323F7">
        <w:rPr>
          <w:rFonts w:ascii="Arial" w:eastAsia="Times New Roman" w:hAnsi="Arial" w:cs="Arial"/>
          <w:sz w:val="24"/>
          <w:szCs w:val="24"/>
          <w:lang w:val="es-MX" w:eastAsia="es-ES"/>
        </w:rPr>
        <w:t>Energy</w:t>
      </w:r>
      <w:proofErr w:type="spellEnd"/>
      <w:r w:rsidR="005323F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S.R.L,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por un monto de $ 82:193.836,80 (con previsión de ajuste e impuestos incluidos);</w:t>
      </w:r>
    </w:p>
    <w:p w:rsidR="00CF5103" w:rsidRDefault="00DC2A6C" w:rsidP="007F636D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2)</w:t>
      </w:r>
      <w:r w:rsidR="005323F7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que por Resolución N° 15.-1521 de fecha 23.07.15, el Directorio dispuso</w:t>
      </w:r>
      <w:r w:rsidR="005323F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adjudicar la ampliación de la l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icitación en un 20% a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Poyry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Energy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S.R.L</w:t>
      </w:r>
      <w:r w:rsidR="00BB3E28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por un monto de € 639.142,40 (impuestos incluidos), lo que fue observado por el Contador Delegado por falta de disponibilidad presupuestal suficiente</w:t>
      </w:r>
      <w:r w:rsidR="005323F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el rubro de imputación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CF5103" w:rsidRDefault="00BF7ACE" w:rsidP="007F636D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3</w:t>
      </w:r>
      <w:r w:rsidR="00DC2A6C" w:rsidRPr="00FF1FB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) </w:t>
      </w:r>
      <w:r w:rsidR="00DC2A6C">
        <w:rPr>
          <w:rFonts w:ascii="Arial" w:eastAsia="Times New Roman" w:hAnsi="Arial" w:cs="Arial"/>
          <w:sz w:val="24"/>
          <w:szCs w:val="24"/>
          <w:lang w:val="es-ES" w:eastAsia="es-ES"/>
        </w:rPr>
        <w:t>que por Resolución N° 15.-2068 de fecha 24.09.15, el Directorio dispuso reiterar el gasto</w:t>
      </w:r>
      <w:r w:rsidR="00BB3E28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DC2A6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argumentando que la Gerencia de Generación Térmica informó que resulta imprescindible co</w:t>
      </w:r>
      <w:r w:rsidR="00BB3E2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ncretar el objeto del contrato, </w:t>
      </w:r>
      <w:r w:rsidR="00DC2A6C">
        <w:rPr>
          <w:rFonts w:ascii="Arial" w:eastAsia="Times New Roman" w:hAnsi="Arial" w:cs="Arial"/>
          <w:sz w:val="24"/>
          <w:szCs w:val="24"/>
          <w:lang w:val="es-ES" w:eastAsia="es-ES"/>
        </w:rPr>
        <w:t>por requerirse el servicio hasta finalizar el estudio de la documentación correspondiente a la ingeniería de detalle del ciclo combinado completo;</w:t>
      </w:r>
    </w:p>
    <w:p w:rsidR="00DC2A6C" w:rsidRPr="005323F7" w:rsidRDefault="00DC2A6C" w:rsidP="007F636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lastRenderedPageBreak/>
        <w:t>C</w:t>
      </w:r>
      <w:r w:rsidRPr="00EC0305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ONSIDERANDO:</w:t>
      </w:r>
      <w:r w:rsidRPr="00EC030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que 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os argumentos esgrimidos por la Administración actuante </w:t>
      </w:r>
      <w:r w:rsidR="00BB3E28">
        <w:rPr>
          <w:rFonts w:ascii="Arial" w:eastAsia="Times New Roman" w:hAnsi="Arial" w:cs="Arial"/>
          <w:bCs/>
          <w:sz w:val="24"/>
          <w:szCs w:val="24"/>
          <w:lang w:val="es-ES" w:eastAsia="es-ES"/>
        </w:rPr>
        <w:t>en ocasión de reiterar el gasto</w:t>
      </w:r>
      <w:r w:rsidRPr="00EC0305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no refieren a la causal que originó la observación oportunamente formulada;</w:t>
      </w:r>
    </w:p>
    <w:p w:rsidR="00DC2A6C" w:rsidRPr="00EC0305" w:rsidRDefault="00DC2A6C" w:rsidP="007F636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C030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ATENTO: </w:t>
      </w:r>
      <w:r w:rsidRPr="00EC0305">
        <w:rPr>
          <w:rFonts w:ascii="Arial" w:eastAsia="Times New Roman" w:hAnsi="Arial" w:cs="Arial"/>
          <w:sz w:val="24"/>
          <w:szCs w:val="24"/>
          <w:lang w:val="es-ES" w:eastAsia="es-ES"/>
        </w:rPr>
        <w:t>a lo expuesto y a lo dispuesto por el Artículo 211 Literal B) de la Constitución de la República;</w:t>
      </w:r>
    </w:p>
    <w:p w:rsidR="00DC2A6C" w:rsidRPr="00CF5103" w:rsidRDefault="00DC2A6C" w:rsidP="00CF510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CF5103">
        <w:rPr>
          <w:rFonts w:ascii="Arial" w:eastAsia="Times New Roman" w:hAnsi="Arial" w:cs="Arial"/>
          <w:b/>
          <w:sz w:val="24"/>
          <w:szCs w:val="24"/>
          <w:lang w:val="es-ES" w:eastAsia="es-ES"/>
        </w:rPr>
        <w:t>EL TRIBUNAL ACUERDA</w:t>
      </w:r>
    </w:p>
    <w:p w:rsidR="00DC2A6C" w:rsidRPr="00CF5103" w:rsidRDefault="00CF5103" w:rsidP="00CF5103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F5103">
        <w:rPr>
          <w:rFonts w:ascii="Arial" w:eastAsia="Times New Roman" w:hAnsi="Arial" w:cs="Arial"/>
          <w:b/>
          <w:sz w:val="24"/>
          <w:szCs w:val="24"/>
          <w:lang w:val="es-ES" w:eastAsia="es-ES"/>
        </w:rPr>
        <w:t>1)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DC2A6C" w:rsidRPr="00CF5103">
        <w:rPr>
          <w:rFonts w:ascii="Arial" w:eastAsia="Times New Roman" w:hAnsi="Arial" w:cs="Arial"/>
          <w:sz w:val="24"/>
          <w:szCs w:val="24"/>
          <w:lang w:val="es-ES" w:eastAsia="es-ES"/>
        </w:rPr>
        <w:t>Mantener la observación formulada por el Contador</w:t>
      </w:r>
      <w:r w:rsidR="007F636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Delegado con fecha 14.08.15;</w:t>
      </w:r>
    </w:p>
    <w:p w:rsidR="00CF5103" w:rsidRDefault="00CF5103" w:rsidP="00CF510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F5103">
        <w:rPr>
          <w:rFonts w:ascii="Arial" w:eastAsia="Times New Roman" w:hAnsi="Arial" w:cs="Arial"/>
          <w:b/>
          <w:sz w:val="24"/>
          <w:szCs w:val="24"/>
          <w:lang w:val="es-ES" w:eastAsia="es-ES"/>
        </w:rPr>
        <w:t>2)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DC2A6C" w:rsidRPr="00CF5103">
        <w:rPr>
          <w:rFonts w:ascii="Arial" w:eastAsia="Times New Roman" w:hAnsi="Arial" w:cs="Arial"/>
          <w:sz w:val="24"/>
          <w:szCs w:val="24"/>
          <w:lang w:val="es-ES" w:eastAsia="es-ES"/>
        </w:rPr>
        <w:t>D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ar cuenta a la Asamblea General; y</w:t>
      </w:r>
    </w:p>
    <w:p w:rsidR="00DC2A6C" w:rsidRPr="00CF5103" w:rsidRDefault="00CF5103" w:rsidP="00CF510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F5103">
        <w:rPr>
          <w:rFonts w:ascii="Arial" w:eastAsia="Times New Roman" w:hAnsi="Arial" w:cs="Arial"/>
          <w:b/>
          <w:sz w:val="24"/>
          <w:szCs w:val="24"/>
          <w:lang w:val="es-ES" w:eastAsia="es-ES"/>
        </w:rPr>
        <w:t>3)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587347" w:rsidRPr="00CF5103">
        <w:rPr>
          <w:rFonts w:ascii="Arial" w:eastAsia="Times New Roman" w:hAnsi="Arial" w:cs="Arial"/>
          <w:sz w:val="24"/>
          <w:szCs w:val="24"/>
          <w:lang w:val="es-ES" w:eastAsia="es-ES"/>
        </w:rPr>
        <w:t>Oficiar</w:t>
      </w:r>
      <w:r w:rsidR="00DC2A6C" w:rsidRPr="00CF5103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DC2A6C" w:rsidRDefault="00DC2A6C" w:rsidP="00DC2A6C">
      <w:pPr>
        <w:spacing w:after="120" w:line="360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val="es-ES" w:eastAsia="es-ES"/>
        </w:rPr>
      </w:pPr>
    </w:p>
    <w:p w:rsidR="00CF5103" w:rsidRPr="00CF5103" w:rsidRDefault="00CF5103" w:rsidP="00DC2A6C">
      <w:pPr>
        <w:spacing w:after="120"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</w:pPr>
      <w:proofErr w:type="spellStart"/>
      <w:proofErr w:type="gramStart"/>
      <w:r w:rsidRPr="00CF5103"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  <w:t>cr</w:t>
      </w:r>
      <w:proofErr w:type="spellEnd"/>
      <w:proofErr w:type="gramEnd"/>
    </w:p>
    <w:sectPr w:rsidR="00CF5103" w:rsidRPr="00CF5103" w:rsidSect="00CF5103">
      <w:footerReference w:type="even" r:id="rId8"/>
      <w:foot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98" w:rsidRDefault="000B7198">
      <w:pPr>
        <w:spacing w:after="0" w:line="240" w:lineRule="auto"/>
      </w:pPr>
      <w:r>
        <w:separator/>
      </w:r>
    </w:p>
  </w:endnote>
  <w:endnote w:type="continuationSeparator" w:id="0">
    <w:p w:rsidR="000B7198" w:rsidRDefault="000B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3F7" w:rsidRDefault="005323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323F7" w:rsidRDefault="005323F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3F7" w:rsidRDefault="005323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636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23F7" w:rsidRDefault="005323F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98" w:rsidRDefault="000B7198">
      <w:pPr>
        <w:spacing w:after="0" w:line="240" w:lineRule="auto"/>
      </w:pPr>
      <w:r>
        <w:separator/>
      </w:r>
    </w:p>
  </w:footnote>
  <w:footnote w:type="continuationSeparator" w:id="0">
    <w:p w:rsidR="000B7198" w:rsidRDefault="000B7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F2CC1"/>
    <w:multiLevelType w:val="hybridMultilevel"/>
    <w:tmpl w:val="1912267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B8"/>
    <w:rsid w:val="000312B8"/>
    <w:rsid w:val="0005507B"/>
    <w:rsid w:val="0006342B"/>
    <w:rsid w:val="000B7198"/>
    <w:rsid w:val="00130655"/>
    <w:rsid w:val="002C77F0"/>
    <w:rsid w:val="002D6DCF"/>
    <w:rsid w:val="002E0395"/>
    <w:rsid w:val="003C1E11"/>
    <w:rsid w:val="0046206A"/>
    <w:rsid w:val="005323F7"/>
    <w:rsid w:val="005538E8"/>
    <w:rsid w:val="00587347"/>
    <w:rsid w:val="007F636D"/>
    <w:rsid w:val="00846D8B"/>
    <w:rsid w:val="009C1CF2"/>
    <w:rsid w:val="00BB3E28"/>
    <w:rsid w:val="00BF7ACE"/>
    <w:rsid w:val="00C34A73"/>
    <w:rsid w:val="00CF5103"/>
    <w:rsid w:val="00D32610"/>
    <w:rsid w:val="00DC2A6C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A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0312B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0312B8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031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A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0312B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0312B8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03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 </cp:lastModifiedBy>
  <cp:revision>3</cp:revision>
  <cp:lastPrinted>2016-01-21T15:59:00Z</cp:lastPrinted>
  <dcterms:created xsi:type="dcterms:W3CDTF">2016-01-21T15:59:00Z</dcterms:created>
  <dcterms:modified xsi:type="dcterms:W3CDTF">2016-03-04T16:53:00Z</dcterms:modified>
</cp:coreProperties>
</file>