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3F" w:rsidRPr="00C61614" w:rsidRDefault="0019453F" w:rsidP="00794A7F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bookmarkStart w:id="0" w:name="_GoBack"/>
      <w:bookmarkEnd w:id="0"/>
      <w:r w:rsidRPr="00C61614">
        <w:rPr>
          <w:b/>
          <w:sz w:val="28"/>
          <w:szCs w:val="28"/>
          <w:lang w:val="es-ES_tradnl"/>
        </w:rPr>
        <w:t xml:space="preserve">RES. </w:t>
      </w:r>
      <w:r>
        <w:rPr>
          <w:b/>
          <w:sz w:val="28"/>
          <w:szCs w:val="28"/>
          <w:lang w:val="es-ES_tradnl"/>
        </w:rPr>
        <w:t>110</w:t>
      </w:r>
      <w:r w:rsidRPr="00C61614">
        <w:rPr>
          <w:b/>
          <w:sz w:val="28"/>
          <w:szCs w:val="28"/>
          <w:lang w:val="es-ES_tradnl"/>
        </w:rPr>
        <w:t>/16</w:t>
      </w:r>
    </w:p>
    <w:p w:rsidR="0019453F" w:rsidRDefault="0019453F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19453F" w:rsidRPr="00794A7F" w:rsidRDefault="0019453F" w:rsidP="00794A7F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94A7F">
        <w:rPr>
          <w:b/>
          <w:lang w:val="es-ES_tradnl"/>
        </w:rPr>
        <w:t>RESOLUCION ADOPTADA POR EL</w:t>
      </w:r>
    </w:p>
    <w:p w:rsidR="0019453F" w:rsidRPr="00794A7F" w:rsidRDefault="0019453F" w:rsidP="00794A7F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19453F" w:rsidRPr="00794A7F" w:rsidRDefault="0019453F" w:rsidP="00794A7F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94A7F">
        <w:rPr>
          <w:b/>
          <w:lang w:val="es-ES_tradnl"/>
        </w:rPr>
        <w:t>TRIBUNAL DE CUENTAS</w:t>
      </w:r>
    </w:p>
    <w:p w:rsidR="0019453F" w:rsidRPr="00794A7F" w:rsidRDefault="0019453F" w:rsidP="00794A7F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19453F" w:rsidRPr="00794A7F" w:rsidRDefault="0019453F" w:rsidP="00794A7F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94A7F">
        <w:rPr>
          <w:b/>
          <w:lang w:val="es-ES_tradnl"/>
        </w:rPr>
        <w:t>EN SESION DE FECHA 20 DE ENERO DE 2016</w:t>
      </w:r>
    </w:p>
    <w:p w:rsidR="0019453F" w:rsidRPr="00794A7F" w:rsidRDefault="0019453F" w:rsidP="00794A7F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19453F" w:rsidRPr="00794A7F" w:rsidRDefault="0019453F" w:rsidP="00794A7F">
      <w:pPr>
        <w:tabs>
          <w:tab w:val="center" w:pos="4253"/>
        </w:tabs>
        <w:suppressAutoHyphens/>
        <w:jc w:val="center"/>
        <w:rPr>
          <w:b/>
        </w:rPr>
      </w:pPr>
      <w:r w:rsidRPr="00794A7F">
        <w:rPr>
          <w:b/>
        </w:rPr>
        <w:t xml:space="preserve">(E. E. Nº 2015-17-1-0009238, </w:t>
      </w:r>
      <w:proofErr w:type="spellStart"/>
      <w:r w:rsidRPr="00794A7F">
        <w:rPr>
          <w:b/>
        </w:rPr>
        <w:t>Ent</w:t>
      </w:r>
      <w:proofErr w:type="spellEnd"/>
      <w:r w:rsidRPr="00794A7F">
        <w:rPr>
          <w:b/>
        </w:rPr>
        <w:t>. N° 7218/15)</w:t>
      </w:r>
    </w:p>
    <w:p w:rsidR="0019453F" w:rsidRPr="00641FB8" w:rsidRDefault="0019453F">
      <w:pPr>
        <w:tabs>
          <w:tab w:val="center" w:pos="4253"/>
        </w:tabs>
        <w:suppressAutoHyphens/>
        <w:jc w:val="center"/>
        <w:rPr>
          <w:b/>
        </w:rPr>
      </w:pPr>
    </w:p>
    <w:p w:rsidR="0019453F" w:rsidRDefault="0019453F" w:rsidP="00794A7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475A0" w:rsidRDefault="00B475A0" w:rsidP="00641FB8">
      <w:pPr>
        <w:spacing w:line="360" w:lineRule="auto"/>
        <w:ind w:firstLine="851"/>
        <w:jc w:val="both"/>
        <w:rPr>
          <w:lang w:val="es-MX"/>
        </w:rPr>
      </w:pPr>
      <w:r>
        <w:rPr>
          <w:b/>
          <w:bCs/>
        </w:rPr>
        <w:t>VISTO:</w:t>
      </w:r>
      <w:r>
        <w:t xml:space="preserve"> las actuaciones remitidas por la Administración Nacional de Educación Pública</w:t>
      </w:r>
      <w:r>
        <w:rPr>
          <w:lang w:val="es-MX"/>
        </w:rPr>
        <w:t xml:space="preserve"> relacionadas con la Licitación Pública</w:t>
      </w:r>
      <w:r>
        <w:rPr>
          <w:b/>
          <w:bCs/>
          <w:lang w:val="es-MX"/>
        </w:rPr>
        <w:t xml:space="preserve"> </w:t>
      </w:r>
      <w:r>
        <w:rPr>
          <w:lang w:val="es-MX"/>
        </w:rPr>
        <w:t>Nº 03/2015 del Programa de Apoyo a la Educación Media, Técnica y Formación en Educación (PAEMFE) para la construcción de la residencia estudiantil de Rivera, Departamento de Rivera (Préstamo B.I.D. 2480/ OC-UR);</w:t>
      </w:r>
    </w:p>
    <w:p w:rsidR="00B475A0" w:rsidRDefault="00B475A0" w:rsidP="00641FB8">
      <w:pPr>
        <w:pStyle w:val="Textoindependiente"/>
        <w:ind w:firstLine="851"/>
      </w:pPr>
      <w:r>
        <w:rPr>
          <w:b/>
          <w:bCs/>
        </w:rPr>
        <w:t xml:space="preserve">RESULTANDO: 1) </w:t>
      </w:r>
      <w:r>
        <w:t>que  la Unidad de Programación y Monitoreo, con  fecha 05.08.15, informó que el gasto derivado del presente procedimiento se imputará al Proyecto 813 del Programa PAEMFE y se encuentra comprendido en el Plan de Inversiones 2016, no afectándose fondos en el Ejercicio 2015;</w:t>
      </w:r>
    </w:p>
    <w:p w:rsidR="00B475A0" w:rsidRDefault="00B475A0" w:rsidP="00641FB8">
      <w:pPr>
        <w:spacing w:line="360" w:lineRule="auto"/>
        <w:ind w:firstLine="2694"/>
        <w:jc w:val="both"/>
        <w:rPr>
          <w:lang w:val="es-MX"/>
        </w:rPr>
      </w:pPr>
      <w:r>
        <w:rPr>
          <w:b/>
          <w:bCs/>
          <w:lang w:val="es-MX"/>
        </w:rPr>
        <w:t>2)</w:t>
      </w:r>
      <w:r>
        <w:rPr>
          <w:lang w:val="es-MX"/>
        </w:rPr>
        <w:t xml:space="preserve"> que la Coordinadora General del Programa de Apoyo a la Educación Media, Técnica y a la Formación en Educación, por Resolución N° 6/2015 de fecha 04.09.15, dispuso autorizar el llamado y aprobar los Pliegos, previa conformidad del Banco Interamericano de Desarrollo;</w:t>
      </w:r>
    </w:p>
    <w:p w:rsidR="00B475A0" w:rsidRDefault="00B475A0" w:rsidP="00641FB8">
      <w:pPr>
        <w:spacing w:line="360" w:lineRule="auto"/>
        <w:ind w:firstLine="2694"/>
        <w:jc w:val="both"/>
      </w:pPr>
      <w:r>
        <w:rPr>
          <w:b/>
          <w:bCs/>
          <w:lang w:val="es-MX"/>
        </w:rPr>
        <w:t xml:space="preserve">3) </w:t>
      </w:r>
      <w:r>
        <w:rPr>
          <w:lang w:val="es-MX"/>
        </w:rPr>
        <w:t xml:space="preserve">que </w:t>
      </w:r>
      <w:r>
        <w:t>una vez efectuada la publicidad, al acto de apertura realizado con fecha 09.10.15, se presentaron siete ofertas correspondientes a l</w:t>
      </w:r>
      <w:r w:rsidR="00290F20">
        <w:t>a</w:t>
      </w:r>
      <w:r>
        <w:t xml:space="preserve">s siguientes empresas: </w:t>
      </w:r>
      <w:proofErr w:type="spellStart"/>
      <w:r>
        <w:t>Pelmon</w:t>
      </w:r>
      <w:proofErr w:type="spellEnd"/>
      <w:r>
        <w:t xml:space="preserve"> S.A., Perdomo Construcciones S.R.L., </w:t>
      </w:r>
      <w:proofErr w:type="spellStart"/>
      <w:r>
        <w:t>Ebital</w:t>
      </w:r>
      <w:proofErr w:type="spellEnd"/>
      <w:r>
        <w:t xml:space="preserve"> S.A., </w:t>
      </w:r>
      <w:proofErr w:type="spellStart"/>
      <w:r>
        <w:t>Clemer</w:t>
      </w:r>
      <w:proofErr w:type="spellEnd"/>
      <w:r>
        <w:t xml:space="preserve"> S.A., CEI S.A., Flores &amp; Mart</w:t>
      </w:r>
      <w:r w:rsidR="00290F20">
        <w:t>í</w:t>
      </w:r>
      <w:r w:rsidR="00794A7F">
        <w:t xml:space="preserve">nez y </w:t>
      </w:r>
      <w:proofErr w:type="spellStart"/>
      <w:r w:rsidR="00794A7F">
        <w:t>Fedal</w:t>
      </w:r>
      <w:proofErr w:type="spellEnd"/>
      <w:r w:rsidR="00794A7F">
        <w:t xml:space="preserve"> S.A.;</w:t>
      </w:r>
    </w:p>
    <w:p w:rsidR="00B475A0" w:rsidRDefault="00B475A0" w:rsidP="00641FB8">
      <w:pPr>
        <w:pStyle w:val="Textoindependiente"/>
        <w:ind w:firstLine="2694"/>
      </w:pPr>
      <w:r>
        <w:rPr>
          <w:b/>
          <w:bCs/>
        </w:rPr>
        <w:t>4)</w:t>
      </w:r>
      <w:r>
        <w:t xml:space="preserve"> que el Área Infraestructura, con fecha 17.10.15, realizó una evaluación primaria de las ofertas, señalando que todos los oferentes tienen aspectos formales y técnicos que corregir, destacando con </w:t>
      </w:r>
      <w:r>
        <w:lastRenderedPageBreak/>
        <w:t xml:space="preserve">relación a </w:t>
      </w:r>
      <w:proofErr w:type="spellStart"/>
      <w:r>
        <w:t>Pe</w:t>
      </w:r>
      <w:r w:rsidR="007B01C4">
        <w:t>l</w:t>
      </w:r>
      <w:r>
        <w:t>m</w:t>
      </w:r>
      <w:r w:rsidR="007B01C4">
        <w:t>o</w:t>
      </w:r>
      <w:r>
        <w:t>n</w:t>
      </w:r>
      <w:proofErr w:type="spellEnd"/>
      <w:r>
        <w:t xml:space="preserve"> S.A., que no proporcionó el listado de los subcontratistas de Pintura y Ascensor</w:t>
      </w:r>
      <w:r w:rsidR="007B01C4">
        <w:t>,</w:t>
      </w:r>
      <w:r>
        <w:t xml:space="preserve"> ni la declaración de antecedentes y certificación de idoneidad de todos los subcontratos que actuarán en la obra, siendo que ello resulta obligatorio según lo establecido por el </w:t>
      </w:r>
      <w:r w:rsidR="00641FB8">
        <w:t>A</w:t>
      </w:r>
      <w:r>
        <w:t>rtículo 23.1.10 del Pliego de Bases y Condiciones Generales;</w:t>
      </w:r>
    </w:p>
    <w:p w:rsidR="00B475A0" w:rsidRDefault="00B475A0" w:rsidP="00641FB8">
      <w:pPr>
        <w:pStyle w:val="Textoindependiente"/>
        <w:ind w:firstLine="2694"/>
      </w:pPr>
      <w:r>
        <w:rPr>
          <w:b/>
          <w:bCs/>
        </w:rPr>
        <w:t xml:space="preserve">5) </w:t>
      </w:r>
      <w:r>
        <w:t>que la Comisión Asesora de Adjudicaciones, con fecha 27.10.15, atendiendo a lo informado por el Área Infraestructura, expresó que:</w:t>
      </w:r>
    </w:p>
    <w:p w:rsidR="00B475A0" w:rsidRDefault="00B475A0">
      <w:pPr>
        <w:pStyle w:val="Textoindependiente"/>
      </w:pPr>
      <w:r w:rsidRPr="00A9337F">
        <w:rPr>
          <w:b/>
        </w:rPr>
        <w:t>5.1)</w:t>
      </w:r>
      <w:r>
        <w:t xml:space="preserve"> se descartan las ofertas de </w:t>
      </w:r>
      <w:proofErr w:type="spellStart"/>
      <w:r>
        <w:t>Ebital</w:t>
      </w:r>
      <w:proofErr w:type="spellEnd"/>
      <w:r>
        <w:t xml:space="preserve"> S.A. y Flores Mart</w:t>
      </w:r>
      <w:r w:rsidR="007B01C4">
        <w:t>í</w:t>
      </w:r>
      <w:r>
        <w:t xml:space="preserve">nez S.R.L. ya que registran antecedentes de incumplimientos en los últimos 12 meses y ello no las habilita a participar del procedimiento de acuerdo </w:t>
      </w:r>
      <w:r w:rsidR="007B01C4">
        <w:t>con</w:t>
      </w:r>
      <w:r>
        <w:t xml:space="preserve"> lo dispuesto por el </w:t>
      </w:r>
      <w:r w:rsidR="007B01C4">
        <w:t>A</w:t>
      </w:r>
      <w:r>
        <w:t>rtículo 30.2 del Pli</w:t>
      </w:r>
      <w:r w:rsidR="00794A7F">
        <w:t>ego de Condiciones Generales; y</w:t>
      </w:r>
    </w:p>
    <w:p w:rsidR="00B475A0" w:rsidRDefault="00B475A0">
      <w:pPr>
        <w:pStyle w:val="Textoindependiente"/>
        <w:rPr>
          <w:b/>
          <w:bCs/>
        </w:rPr>
      </w:pPr>
      <w:r w:rsidRPr="00A9337F">
        <w:rPr>
          <w:b/>
        </w:rPr>
        <w:t>5.2)</w:t>
      </w:r>
      <w:r>
        <w:t xml:space="preserve"> en las propuestas correspondientes a los restantes oferentes se encontraron carencias de índole formal aunque de carácter subsanable;</w:t>
      </w:r>
    </w:p>
    <w:p w:rsidR="00B475A0" w:rsidRDefault="00B475A0" w:rsidP="00641FB8">
      <w:pPr>
        <w:pStyle w:val="Textoindependiente"/>
        <w:ind w:firstLine="2694"/>
      </w:pPr>
      <w:r>
        <w:rPr>
          <w:b/>
          <w:bCs/>
        </w:rPr>
        <w:t xml:space="preserve">6) </w:t>
      </w:r>
      <w:r>
        <w:t>que se otorgó a Perdomo Construcciones,</w:t>
      </w:r>
      <w:r>
        <w:rPr>
          <w:b/>
          <w:bCs/>
        </w:rPr>
        <w:t xml:space="preserve"> </w:t>
      </w:r>
      <w:proofErr w:type="spellStart"/>
      <w:r>
        <w:t>Clemer</w:t>
      </w:r>
      <w:proofErr w:type="spellEnd"/>
      <w:r>
        <w:t xml:space="preserve"> S.A., C.E.I. S.R.L</w:t>
      </w:r>
      <w:r w:rsidR="00794A7F">
        <w:t>.</w:t>
      </w:r>
      <w:r>
        <w:t xml:space="preserve">, </w:t>
      </w:r>
      <w:proofErr w:type="spellStart"/>
      <w:r>
        <w:t>Pelmon</w:t>
      </w:r>
      <w:proofErr w:type="spellEnd"/>
      <w:r>
        <w:t xml:space="preserve"> S.A. y </w:t>
      </w:r>
      <w:proofErr w:type="spellStart"/>
      <w:r>
        <w:t>Fedal</w:t>
      </w:r>
      <w:proofErr w:type="spellEnd"/>
      <w:r>
        <w:t xml:space="preserve"> S.A. un plazo de dos días hábiles a efectos de que proporcionen la documentación faltante, ante lo cual las empresas presentaron lo requerido en tiempo y forma, con excepción de Perdomo Construcciones. El incumplimiento de esta firma determinó que su oferta no fuera considerada;</w:t>
      </w:r>
    </w:p>
    <w:p w:rsidR="00B475A0" w:rsidRDefault="00B475A0" w:rsidP="00641FB8">
      <w:pPr>
        <w:pStyle w:val="Textoindependiente"/>
        <w:ind w:firstLine="2694"/>
        <w:rPr>
          <w:b/>
          <w:bCs/>
        </w:rPr>
      </w:pPr>
      <w:r>
        <w:rPr>
          <w:b/>
          <w:bCs/>
        </w:rPr>
        <w:t xml:space="preserve">7) </w:t>
      </w:r>
      <w:r>
        <w:t xml:space="preserve">que el Área de Infraestructura, con fecha 05.11.15, evaluó técnicamente las ofertas presentadas teniendo la nueva documentación proporcionada por los oferentes, concluyendo que las propuestas de </w:t>
      </w:r>
      <w:proofErr w:type="spellStart"/>
      <w:r>
        <w:t>Clemer</w:t>
      </w:r>
      <w:proofErr w:type="spellEnd"/>
      <w:r>
        <w:t xml:space="preserve"> S.A., C.E.I. S.R.L</w:t>
      </w:r>
      <w:r w:rsidR="00794A7F">
        <w:t>.</w:t>
      </w:r>
      <w:r>
        <w:t xml:space="preserve">, </w:t>
      </w:r>
      <w:proofErr w:type="spellStart"/>
      <w:r>
        <w:t>Pelmon</w:t>
      </w:r>
      <w:proofErr w:type="spellEnd"/>
      <w:r>
        <w:t xml:space="preserve"> S.A. y </w:t>
      </w:r>
      <w:proofErr w:type="spellStart"/>
      <w:r>
        <w:t>Fedal</w:t>
      </w:r>
      <w:proofErr w:type="spellEnd"/>
      <w:r>
        <w:t xml:space="preserve"> S.A. se ajustaron a lo solicitado en los Pliegos que rigieron el procedimiento licitatorio;</w:t>
      </w:r>
    </w:p>
    <w:p w:rsidR="00B475A0" w:rsidRDefault="00B475A0" w:rsidP="00641FB8">
      <w:pPr>
        <w:pStyle w:val="Textoindependiente"/>
        <w:ind w:firstLine="2694"/>
      </w:pPr>
      <w:r>
        <w:rPr>
          <w:b/>
          <w:bCs/>
        </w:rPr>
        <w:t xml:space="preserve">8) </w:t>
      </w:r>
      <w:r>
        <w:t xml:space="preserve">que la Comisión Asesora de Adjudicaciones, con fecha 16.11.15, atendiendo a las conclusiones del informe técnico y a lo dispuesto por los artículos 2.16, 30.1 y 32.1 del Pliego de Bases y Condiciones Generales, aconsejó adjudicar a </w:t>
      </w:r>
      <w:proofErr w:type="spellStart"/>
      <w:r>
        <w:t>Pelmon</w:t>
      </w:r>
      <w:proofErr w:type="spellEnd"/>
      <w:r>
        <w:t xml:space="preserve"> S.A., en la medida que cotizó el precio más bajo, por un monto de $ 43:057.541 (obra prevista, IVA, eventuales imprevistos y </w:t>
      </w:r>
      <w:r w:rsidR="00E32998">
        <w:t>L</w:t>
      </w:r>
      <w:r>
        <w:t xml:space="preserve">eyes </w:t>
      </w:r>
      <w:r w:rsidR="00E32998">
        <w:t>S</w:t>
      </w:r>
      <w:r>
        <w:t>ociales incluidos) y un plazo total de 360 días calendario;</w:t>
      </w:r>
    </w:p>
    <w:p w:rsidR="00B475A0" w:rsidRDefault="00B475A0" w:rsidP="00A67375">
      <w:pPr>
        <w:pStyle w:val="Ttulo1"/>
        <w:ind w:firstLine="2694"/>
        <w:rPr>
          <w:b w:val="0"/>
          <w:bCs w:val="0"/>
        </w:rPr>
      </w:pPr>
      <w:r>
        <w:t xml:space="preserve">9) </w:t>
      </w:r>
      <w:r>
        <w:rPr>
          <w:b w:val="0"/>
          <w:bCs w:val="0"/>
        </w:rPr>
        <w:t xml:space="preserve">que el Consejo Directivo Central, por Resolución </w:t>
      </w:r>
      <w:r w:rsidR="00A67375">
        <w:rPr>
          <w:b w:val="0"/>
          <w:bCs w:val="0"/>
        </w:rPr>
        <w:t xml:space="preserve">     </w:t>
      </w:r>
      <w:r>
        <w:rPr>
          <w:b w:val="0"/>
          <w:bCs w:val="0"/>
        </w:rPr>
        <w:t xml:space="preserve">Nº 55 (Acta 20) de fecha 18.12.15, dispuso adjudicar a  </w:t>
      </w:r>
      <w:proofErr w:type="spellStart"/>
      <w:r>
        <w:rPr>
          <w:b w:val="0"/>
          <w:bCs w:val="0"/>
        </w:rPr>
        <w:t>Pelmon</w:t>
      </w:r>
      <w:proofErr w:type="spellEnd"/>
      <w:r>
        <w:rPr>
          <w:b w:val="0"/>
          <w:bCs w:val="0"/>
        </w:rPr>
        <w:t xml:space="preserve"> S.A., por un monto total de $ 43:057.541 (incluido obra prevista, eventuales imprevistos, IVA y </w:t>
      </w:r>
      <w:r w:rsidR="00E32998">
        <w:rPr>
          <w:b w:val="0"/>
          <w:bCs w:val="0"/>
        </w:rPr>
        <w:t>L</w:t>
      </w:r>
      <w:r>
        <w:rPr>
          <w:b w:val="0"/>
          <w:bCs w:val="0"/>
        </w:rPr>
        <w:t xml:space="preserve">eyes </w:t>
      </w:r>
      <w:r w:rsidR="00E32998">
        <w:rPr>
          <w:b w:val="0"/>
          <w:bCs w:val="0"/>
        </w:rPr>
        <w:t>S</w:t>
      </w:r>
      <w:r>
        <w:rPr>
          <w:b w:val="0"/>
          <w:bCs w:val="0"/>
        </w:rPr>
        <w:t>ociales), suma que se di</w:t>
      </w:r>
      <w:r w:rsidR="00794A7F">
        <w:rPr>
          <w:b w:val="0"/>
          <w:bCs w:val="0"/>
        </w:rPr>
        <w:t>scrimina de la siguiente forma:</w:t>
      </w:r>
    </w:p>
    <w:p w:rsidR="00B475A0" w:rsidRDefault="00B475A0">
      <w:pPr>
        <w:rPr>
          <w:lang w:val="es-MX"/>
        </w:rPr>
      </w:pP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1260"/>
        <w:gridCol w:w="1620"/>
        <w:gridCol w:w="1080"/>
        <w:gridCol w:w="1080"/>
        <w:gridCol w:w="1335"/>
      </w:tblGrid>
      <w:tr w:rsidR="00B475A0" w:rsidTr="00E32998">
        <w:trPr>
          <w:trHeight w:val="744"/>
        </w:trPr>
        <w:tc>
          <w:tcPr>
            <w:tcW w:w="1368" w:type="dxa"/>
            <w:vAlign w:val="center"/>
          </w:tcPr>
          <w:p w:rsidR="00B475A0" w:rsidRDefault="00B475A0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Obra Prevista</w:t>
            </w:r>
          </w:p>
          <w:p w:rsidR="00B475A0" w:rsidRDefault="00B475A0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1260" w:type="dxa"/>
            <w:vAlign w:val="center"/>
          </w:tcPr>
          <w:p w:rsidR="00B475A0" w:rsidRDefault="00B475A0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IVA </w:t>
            </w:r>
          </w:p>
          <w:p w:rsidR="00B475A0" w:rsidRDefault="00B475A0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</w:p>
        </w:tc>
        <w:tc>
          <w:tcPr>
            <w:tcW w:w="1260" w:type="dxa"/>
            <w:vAlign w:val="center"/>
          </w:tcPr>
          <w:p w:rsidR="00B475A0" w:rsidRDefault="00B475A0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LL.SS</w:t>
            </w:r>
            <w:r w:rsidR="00E32998">
              <w:rPr>
                <w:b/>
                <w:bCs/>
                <w:sz w:val="22"/>
                <w:szCs w:val="22"/>
              </w:rPr>
              <w:t>.</w:t>
            </w:r>
          </w:p>
          <w:p w:rsidR="00B475A0" w:rsidRDefault="00B475A0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</w:p>
        </w:tc>
        <w:tc>
          <w:tcPr>
            <w:tcW w:w="1620" w:type="dxa"/>
            <w:vAlign w:val="center"/>
          </w:tcPr>
          <w:p w:rsidR="00B475A0" w:rsidRDefault="00B475A0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Imprevistos</w:t>
            </w:r>
          </w:p>
          <w:p w:rsidR="00B475A0" w:rsidRDefault="00B475A0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1080" w:type="dxa"/>
            <w:vAlign w:val="center"/>
          </w:tcPr>
          <w:p w:rsidR="00B475A0" w:rsidRDefault="00B475A0">
            <w:pPr>
              <w:pStyle w:val="Textoindependiente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IVA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imp. </w:t>
            </w:r>
          </w:p>
          <w:p w:rsidR="00B475A0" w:rsidRDefault="00B475A0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1080" w:type="dxa"/>
            <w:vAlign w:val="center"/>
          </w:tcPr>
          <w:p w:rsidR="00B475A0" w:rsidRDefault="00B475A0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LL.SS</w:t>
            </w:r>
            <w:r w:rsidR="00E3299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mp.</w:t>
            </w:r>
          </w:p>
          <w:p w:rsidR="00B475A0" w:rsidRDefault="00B475A0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1335" w:type="dxa"/>
          </w:tcPr>
          <w:p w:rsidR="00B475A0" w:rsidRDefault="00B475A0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</w:p>
          <w:p w:rsidR="00B475A0" w:rsidRDefault="00B475A0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$</w:t>
            </w:r>
          </w:p>
        </w:tc>
      </w:tr>
      <w:tr w:rsidR="00B475A0" w:rsidTr="00E32998">
        <w:trPr>
          <w:trHeight w:val="744"/>
        </w:trPr>
        <w:tc>
          <w:tcPr>
            <w:tcW w:w="1368" w:type="dxa"/>
            <w:vAlign w:val="center"/>
          </w:tcPr>
          <w:p w:rsidR="00E32998" w:rsidRDefault="00E32998">
            <w:pPr>
              <w:pStyle w:val="Textoindependiente"/>
              <w:jc w:val="center"/>
              <w:rPr>
                <w:sz w:val="22"/>
                <w:szCs w:val="22"/>
              </w:rPr>
            </w:pPr>
          </w:p>
          <w:p w:rsidR="00B475A0" w:rsidRDefault="00B475A0">
            <w:pPr>
              <w:pStyle w:val="Textoindependiente"/>
              <w:jc w:val="center"/>
            </w:pPr>
            <w:r>
              <w:rPr>
                <w:sz w:val="22"/>
                <w:szCs w:val="22"/>
              </w:rPr>
              <w:t>30:745.475</w:t>
            </w:r>
          </w:p>
        </w:tc>
        <w:tc>
          <w:tcPr>
            <w:tcW w:w="1260" w:type="dxa"/>
            <w:vAlign w:val="center"/>
          </w:tcPr>
          <w:p w:rsidR="00E32998" w:rsidRDefault="00E32998">
            <w:pPr>
              <w:pStyle w:val="Textoindependiente"/>
              <w:jc w:val="center"/>
              <w:rPr>
                <w:sz w:val="22"/>
                <w:szCs w:val="22"/>
              </w:rPr>
            </w:pPr>
          </w:p>
          <w:p w:rsidR="00B475A0" w:rsidRDefault="00B475A0">
            <w:pPr>
              <w:pStyle w:val="Textoindependiente"/>
              <w:jc w:val="center"/>
            </w:pPr>
            <w:r>
              <w:rPr>
                <w:sz w:val="22"/>
                <w:szCs w:val="22"/>
              </w:rPr>
              <w:t>6:764.004</w:t>
            </w:r>
          </w:p>
        </w:tc>
        <w:tc>
          <w:tcPr>
            <w:tcW w:w="1260" w:type="dxa"/>
            <w:vAlign w:val="center"/>
          </w:tcPr>
          <w:p w:rsidR="00E32998" w:rsidRDefault="00E32998">
            <w:pPr>
              <w:pStyle w:val="Textoindependiente"/>
              <w:jc w:val="center"/>
              <w:rPr>
                <w:sz w:val="22"/>
                <w:szCs w:val="22"/>
              </w:rPr>
            </w:pPr>
          </w:p>
          <w:p w:rsidR="00B475A0" w:rsidRDefault="00B475A0">
            <w:pPr>
              <w:pStyle w:val="Textoindependiente"/>
              <w:jc w:val="center"/>
            </w:pPr>
            <w:r>
              <w:rPr>
                <w:sz w:val="22"/>
                <w:szCs w:val="22"/>
              </w:rPr>
              <w:t>3:174.511</w:t>
            </w:r>
          </w:p>
        </w:tc>
        <w:tc>
          <w:tcPr>
            <w:tcW w:w="1620" w:type="dxa"/>
            <w:vAlign w:val="center"/>
          </w:tcPr>
          <w:p w:rsidR="00E32998" w:rsidRDefault="00E32998">
            <w:pPr>
              <w:pStyle w:val="Textoindependiente"/>
              <w:jc w:val="center"/>
              <w:rPr>
                <w:sz w:val="22"/>
                <w:szCs w:val="22"/>
              </w:rPr>
            </w:pPr>
          </w:p>
          <w:p w:rsidR="00B475A0" w:rsidRDefault="00B475A0">
            <w:pPr>
              <w:pStyle w:val="Textoindependiente"/>
              <w:jc w:val="center"/>
            </w:pPr>
            <w:r>
              <w:rPr>
                <w:sz w:val="22"/>
                <w:szCs w:val="22"/>
              </w:rPr>
              <w:t>1:537.274</w:t>
            </w:r>
          </w:p>
        </w:tc>
        <w:tc>
          <w:tcPr>
            <w:tcW w:w="1080" w:type="dxa"/>
            <w:vAlign w:val="center"/>
          </w:tcPr>
          <w:p w:rsidR="00E32998" w:rsidRDefault="00E32998">
            <w:pPr>
              <w:pStyle w:val="Textoindependiente"/>
              <w:jc w:val="center"/>
              <w:rPr>
                <w:sz w:val="22"/>
                <w:szCs w:val="22"/>
              </w:rPr>
            </w:pPr>
          </w:p>
          <w:p w:rsidR="00B475A0" w:rsidRDefault="00B475A0">
            <w:pPr>
              <w:pStyle w:val="Textoindependiente"/>
              <w:jc w:val="center"/>
            </w:pPr>
            <w:r>
              <w:rPr>
                <w:sz w:val="22"/>
                <w:szCs w:val="22"/>
              </w:rPr>
              <w:t>338.200</w:t>
            </w:r>
          </w:p>
        </w:tc>
        <w:tc>
          <w:tcPr>
            <w:tcW w:w="1080" w:type="dxa"/>
            <w:vAlign w:val="center"/>
          </w:tcPr>
          <w:p w:rsidR="00E32998" w:rsidRDefault="00E32998">
            <w:pPr>
              <w:pStyle w:val="Textoindependiente"/>
              <w:jc w:val="center"/>
              <w:rPr>
                <w:sz w:val="22"/>
                <w:szCs w:val="22"/>
              </w:rPr>
            </w:pPr>
          </w:p>
          <w:p w:rsidR="00B475A0" w:rsidRDefault="00B475A0">
            <w:pPr>
              <w:pStyle w:val="Textoindependiente"/>
              <w:jc w:val="center"/>
            </w:pPr>
            <w:r>
              <w:rPr>
                <w:sz w:val="22"/>
                <w:szCs w:val="22"/>
              </w:rPr>
              <w:t>498.077</w:t>
            </w:r>
          </w:p>
        </w:tc>
        <w:tc>
          <w:tcPr>
            <w:tcW w:w="1335" w:type="dxa"/>
          </w:tcPr>
          <w:p w:rsidR="00B475A0" w:rsidRDefault="00B475A0">
            <w:pPr>
              <w:pStyle w:val="Textoindependiente"/>
              <w:jc w:val="center"/>
            </w:pPr>
          </w:p>
          <w:p w:rsidR="00B475A0" w:rsidRDefault="00B475A0">
            <w:pPr>
              <w:pStyle w:val="Textoindependiente"/>
              <w:jc w:val="center"/>
            </w:pPr>
            <w:r>
              <w:rPr>
                <w:sz w:val="22"/>
                <w:szCs w:val="22"/>
              </w:rPr>
              <w:t>43:057.541</w:t>
            </w:r>
          </w:p>
        </w:tc>
      </w:tr>
    </w:tbl>
    <w:p w:rsidR="00A67375" w:rsidRDefault="00A67375">
      <w:pPr>
        <w:pStyle w:val="Textoindependiente"/>
      </w:pPr>
    </w:p>
    <w:p w:rsidR="00B475A0" w:rsidRDefault="00B475A0">
      <w:pPr>
        <w:pStyle w:val="Textoindependiente"/>
      </w:pPr>
      <w:r>
        <w:t>Asimismo, indicó que serán imputados al Proyecto N° 813 del Programa PAEMFE los siguientes importes: $</w:t>
      </w:r>
      <w:r w:rsidR="00A67375">
        <w:t xml:space="preserve"> </w:t>
      </w:r>
      <w:r>
        <w:t>24</w:t>
      </w:r>
      <w:r w:rsidR="00655EC3">
        <w:t>:</w:t>
      </w:r>
      <w:r>
        <w:t>762.486 con cargo a endeudamiento externo y $ 18:295.000 con cargo a la contraparte local</w:t>
      </w:r>
      <w:r w:rsidR="00655EC3">
        <w:t>,</w:t>
      </w:r>
      <w:r>
        <w:t xml:space="preserve"> y dispuso que el IVA será abonado mediante certificados de créditos nominativos en moneda nacional, emitidos por la DGI, conforme </w:t>
      </w:r>
      <w:r w:rsidR="00655EC3">
        <w:t>con</w:t>
      </w:r>
      <w:r>
        <w:t xml:space="preserve"> lo establecido en el </w:t>
      </w:r>
      <w:r w:rsidR="00A67375">
        <w:t>A</w:t>
      </w:r>
      <w:r>
        <w:t>rtículo 440 de la Ley 15.903;</w:t>
      </w:r>
    </w:p>
    <w:p w:rsidR="00B475A0" w:rsidRDefault="00B475A0" w:rsidP="00A67375">
      <w:pPr>
        <w:pStyle w:val="Textoindependiente"/>
        <w:ind w:firstLine="2694"/>
        <w:rPr>
          <w:b/>
          <w:bCs/>
        </w:rPr>
      </w:pPr>
      <w:r>
        <w:rPr>
          <w:b/>
          <w:bCs/>
        </w:rPr>
        <w:t xml:space="preserve">10) </w:t>
      </w:r>
      <w:r>
        <w:t>que la Unidad Financiero Contable, con</w:t>
      </w:r>
      <w:r>
        <w:rPr>
          <w:b/>
          <w:bCs/>
        </w:rPr>
        <w:t xml:space="preserve"> </w:t>
      </w:r>
      <w:r>
        <w:t xml:space="preserve">fecha 19.11.15, indicó que existiría disponibilidad para el Ejercicio 2016 en </w:t>
      </w:r>
      <w:r w:rsidR="00A67375">
        <w:t>el Proyecto de Resolución 813 “</w:t>
      </w:r>
      <w:r>
        <w:t>Programa de Apoyo a la Educación Media y Técnica y a la Formación en Educación” por los siguientes montos a efectos de financiar la presente erogación: $ 24:762.486 con cargo a financiamiento con endeudamiento externo y $ 4:713.499 con cargo a finan</w:t>
      </w:r>
      <w:r w:rsidR="00794A7F">
        <w:t>ciamiento de contraparte local;</w:t>
      </w:r>
    </w:p>
    <w:p w:rsidR="00B475A0" w:rsidRDefault="00B475A0" w:rsidP="00A67375">
      <w:pPr>
        <w:pStyle w:val="Textoindependiente"/>
        <w:ind w:firstLine="2694"/>
      </w:pPr>
      <w:r>
        <w:rPr>
          <w:b/>
          <w:bCs/>
        </w:rPr>
        <w:t xml:space="preserve">11) </w:t>
      </w:r>
      <w:r>
        <w:t>que la Coordinadora General del PAEMFE y la Unidad de Programación y Monitoreo señalaron que la obra se encuentra comprendida en el Plan de Inversión de Obras del Presupuesto Quinquenal de la ANEP 2015 – 2019 y que se prevé que el saldo se ejecutará en el año 2017, siendo el importe correspondiente a dicho Ejercicio $ 13:581.556, suma que se financiará exclusivamente con fondos de la contraparte local;</w:t>
      </w:r>
    </w:p>
    <w:p w:rsidR="00B475A0" w:rsidRDefault="00B475A0" w:rsidP="00597F13">
      <w:pPr>
        <w:spacing w:line="360" w:lineRule="auto"/>
        <w:ind w:firstLine="851"/>
        <w:jc w:val="both"/>
        <w:rPr>
          <w:lang w:val="es-MX"/>
        </w:rPr>
      </w:pPr>
      <w:r>
        <w:rPr>
          <w:b/>
          <w:bCs/>
        </w:rPr>
        <w:t>CONSIDERANDO:</w:t>
      </w:r>
      <w:r>
        <w:t xml:space="preserve"> </w:t>
      </w:r>
      <w:r>
        <w:rPr>
          <w:b/>
          <w:bCs/>
        </w:rPr>
        <w:t>1)</w:t>
      </w:r>
      <w:r>
        <w:t xml:space="preserve"> </w:t>
      </w:r>
      <w:r>
        <w:rPr>
          <w:lang w:val="es-MX"/>
        </w:rPr>
        <w:t xml:space="preserve">que la contratación se efectuó al amparo de lo establecido en el Préstamo B.I.D. 2480/ OC-UR y a los Pliegos aprobados de acuerdo con las previsiones de dicho </w:t>
      </w:r>
      <w:r w:rsidR="00167E73">
        <w:rPr>
          <w:lang w:val="es-MX"/>
        </w:rPr>
        <w:t>P</w:t>
      </w:r>
      <w:r>
        <w:rPr>
          <w:lang w:val="es-MX"/>
        </w:rPr>
        <w:t xml:space="preserve">réstamo, aplicables en virtud de lo dispuesto en el </w:t>
      </w:r>
      <w:r w:rsidR="00597F13">
        <w:rPr>
          <w:lang w:val="es-MX"/>
        </w:rPr>
        <w:t>A</w:t>
      </w:r>
      <w:r>
        <w:rPr>
          <w:lang w:val="es-MX"/>
        </w:rPr>
        <w:t>rtículo 45 del T.O.C.A.F</w:t>
      </w:r>
      <w:r w:rsidRPr="00597F13">
        <w:rPr>
          <w:bCs/>
          <w:lang w:val="es-MX"/>
        </w:rPr>
        <w:t>;</w:t>
      </w:r>
    </w:p>
    <w:p w:rsidR="00B475A0" w:rsidRDefault="00B475A0" w:rsidP="00597F13">
      <w:pPr>
        <w:shd w:val="clear" w:color="auto" w:fill="FFFFFF"/>
        <w:spacing w:line="360" w:lineRule="auto"/>
        <w:ind w:firstLine="851"/>
        <w:jc w:val="both"/>
      </w:pPr>
      <w:r>
        <w:rPr>
          <w:b/>
          <w:bCs/>
        </w:rPr>
        <w:t xml:space="preserve">ATENTO: </w:t>
      </w:r>
      <w:r>
        <w:t xml:space="preserve">a lo expuesto y a lo dispuesto por el </w:t>
      </w:r>
      <w:r w:rsidR="00597F13">
        <w:t>A</w:t>
      </w:r>
      <w:r>
        <w:t xml:space="preserve">rtículo 211 </w:t>
      </w:r>
      <w:r w:rsidR="00597F13">
        <w:t>L</w:t>
      </w:r>
      <w:r>
        <w:t>iteral B) de la Constitución de la República;</w:t>
      </w:r>
    </w:p>
    <w:p w:rsidR="00B475A0" w:rsidRDefault="00B475A0">
      <w:pPr>
        <w:spacing w:line="360" w:lineRule="auto"/>
        <w:jc w:val="center"/>
        <w:rPr>
          <w:lang w:val="es-MX"/>
        </w:rPr>
      </w:pPr>
      <w:r>
        <w:rPr>
          <w:b/>
          <w:bCs/>
          <w:lang w:val="es-MX"/>
        </w:rPr>
        <w:t>EL TRIBUNAL ACUERDA</w:t>
      </w:r>
    </w:p>
    <w:p w:rsidR="00B475A0" w:rsidRDefault="00B475A0" w:rsidP="00597F13">
      <w:pPr>
        <w:spacing w:line="360" w:lineRule="auto"/>
        <w:ind w:left="284" w:hanging="284"/>
        <w:jc w:val="both"/>
        <w:rPr>
          <w:lang w:val="es-MX"/>
        </w:rPr>
      </w:pPr>
      <w:r>
        <w:rPr>
          <w:b/>
          <w:bCs/>
          <w:lang w:val="es-MX"/>
        </w:rPr>
        <w:t>1)</w:t>
      </w:r>
      <w:r>
        <w:rPr>
          <w:lang w:val="es-MX"/>
        </w:rPr>
        <w:t xml:space="preserve"> Cometer a</w:t>
      </w:r>
      <w:r w:rsidR="00205CFD">
        <w:rPr>
          <w:lang w:val="es-MX"/>
        </w:rPr>
        <w:t xml:space="preserve"> </w:t>
      </w:r>
      <w:r>
        <w:rPr>
          <w:lang w:val="es-MX"/>
        </w:rPr>
        <w:t>l</w:t>
      </w:r>
      <w:r w:rsidR="00205CFD">
        <w:rPr>
          <w:lang w:val="es-MX"/>
        </w:rPr>
        <w:t>a</w:t>
      </w:r>
      <w:r>
        <w:rPr>
          <w:lang w:val="es-MX"/>
        </w:rPr>
        <w:t xml:space="preserve"> Contador</w:t>
      </w:r>
      <w:r w:rsidR="00205CFD">
        <w:rPr>
          <w:lang w:val="es-MX"/>
        </w:rPr>
        <w:t>a</w:t>
      </w:r>
      <w:r>
        <w:rPr>
          <w:lang w:val="es-MX"/>
        </w:rPr>
        <w:t xml:space="preserve"> Delegad</w:t>
      </w:r>
      <w:r w:rsidR="00205CFD">
        <w:rPr>
          <w:lang w:val="es-MX"/>
        </w:rPr>
        <w:t>a</w:t>
      </w:r>
      <w:r>
        <w:rPr>
          <w:lang w:val="es-MX"/>
        </w:rPr>
        <w:t xml:space="preserve"> la intervención del gasto una vez imputado el mismo a </w:t>
      </w:r>
      <w:r w:rsidR="00167E73">
        <w:rPr>
          <w:lang w:val="es-MX"/>
        </w:rPr>
        <w:t>G</w:t>
      </w:r>
      <w:r>
        <w:rPr>
          <w:lang w:val="es-MX"/>
        </w:rPr>
        <w:t xml:space="preserve">rupo adecuado con disponibilidad presupuestal suficiente, así como el control al momento del otorgamiento del </w:t>
      </w:r>
      <w:r w:rsidR="00167E73">
        <w:rPr>
          <w:lang w:val="es-MX"/>
        </w:rPr>
        <w:t>C</w:t>
      </w:r>
      <w:r>
        <w:rPr>
          <w:lang w:val="es-MX"/>
        </w:rPr>
        <w:t xml:space="preserve">ontrato de lo preceptuado por el </w:t>
      </w:r>
      <w:r w:rsidR="00597F13">
        <w:rPr>
          <w:lang w:val="es-MX"/>
        </w:rPr>
        <w:t>Artículo 3º de la L</w:t>
      </w:r>
      <w:r>
        <w:rPr>
          <w:lang w:val="es-MX"/>
        </w:rPr>
        <w:t>ey Nº 18.244;</w:t>
      </w:r>
    </w:p>
    <w:p w:rsidR="00B475A0" w:rsidRDefault="00B475A0">
      <w:pPr>
        <w:spacing w:line="360" w:lineRule="auto"/>
        <w:jc w:val="both"/>
        <w:rPr>
          <w:lang w:val="es-MX"/>
        </w:rPr>
      </w:pPr>
      <w:r>
        <w:rPr>
          <w:b/>
          <w:bCs/>
          <w:lang w:val="es-MX"/>
        </w:rPr>
        <w:t xml:space="preserve">2) </w:t>
      </w:r>
      <w:r>
        <w:rPr>
          <w:lang w:val="es-MX"/>
        </w:rPr>
        <w:t>Comunicar a</w:t>
      </w:r>
      <w:r w:rsidR="00205CFD">
        <w:rPr>
          <w:lang w:val="es-MX"/>
        </w:rPr>
        <w:t xml:space="preserve"> </w:t>
      </w:r>
      <w:r>
        <w:rPr>
          <w:lang w:val="es-MX"/>
        </w:rPr>
        <w:t>l</w:t>
      </w:r>
      <w:r w:rsidR="00205CFD">
        <w:rPr>
          <w:lang w:val="es-MX"/>
        </w:rPr>
        <w:t>a</w:t>
      </w:r>
      <w:r>
        <w:rPr>
          <w:lang w:val="es-MX"/>
        </w:rPr>
        <w:t xml:space="preserve"> Contador</w:t>
      </w:r>
      <w:r w:rsidR="00205CFD">
        <w:rPr>
          <w:lang w:val="es-MX"/>
        </w:rPr>
        <w:t>a</w:t>
      </w:r>
      <w:r>
        <w:rPr>
          <w:lang w:val="es-MX"/>
        </w:rPr>
        <w:t xml:space="preserve"> Delegad</w:t>
      </w:r>
      <w:r w:rsidR="00205CFD">
        <w:rPr>
          <w:lang w:val="es-MX"/>
        </w:rPr>
        <w:t>a</w:t>
      </w:r>
      <w:r>
        <w:rPr>
          <w:lang w:val="es-MX"/>
        </w:rPr>
        <w:t>;</w:t>
      </w:r>
    </w:p>
    <w:p w:rsidR="00B475A0" w:rsidRDefault="00B475A0">
      <w:pPr>
        <w:spacing w:line="360" w:lineRule="auto"/>
        <w:jc w:val="both"/>
        <w:rPr>
          <w:lang w:val="es-MX"/>
        </w:rPr>
      </w:pPr>
      <w:r>
        <w:rPr>
          <w:b/>
          <w:bCs/>
          <w:lang w:val="es-MX"/>
        </w:rPr>
        <w:t>3)</w:t>
      </w:r>
      <w:r>
        <w:rPr>
          <w:lang w:val="es-MX"/>
        </w:rPr>
        <w:t xml:space="preserve"> Devolver las actuaciones.</w:t>
      </w:r>
    </w:p>
    <w:p w:rsidR="00597F13" w:rsidRDefault="00597F13">
      <w:pPr>
        <w:spacing w:line="360" w:lineRule="auto"/>
        <w:jc w:val="both"/>
        <w:rPr>
          <w:lang w:val="es-MX"/>
        </w:rPr>
      </w:pPr>
    </w:p>
    <w:p w:rsidR="00B475A0" w:rsidRPr="00794A7F" w:rsidRDefault="00597F13" w:rsidP="00794A7F">
      <w:pPr>
        <w:spacing w:line="360" w:lineRule="auto"/>
        <w:jc w:val="both"/>
        <w:rPr>
          <w:lang w:val="es-MX"/>
        </w:rPr>
      </w:pPr>
      <w:proofErr w:type="spellStart"/>
      <w:proofErr w:type="gramStart"/>
      <w:r>
        <w:rPr>
          <w:lang w:val="es-MX"/>
        </w:rPr>
        <w:t>ag</w:t>
      </w:r>
      <w:proofErr w:type="spellEnd"/>
      <w:proofErr w:type="gramEnd"/>
    </w:p>
    <w:sectPr w:rsidR="00B475A0" w:rsidRPr="00794A7F" w:rsidSect="00104666">
      <w:footerReference w:type="default" r:id="rId8"/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A7F" w:rsidRDefault="00794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94A7F" w:rsidRDefault="00794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A7F" w:rsidRDefault="00794A7F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337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94A7F" w:rsidRDefault="00794A7F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A7F" w:rsidRDefault="00794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94A7F" w:rsidRDefault="00794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B5032"/>
    <w:multiLevelType w:val="hybridMultilevel"/>
    <w:tmpl w:val="1D8A788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430B3D21"/>
    <w:multiLevelType w:val="hybridMultilevel"/>
    <w:tmpl w:val="897826FE"/>
    <w:lvl w:ilvl="0" w:tplc="70724F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49BE3FEE"/>
    <w:multiLevelType w:val="hybridMultilevel"/>
    <w:tmpl w:val="25347F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FFE9F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6B417195"/>
    <w:multiLevelType w:val="hybridMultilevel"/>
    <w:tmpl w:val="D9FE84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41817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A0"/>
    <w:rsid w:val="00075507"/>
    <w:rsid w:val="0010181D"/>
    <w:rsid w:val="00104666"/>
    <w:rsid w:val="00167E73"/>
    <w:rsid w:val="0019453F"/>
    <w:rsid w:val="00205CFD"/>
    <w:rsid w:val="00290F20"/>
    <w:rsid w:val="00597F13"/>
    <w:rsid w:val="00641FB8"/>
    <w:rsid w:val="00655EC3"/>
    <w:rsid w:val="00760F1F"/>
    <w:rsid w:val="00794A7F"/>
    <w:rsid w:val="007B01C4"/>
    <w:rsid w:val="00A67375"/>
    <w:rsid w:val="00A9337F"/>
    <w:rsid w:val="00B475A0"/>
    <w:rsid w:val="00D01619"/>
    <w:rsid w:val="00E32998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both"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hd w:val="clear" w:color="auto" w:fill="FFFFFF"/>
      <w:spacing w:line="360" w:lineRule="auto"/>
      <w:jc w:val="both"/>
      <w:outlineLvl w:val="1"/>
    </w:pPr>
    <w:rPr>
      <w:i/>
      <w:iCs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jc w:val="both"/>
      <w:outlineLvl w:val="5"/>
    </w:pPr>
    <w:rPr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0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i/>
      <w:iCs/>
      <w:sz w:val="20"/>
      <w:szCs w:val="20"/>
      <w:shd w:val="clear" w:color="auto" w:fill="FFFFFF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Pr>
      <w:rFonts w:ascii="Times New Roman" w:hAnsi="Times New Roman" w:cs="Times New Roman"/>
      <w:b/>
      <w:bCs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hAnsi="Arial" w:cs="Arial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b/>
      <w:bCs/>
      <w:u w:val="single"/>
      <w:lang w:val="es-MX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0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0"/>
      <w:szCs w:val="20"/>
      <w:lang w:val="es-MX" w:eastAsia="es-ES"/>
    </w:rPr>
  </w:style>
  <w:style w:type="paragraph" w:styleId="HTMLconformatoprevio">
    <w:name w:val="HTML Preformatted"/>
    <w:basedOn w:val="Normal"/>
    <w:link w:val="HTMLconformatoprevio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Pr>
      <w:rFonts w:ascii="Arial Unicode MS" w:eastAsia="Arial Unicode MS" w:hAnsi="Arial Unicode MS" w:cs="Arial Unicode MS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6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both"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hd w:val="clear" w:color="auto" w:fill="FFFFFF"/>
      <w:spacing w:line="360" w:lineRule="auto"/>
      <w:jc w:val="both"/>
      <w:outlineLvl w:val="1"/>
    </w:pPr>
    <w:rPr>
      <w:i/>
      <w:iCs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jc w:val="both"/>
      <w:outlineLvl w:val="5"/>
    </w:pPr>
    <w:rPr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0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i/>
      <w:iCs/>
      <w:sz w:val="20"/>
      <w:szCs w:val="20"/>
      <w:shd w:val="clear" w:color="auto" w:fill="FFFFFF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Pr>
      <w:rFonts w:ascii="Times New Roman" w:hAnsi="Times New Roman" w:cs="Times New Roman"/>
      <w:b/>
      <w:bCs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hAnsi="Arial" w:cs="Arial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b/>
      <w:bCs/>
      <w:u w:val="single"/>
      <w:lang w:val="es-MX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0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0"/>
      <w:szCs w:val="20"/>
      <w:lang w:val="es-MX" w:eastAsia="es-ES"/>
    </w:rPr>
  </w:style>
  <w:style w:type="paragraph" w:styleId="HTMLconformatoprevio">
    <w:name w:val="HTML Preformatted"/>
    <w:basedOn w:val="Normal"/>
    <w:link w:val="HTMLconformatoprevio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Pr>
      <w:rFonts w:ascii="Arial Unicode MS" w:eastAsia="Arial Unicode MS" w:hAnsi="Arial Unicode MS" w:cs="Arial Unicode MS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6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936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PUBLICA</vt:lpstr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PUBLICA</dc:title>
  <dc:creator>MARIA ALEJANDRA ALVAREZ LOPEZ</dc:creator>
  <cp:lastModifiedBy> </cp:lastModifiedBy>
  <cp:revision>16</cp:revision>
  <cp:lastPrinted>2016-01-21T15:57:00Z</cp:lastPrinted>
  <dcterms:created xsi:type="dcterms:W3CDTF">2016-01-20T16:24:00Z</dcterms:created>
  <dcterms:modified xsi:type="dcterms:W3CDTF">2016-03-03T18:24:00Z</dcterms:modified>
</cp:coreProperties>
</file>