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03F" w:rsidRPr="00283F17" w:rsidRDefault="0086403F" w:rsidP="00283F17">
      <w:pPr>
        <w:keepNext/>
        <w:widowControl w:val="0"/>
        <w:tabs>
          <w:tab w:val="center" w:pos="4253"/>
        </w:tabs>
        <w:spacing w:after="0" w:line="360" w:lineRule="auto"/>
        <w:jc w:val="right"/>
        <w:rPr>
          <w:rFonts w:ascii="Arial" w:hAnsi="Arial" w:cs="Arial"/>
          <w:b/>
          <w:sz w:val="24"/>
          <w:szCs w:val="24"/>
          <w:lang w:val="es-UY"/>
        </w:rPr>
      </w:pPr>
      <w:bookmarkStart w:id="0" w:name="_GoBack"/>
      <w:bookmarkEnd w:id="0"/>
      <w:r w:rsidRPr="00283F17">
        <w:rPr>
          <w:rFonts w:ascii="Arial" w:hAnsi="Arial" w:cs="Arial"/>
          <w:b/>
          <w:sz w:val="24"/>
          <w:szCs w:val="24"/>
          <w:lang w:val="es-UY"/>
        </w:rPr>
        <w:t>RES. 79/16</w:t>
      </w:r>
    </w:p>
    <w:p w:rsidR="0086403F" w:rsidRPr="00283F17" w:rsidRDefault="0086403F" w:rsidP="00283F17">
      <w:pPr>
        <w:keepNext/>
        <w:widowControl w:val="0"/>
        <w:tabs>
          <w:tab w:val="center" w:pos="4253"/>
        </w:tabs>
        <w:spacing w:after="0" w:line="240" w:lineRule="auto"/>
        <w:jc w:val="center"/>
        <w:rPr>
          <w:rFonts w:ascii="Arial" w:hAnsi="Arial" w:cs="Arial"/>
          <w:b/>
          <w:sz w:val="24"/>
          <w:szCs w:val="24"/>
          <w:lang w:val="es-ES_tradnl"/>
        </w:rPr>
      </w:pPr>
    </w:p>
    <w:p w:rsidR="00663B00" w:rsidRPr="00283F17" w:rsidRDefault="00663B00" w:rsidP="00283F17">
      <w:pPr>
        <w:keepNext/>
        <w:widowControl w:val="0"/>
        <w:tabs>
          <w:tab w:val="center" w:pos="4253"/>
        </w:tabs>
        <w:spacing w:after="0" w:line="240" w:lineRule="auto"/>
        <w:jc w:val="center"/>
        <w:rPr>
          <w:rFonts w:ascii="Arial" w:hAnsi="Arial" w:cs="Arial"/>
          <w:b/>
          <w:sz w:val="24"/>
          <w:szCs w:val="24"/>
          <w:lang w:val="es-ES_tradnl"/>
        </w:rPr>
      </w:pPr>
      <w:r w:rsidRPr="00283F17">
        <w:rPr>
          <w:rFonts w:ascii="Arial" w:hAnsi="Arial" w:cs="Arial"/>
          <w:b/>
          <w:sz w:val="24"/>
          <w:szCs w:val="24"/>
          <w:lang w:val="es-ES_tradnl"/>
        </w:rPr>
        <w:t>RESOLUCION ADOPTADA POR EL</w:t>
      </w:r>
    </w:p>
    <w:p w:rsidR="00663B00" w:rsidRPr="00283F17" w:rsidRDefault="00663B00" w:rsidP="00283F17">
      <w:pPr>
        <w:keepNext/>
        <w:widowControl w:val="0"/>
        <w:tabs>
          <w:tab w:val="left" w:pos="-720"/>
        </w:tabs>
        <w:spacing w:after="0" w:line="240" w:lineRule="auto"/>
        <w:jc w:val="center"/>
        <w:rPr>
          <w:rFonts w:ascii="Arial" w:hAnsi="Arial" w:cs="Arial"/>
          <w:b/>
          <w:sz w:val="24"/>
          <w:szCs w:val="24"/>
          <w:lang w:val="es-ES_tradnl"/>
        </w:rPr>
      </w:pPr>
    </w:p>
    <w:p w:rsidR="00663B00" w:rsidRPr="00283F17" w:rsidRDefault="00663B00" w:rsidP="00283F17">
      <w:pPr>
        <w:keepNext/>
        <w:widowControl w:val="0"/>
        <w:tabs>
          <w:tab w:val="center" w:pos="4253"/>
        </w:tabs>
        <w:spacing w:after="0" w:line="240" w:lineRule="auto"/>
        <w:jc w:val="center"/>
        <w:rPr>
          <w:rFonts w:ascii="Arial" w:hAnsi="Arial" w:cs="Arial"/>
          <w:b/>
          <w:sz w:val="24"/>
          <w:szCs w:val="24"/>
          <w:lang w:val="es-ES_tradnl"/>
        </w:rPr>
      </w:pPr>
      <w:r w:rsidRPr="00283F17">
        <w:rPr>
          <w:rFonts w:ascii="Arial" w:hAnsi="Arial" w:cs="Arial"/>
          <w:b/>
          <w:sz w:val="24"/>
          <w:szCs w:val="24"/>
          <w:lang w:val="es-ES_tradnl"/>
        </w:rPr>
        <w:t>TRIBUNAL DE CUENTAS</w:t>
      </w:r>
    </w:p>
    <w:p w:rsidR="00663B00" w:rsidRPr="00283F17" w:rsidRDefault="00663B00" w:rsidP="00283F17">
      <w:pPr>
        <w:keepNext/>
        <w:widowControl w:val="0"/>
        <w:tabs>
          <w:tab w:val="left" w:pos="-720"/>
        </w:tabs>
        <w:spacing w:after="0" w:line="240" w:lineRule="auto"/>
        <w:jc w:val="center"/>
        <w:rPr>
          <w:rFonts w:ascii="Arial" w:hAnsi="Arial" w:cs="Arial"/>
          <w:b/>
          <w:sz w:val="24"/>
          <w:szCs w:val="24"/>
          <w:lang w:val="es-ES_tradnl"/>
        </w:rPr>
      </w:pPr>
    </w:p>
    <w:p w:rsidR="00663B00" w:rsidRPr="00283F17" w:rsidRDefault="00663B00" w:rsidP="00283F17">
      <w:pPr>
        <w:keepNext/>
        <w:widowControl w:val="0"/>
        <w:tabs>
          <w:tab w:val="center" w:pos="4253"/>
        </w:tabs>
        <w:spacing w:after="0" w:line="240" w:lineRule="auto"/>
        <w:jc w:val="center"/>
        <w:rPr>
          <w:rFonts w:ascii="Arial" w:hAnsi="Arial" w:cs="Arial"/>
          <w:b/>
          <w:sz w:val="24"/>
          <w:szCs w:val="24"/>
          <w:lang w:val="es-ES_tradnl"/>
        </w:rPr>
      </w:pPr>
      <w:r w:rsidRPr="00283F17">
        <w:rPr>
          <w:rFonts w:ascii="Arial" w:hAnsi="Arial" w:cs="Arial"/>
          <w:b/>
          <w:sz w:val="24"/>
          <w:szCs w:val="24"/>
          <w:lang w:val="es-ES_tradnl"/>
        </w:rPr>
        <w:t>EN SESION DE FECHA 20 DE ENERO DE 2016</w:t>
      </w:r>
    </w:p>
    <w:p w:rsidR="00663B00" w:rsidRPr="00283F17" w:rsidRDefault="00663B00" w:rsidP="00283F17">
      <w:pPr>
        <w:keepNext/>
        <w:widowControl w:val="0"/>
        <w:tabs>
          <w:tab w:val="center" w:pos="4253"/>
        </w:tabs>
        <w:spacing w:after="0" w:line="240" w:lineRule="auto"/>
        <w:jc w:val="center"/>
        <w:rPr>
          <w:rFonts w:ascii="Arial" w:hAnsi="Arial" w:cs="Arial"/>
          <w:b/>
          <w:sz w:val="24"/>
          <w:szCs w:val="24"/>
          <w:lang w:val="es-ES_tradnl"/>
        </w:rPr>
      </w:pPr>
    </w:p>
    <w:p w:rsidR="00663B00" w:rsidRPr="00BD50C6" w:rsidRDefault="00663B00" w:rsidP="00283F17">
      <w:pPr>
        <w:keepNext/>
        <w:widowControl w:val="0"/>
        <w:tabs>
          <w:tab w:val="center" w:pos="4253"/>
        </w:tabs>
        <w:spacing w:after="0" w:line="240" w:lineRule="auto"/>
        <w:jc w:val="center"/>
        <w:rPr>
          <w:rFonts w:ascii="Arial" w:hAnsi="Arial" w:cs="Arial"/>
          <w:b/>
          <w:sz w:val="24"/>
          <w:szCs w:val="24"/>
          <w:lang w:val="es-UY"/>
        </w:rPr>
      </w:pPr>
      <w:r w:rsidRPr="00BD50C6">
        <w:rPr>
          <w:rFonts w:ascii="Arial" w:hAnsi="Arial" w:cs="Arial"/>
          <w:b/>
          <w:sz w:val="24"/>
          <w:szCs w:val="24"/>
          <w:lang w:val="es-UY"/>
        </w:rPr>
        <w:t xml:space="preserve">(E. E. Nº 2015-17-1-0007436, </w:t>
      </w:r>
      <w:proofErr w:type="spellStart"/>
      <w:r w:rsidRPr="00BD50C6">
        <w:rPr>
          <w:rFonts w:ascii="Arial" w:hAnsi="Arial" w:cs="Arial"/>
          <w:b/>
          <w:sz w:val="24"/>
          <w:szCs w:val="24"/>
          <w:lang w:val="es-UY"/>
        </w:rPr>
        <w:t>Ent</w:t>
      </w:r>
      <w:proofErr w:type="spellEnd"/>
      <w:r w:rsidRPr="00BD50C6">
        <w:rPr>
          <w:rFonts w:ascii="Arial" w:hAnsi="Arial" w:cs="Arial"/>
          <w:b/>
          <w:sz w:val="24"/>
          <w:szCs w:val="24"/>
          <w:lang w:val="es-UY"/>
        </w:rPr>
        <w:t>. N° 7262/15)</w:t>
      </w:r>
    </w:p>
    <w:p w:rsidR="00663B00" w:rsidRPr="00BD50C6" w:rsidRDefault="00663B00" w:rsidP="00283F17">
      <w:pPr>
        <w:keepNext/>
        <w:widowControl w:val="0"/>
        <w:tabs>
          <w:tab w:val="center" w:pos="4253"/>
        </w:tabs>
        <w:spacing w:after="0" w:line="360" w:lineRule="auto"/>
        <w:jc w:val="center"/>
        <w:rPr>
          <w:rFonts w:ascii="Arial" w:hAnsi="Arial" w:cs="Arial"/>
          <w:b/>
          <w:sz w:val="24"/>
          <w:szCs w:val="24"/>
          <w:lang w:val="es-UY"/>
        </w:rPr>
      </w:pPr>
    </w:p>
    <w:p w:rsidR="00663B00" w:rsidRPr="00BD50C6" w:rsidRDefault="00663B00" w:rsidP="00283F17">
      <w:pPr>
        <w:keepNext/>
        <w:widowControl w:val="0"/>
        <w:tabs>
          <w:tab w:val="center" w:pos="4253"/>
        </w:tabs>
        <w:jc w:val="center"/>
        <w:rPr>
          <w:rFonts w:ascii="Arial" w:hAnsi="Arial" w:cs="Arial"/>
          <w:b/>
          <w:sz w:val="24"/>
          <w:szCs w:val="24"/>
          <w:lang w:val="es-UY"/>
        </w:rPr>
      </w:pPr>
    </w:p>
    <w:p w:rsidR="00656F7A" w:rsidRPr="00283F17" w:rsidRDefault="00656F7A" w:rsidP="00BD50C6">
      <w:pPr>
        <w:keepNext/>
        <w:widowControl w:val="0"/>
        <w:tabs>
          <w:tab w:val="left" w:pos="-1440"/>
          <w:tab w:val="left" w:pos="-720"/>
          <w:tab w:val="left" w:pos="0"/>
          <w:tab w:val="left" w:pos="720"/>
          <w:tab w:val="left" w:pos="1440"/>
          <w:tab w:val="left" w:pos="2160"/>
          <w:tab w:val="left" w:pos="2448"/>
          <w:tab w:val="left" w:pos="6480"/>
          <w:tab w:val="left" w:pos="7920"/>
        </w:tabs>
        <w:spacing w:after="0" w:line="360" w:lineRule="auto"/>
        <w:ind w:firstLine="851"/>
        <w:jc w:val="both"/>
        <w:rPr>
          <w:rFonts w:ascii="Arial" w:hAnsi="Arial" w:cs="Arial"/>
          <w:sz w:val="24"/>
          <w:szCs w:val="24"/>
        </w:rPr>
      </w:pPr>
      <w:r w:rsidRPr="00283F17">
        <w:rPr>
          <w:rFonts w:ascii="Arial" w:hAnsi="Arial" w:cs="Arial"/>
          <w:b/>
          <w:bCs/>
          <w:sz w:val="24"/>
          <w:szCs w:val="24"/>
        </w:rPr>
        <w:t>VISTO Y CONSIDERANDO</w:t>
      </w:r>
      <w:r w:rsidRPr="00283F17">
        <w:rPr>
          <w:rFonts w:ascii="Arial" w:hAnsi="Arial" w:cs="Arial"/>
          <w:b/>
          <w:sz w:val="24"/>
          <w:szCs w:val="24"/>
        </w:rPr>
        <w:t>:</w:t>
      </w:r>
      <w:r w:rsidRPr="00283F17">
        <w:rPr>
          <w:rFonts w:ascii="Arial" w:hAnsi="Arial" w:cs="Arial"/>
          <w:sz w:val="24"/>
          <w:szCs w:val="24"/>
        </w:rPr>
        <w:t xml:space="preserve"> la solicitud de informe de la Junta Departamental de Montevideo mediante Nota N</w:t>
      </w:r>
      <w:r w:rsidR="005F179D" w:rsidRPr="00283F17">
        <w:rPr>
          <w:rFonts w:ascii="Arial" w:hAnsi="Arial" w:cs="Arial"/>
          <w:sz w:val="24"/>
          <w:szCs w:val="24"/>
        </w:rPr>
        <w:t>°</w:t>
      </w:r>
      <w:r w:rsidRPr="00283F17">
        <w:rPr>
          <w:rFonts w:ascii="Arial" w:hAnsi="Arial" w:cs="Arial"/>
          <w:sz w:val="24"/>
          <w:szCs w:val="24"/>
        </w:rPr>
        <w:t xml:space="preserve"> 2</w:t>
      </w:r>
      <w:r w:rsidR="00F31857" w:rsidRPr="00283F17">
        <w:rPr>
          <w:rFonts w:ascii="Arial" w:hAnsi="Arial" w:cs="Arial"/>
          <w:sz w:val="24"/>
          <w:szCs w:val="24"/>
        </w:rPr>
        <w:t>507</w:t>
      </w:r>
      <w:r w:rsidR="00072AE0" w:rsidRPr="00283F17">
        <w:rPr>
          <w:rFonts w:ascii="Arial" w:hAnsi="Arial" w:cs="Arial"/>
          <w:sz w:val="24"/>
          <w:szCs w:val="24"/>
        </w:rPr>
        <w:t xml:space="preserve"> de</w:t>
      </w:r>
      <w:r w:rsidR="005F179D" w:rsidRPr="00283F17">
        <w:rPr>
          <w:rFonts w:ascii="Arial" w:hAnsi="Arial" w:cs="Arial"/>
          <w:sz w:val="24"/>
          <w:szCs w:val="24"/>
        </w:rPr>
        <w:t xml:space="preserve"> fecha</w:t>
      </w:r>
      <w:r w:rsidR="00072AE0" w:rsidRPr="00283F17">
        <w:rPr>
          <w:rFonts w:ascii="Arial" w:hAnsi="Arial" w:cs="Arial"/>
          <w:sz w:val="24"/>
          <w:szCs w:val="24"/>
        </w:rPr>
        <w:t xml:space="preserve"> 30/12/2015</w:t>
      </w:r>
      <w:r w:rsidRPr="00283F17">
        <w:rPr>
          <w:rFonts w:ascii="Arial" w:hAnsi="Arial" w:cs="Arial"/>
          <w:sz w:val="24"/>
          <w:szCs w:val="24"/>
        </w:rPr>
        <w:t>, relacionada con el proyecto de decreto remitido por la Intendencia de Montevideo, por el que se crea el denominado “Fondo Capital” para el financiamiento de determinadas obras a través de un Fideicomiso</w:t>
      </w:r>
      <w:r w:rsidR="00EE7FDE" w:rsidRPr="00283F17">
        <w:rPr>
          <w:rFonts w:ascii="Arial" w:hAnsi="Arial" w:cs="Arial"/>
          <w:sz w:val="24"/>
          <w:szCs w:val="24"/>
        </w:rPr>
        <w:t xml:space="preserve"> que</w:t>
      </w:r>
      <w:r w:rsidRPr="00283F17">
        <w:rPr>
          <w:rFonts w:ascii="Arial" w:hAnsi="Arial" w:cs="Arial"/>
          <w:sz w:val="24"/>
          <w:szCs w:val="24"/>
        </w:rPr>
        <w:t xml:space="preserve"> se remite en cumpl</w:t>
      </w:r>
      <w:r w:rsidR="0086403F" w:rsidRPr="00283F17">
        <w:rPr>
          <w:rFonts w:ascii="Arial" w:hAnsi="Arial" w:cs="Arial"/>
          <w:sz w:val="24"/>
          <w:szCs w:val="24"/>
        </w:rPr>
        <w:t>imiento de lo dispuesto por el I</w:t>
      </w:r>
      <w:r w:rsidRPr="00283F17">
        <w:rPr>
          <w:rFonts w:ascii="Arial" w:hAnsi="Arial" w:cs="Arial"/>
          <w:sz w:val="24"/>
          <w:szCs w:val="24"/>
        </w:rPr>
        <w:t>nciso 2</w:t>
      </w:r>
      <w:r w:rsidR="0086403F" w:rsidRPr="00283F17">
        <w:rPr>
          <w:rFonts w:ascii="Arial" w:hAnsi="Arial" w:cs="Arial"/>
          <w:sz w:val="24"/>
          <w:szCs w:val="24"/>
        </w:rPr>
        <w:t>)</w:t>
      </w:r>
      <w:r w:rsidRPr="00283F17">
        <w:rPr>
          <w:rFonts w:ascii="Arial" w:hAnsi="Arial" w:cs="Arial"/>
          <w:sz w:val="24"/>
          <w:szCs w:val="24"/>
        </w:rPr>
        <w:t xml:space="preserve"> del Artículo 301 de la Constitución de la República;</w:t>
      </w:r>
    </w:p>
    <w:p w:rsidR="00656F7A" w:rsidRPr="00283F17" w:rsidRDefault="00656F7A" w:rsidP="00BD50C6">
      <w:pPr>
        <w:keepNext/>
        <w:widowControl w:val="0"/>
        <w:tabs>
          <w:tab w:val="left" w:pos="-1440"/>
          <w:tab w:val="left" w:pos="-720"/>
          <w:tab w:val="left" w:pos="0"/>
          <w:tab w:val="left" w:pos="720"/>
          <w:tab w:val="left" w:pos="1440"/>
          <w:tab w:val="left" w:pos="2160"/>
          <w:tab w:val="left" w:pos="2448"/>
          <w:tab w:val="left" w:pos="6480"/>
          <w:tab w:val="left" w:pos="7920"/>
        </w:tabs>
        <w:spacing w:after="0" w:line="360" w:lineRule="auto"/>
        <w:ind w:firstLine="851"/>
        <w:jc w:val="both"/>
        <w:rPr>
          <w:rFonts w:ascii="Arial" w:hAnsi="Arial" w:cs="Arial"/>
          <w:sz w:val="24"/>
          <w:szCs w:val="24"/>
        </w:rPr>
      </w:pPr>
      <w:r w:rsidRPr="00283F17">
        <w:rPr>
          <w:rFonts w:ascii="Arial" w:hAnsi="Arial" w:cs="Arial"/>
          <w:b/>
          <w:bCs/>
          <w:sz w:val="24"/>
          <w:szCs w:val="24"/>
        </w:rPr>
        <w:t>ATENTO</w:t>
      </w:r>
      <w:r w:rsidRPr="00283F17">
        <w:rPr>
          <w:rFonts w:ascii="Arial" w:hAnsi="Arial" w:cs="Arial"/>
          <w:b/>
          <w:sz w:val="24"/>
          <w:szCs w:val="24"/>
        </w:rPr>
        <w:t>:</w:t>
      </w:r>
      <w:r w:rsidRPr="00283F17">
        <w:rPr>
          <w:rFonts w:ascii="Arial" w:hAnsi="Arial" w:cs="Arial"/>
          <w:sz w:val="24"/>
          <w:szCs w:val="24"/>
        </w:rPr>
        <w:t xml:space="preserve"> a</w:t>
      </w:r>
      <w:r w:rsidR="00EE7FDE" w:rsidRPr="00283F17">
        <w:rPr>
          <w:rFonts w:ascii="Arial" w:hAnsi="Arial" w:cs="Arial"/>
          <w:sz w:val="24"/>
          <w:szCs w:val="24"/>
        </w:rPr>
        <w:t xml:space="preserve"> </w:t>
      </w:r>
      <w:r w:rsidRPr="00283F17">
        <w:rPr>
          <w:rFonts w:ascii="Arial" w:hAnsi="Arial" w:cs="Arial"/>
          <w:sz w:val="24"/>
          <w:szCs w:val="24"/>
        </w:rPr>
        <w:t>lo establecido precedentemente</w:t>
      </w:r>
      <w:r w:rsidR="00EE7FDE" w:rsidRPr="00283F17">
        <w:rPr>
          <w:rFonts w:ascii="Arial" w:hAnsi="Arial" w:cs="Arial"/>
          <w:sz w:val="24"/>
          <w:szCs w:val="24"/>
        </w:rPr>
        <w:t xml:space="preserve"> y a lo dispuesto en el Artículo 301 de la Constitución de la República</w:t>
      </w:r>
      <w:r w:rsidRPr="00283F17">
        <w:rPr>
          <w:rFonts w:ascii="Arial" w:hAnsi="Arial" w:cs="Arial"/>
          <w:sz w:val="24"/>
          <w:szCs w:val="24"/>
        </w:rPr>
        <w:t>;</w:t>
      </w:r>
    </w:p>
    <w:p w:rsidR="0086403F" w:rsidRPr="00283F17" w:rsidRDefault="00656F7A" w:rsidP="00283F17">
      <w:pPr>
        <w:keepNext/>
        <w:widowControl w:val="0"/>
        <w:tabs>
          <w:tab w:val="left" w:pos="-1440"/>
          <w:tab w:val="left" w:pos="-720"/>
          <w:tab w:val="left" w:pos="0"/>
          <w:tab w:val="left" w:pos="720"/>
          <w:tab w:val="left" w:pos="1440"/>
          <w:tab w:val="left" w:pos="2160"/>
          <w:tab w:val="left" w:pos="2448"/>
          <w:tab w:val="left" w:pos="6480"/>
          <w:tab w:val="left" w:pos="7920"/>
        </w:tabs>
        <w:spacing w:after="0" w:line="360" w:lineRule="auto"/>
        <w:jc w:val="center"/>
        <w:rPr>
          <w:rFonts w:ascii="Arial" w:hAnsi="Arial" w:cs="Arial"/>
          <w:b/>
          <w:bCs/>
          <w:sz w:val="24"/>
          <w:szCs w:val="24"/>
        </w:rPr>
      </w:pPr>
      <w:r w:rsidRPr="00283F17">
        <w:rPr>
          <w:rFonts w:ascii="Arial" w:hAnsi="Arial" w:cs="Arial"/>
          <w:b/>
          <w:bCs/>
          <w:sz w:val="24"/>
          <w:szCs w:val="24"/>
        </w:rPr>
        <w:t>EL TRIBUNAL ACUERDA</w:t>
      </w:r>
    </w:p>
    <w:p w:rsidR="0086403F" w:rsidRPr="00283F17" w:rsidRDefault="0086403F" w:rsidP="00283F17">
      <w:pPr>
        <w:keepNext/>
        <w:widowControl w:val="0"/>
        <w:tabs>
          <w:tab w:val="left" w:pos="-1440"/>
          <w:tab w:val="left" w:pos="-720"/>
          <w:tab w:val="left" w:pos="0"/>
          <w:tab w:val="left" w:pos="720"/>
          <w:tab w:val="left" w:pos="1440"/>
          <w:tab w:val="left" w:pos="2160"/>
          <w:tab w:val="left" w:pos="2448"/>
          <w:tab w:val="left" w:pos="6480"/>
          <w:tab w:val="left" w:pos="7920"/>
        </w:tabs>
        <w:spacing w:after="0" w:line="360" w:lineRule="auto"/>
        <w:rPr>
          <w:rFonts w:ascii="Arial" w:hAnsi="Arial" w:cs="Arial"/>
          <w:sz w:val="24"/>
          <w:szCs w:val="24"/>
        </w:rPr>
      </w:pPr>
      <w:r w:rsidRPr="00283F17">
        <w:rPr>
          <w:rFonts w:ascii="Arial" w:hAnsi="Arial" w:cs="Arial"/>
          <w:b/>
          <w:bCs/>
          <w:sz w:val="24"/>
          <w:szCs w:val="24"/>
        </w:rPr>
        <w:t xml:space="preserve">1) </w:t>
      </w:r>
      <w:r w:rsidR="00656F7A" w:rsidRPr="00283F17">
        <w:rPr>
          <w:rFonts w:ascii="Arial" w:hAnsi="Arial" w:cs="Arial"/>
          <w:sz w:val="24"/>
          <w:szCs w:val="24"/>
        </w:rPr>
        <w:t xml:space="preserve">Aprobar el </w:t>
      </w:r>
      <w:r w:rsidR="00D72F86" w:rsidRPr="00283F17">
        <w:rPr>
          <w:rFonts w:ascii="Arial" w:hAnsi="Arial" w:cs="Arial"/>
          <w:sz w:val="24"/>
          <w:szCs w:val="24"/>
        </w:rPr>
        <w:t>I</w:t>
      </w:r>
      <w:r w:rsidRPr="00283F17">
        <w:rPr>
          <w:rFonts w:ascii="Arial" w:hAnsi="Arial" w:cs="Arial"/>
          <w:sz w:val="24"/>
          <w:szCs w:val="24"/>
        </w:rPr>
        <w:t>nforme que se adjunta; y</w:t>
      </w:r>
    </w:p>
    <w:p w:rsidR="00656F7A" w:rsidRDefault="0086403F" w:rsidP="00283F17">
      <w:pPr>
        <w:keepNext/>
        <w:widowControl w:val="0"/>
        <w:tabs>
          <w:tab w:val="left" w:pos="-1440"/>
          <w:tab w:val="left" w:pos="-720"/>
          <w:tab w:val="left" w:pos="0"/>
          <w:tab w:val="left" w:pos="720"/>
          <w:tab w:val="left" w:pos="1440"/>
          <w:tab w:val="left" w:pos="2160"/>
          <w:tab w:val="left" w:pos="2448"/>
          <w:tab w:val="left" w:pos="6480"/>
          <w:tab w:val="left" w:pos="7920"/>
        </w:tabs>
        <w:spacing w:after="0" w:line="360" w:lineRule="auto"/>
        <w:rPr>
          <w:rFonts w:ascii="Arial" w:hAnsi="Arial" w:cs="Arial"/>
          <w:sz w:val="24"/>
          <w:szCs w:val="24"/>
        </w:rPr>
      </w:pPr>
      <w:r w:rsidRPr="00283F17">
        <w:rPr>
          <w:rFonts w:ascii="Arial" w:hAnsi="Arial" w:cs="Arial"/>
          <w:b/>
          <w:sz w:val="24"/>
          <w:szCs w:val="24"/>
        </w:rPr>
        <w:t>2)</w:t>
      </w:r>
      <w:r w:rsidRPr="00283F17">
        <w:rPr>
          <w:rFonts w:ascii="Arial" w:hAnsi="Arial" w:cs="Arial"/>
          <w:sz w:val="24"/>
          <w:szCs w:val="24"/>
        </w:rPr>
        <w:t xml:space="preserve"> </w:t>
      </w:r>
      <w:r w:rsidR="00656F7A" w:rsidRPr="00283F17">
        <w:rPr>
          <w:rFonts w:ascii="Arial" w:hAnsi="Arial" w:cs="Arial"/>
          <w:sz w:val="24"/>
          <w:szCs w:val="24"/>
        </w:rPr>
        <w:t>Comunicar a la Junta Departamental de Montevideo.</w:t>
      </w:r>
    </w:p>
    <w:p w:rsidR="00283F17" w:rsidRDefault="00283F17" w:rsidP="00283F17">
      <w:pPr>
        <w:keepNext/>
        <w:widowControl w:val="0"/>
        <w:tabs>
          <w:tab w:val="left" w:pos="-1440"/>
          <w:tab w:val="left" w:pos="-720"/>
          <w:tab w:val="left" w:pos="0"/>
          <w:tab w:val="left" w:pos="720"/>
          <w:tab w:val="left" w:pos="1440"/>
          <w:tab w:val="left" w:pos="2160"/>
          <w:tab w:val="left" w:pos="2448"/>
          <w:tab w:val="left" w:pos="6480"/>
          <w:tab w:val="left" w:pos="7920"/>
        </w:tabs>
        <w:spacing w:after="0" w:line="360" w:lineRule="auto"/>
        <w:rPr>
          <w:rFonts w:ascii="Arial" w:hAnsi="Arial" w:cs="Arial"/>
          <w:sz w:val="24"/>
          <w:szCs w:val="24"/>
        </w:rPr>
      </w:pPr>
    </w:p>
    <w:p w:rsidR="00283F17" w:rsidRDefault="00283F17" w:rsidP="00283F17">
      <w:pPr>
        <w:keepNext/>
        <w:widowControl w:val="0"/>
        <w:tabs>
          <w:tab w:val="left" w:pos="-1440"/>
          <w:tab w:val="left" w:pos="-720"/>
          <w:tab w:val="left" w:pos="0"/>
          <w:tab w:val="left" w:pos="720"/>
          <w:tab w:val="left" w:pos="1440"/>
          <w:tab w:val="left" w:pos="2160"/>
          <w:tab w:val="left" w:pos="2448"/>
          <w:tab w:val="left" w:pos="6480"/>
          <w:tab w:val="left" w:pos="7920"/>
        </w:tabs>
        <w:spacing w:after="0" w:line="360" w:lineRule="auto"/>
        <w:rPr>
          <w:rFonts w:ascii="Arial" w:hAnsi="Arial" w:cs="Arial"/>
          <w:sz w:val="24"/>
          <w:szCs w:val="24"/>
        </w:rPr>
      </w:pPr>
    </w:p>
    <w:p w:rsidR="00283F17" w:rsidRDefault="00283F17" w:rsidP="00283F17">
      <w:pPr>
        <w:keepNext/>
        <w:widowControl w:val="0"/>
        <w:tabs>
          <w:tab w:val="left" w:pos="-1440"/>
          <w:tab w:val="left" w:pos="-720"/>
          <w:tab w:val="left" w:pos="0"/>
          <w:tab w:val="left" w:pos="720"/>
          <w:tab w:val="left" w:pos="1440"/>
          <w:tab w:val="left" w:pos="2160"/>
          <w:tab w:val="left" w:pos="2448"/>
          <w:tab w:val="left" w:pos="6480"/>
          <w:tab w:val="left" w:pos="7920"/>
        </w:tabs>
        <w:spacing w:after="0" w:line="360" w:lineRule="auto"/>
        <w:rPr>
          <w:rFonts w:ascii="Arial" w:hAnsi="Arial" w:cs="Arial"/>
          <w:sz w:val="24"/>
          <w:szCs w:val="24"/>
        </w:rPr>
      </w:pPr>
    </w:p>
    <w:p w:rsidR="00283F17" w:rsidRDefault="00283F17" w:rsidP="00283F17">
      <w:pPr>
        <w:keepNext/>
        <w:widowControl w:val="0"/>
        <w:tabs>
          <w:tab w:val="left" w:pos="-1440"/>
          <w:tab w:val="left" w:pos="-720"/>
          <w:tab w:val="left" w:pos="0"/>
          <w:tab w:val="left" w:pos="720"/>
          <w:tab w:val="left" w:pos="1440"/>
          <w:tab w:val="left" w:pos="2160"/>
          <w:tab w:val="left" w:pos="2448"/>
          <w:tab w:val="left" w:pos="6480"/>
          <w:tab w:val="left" w:pos="7920"/>
        </w:tabs>
        <w:spacing w:after="0" w:line="360" w:lineRule="auto"/>
        <w:rPr>
          <w:rFonts w:ascii="Arial" w:hAnsi="Arial" w:cs="Arial"/>
          <w:sz w:val="24"/>
          <w:szCs w:val="24"/>
        </w:rPr>
      </w:pPr>
    </w:p>
    <w:p w:rsidR="00283F17" w:rsidRDefault="00283F17" w:rsidP="00283F17">
      <w:pPr>
        <w:keepNext/>
        <w:widowControl w:val="0"/>
        <w:tabs>
          <w:tab w:val="left" w:pos="-1440"/>
          <w:tab w:val="left" w:pos="-720"/>
          <w:tab w:val="left" w:pos="0"/>
          <w:tab w:val="left" w:pos="720"/>
          <w:tab w:val="left" w:pos="1440"/>
          <w:tab w:val="left" w:pos="2160"/>
          <w:tab w:val="left" w:pos="2448"/>
          <w:tab w:val="left" w:pos="6480"/>
          <w:tab w:val="left" w:pos="7920"/>
        </w:tabs>
        <w:spacing w:after="0" w:line="360" w:lineRule="auto"/>
        <w:rPr>
          <w:rFonts w:ascii="Arial" w:hAnsi="Arial" w:cs="Arial"/>
          <w:sz w:val="24"/>
          <w:szCs w:val="24"/>
        </w:rPr>
      </w:pPr>
    </w:p>
    <w:p w:rsidR="00283F17" w:rsidRDefault="00283F17" w:rsidP="00283F17">
      <w:pPr>
        <w:keepNext/>
        <w:widowControl w:val="0"/>
        <w:tabs>
          <w:tab w:val="left" w:pos="-1440"/>
          <w:tab w:val="left" w:pos="-720"/>
          <w:tab w:val="left" w:pos="0"/>
          <w:tab w:val="left" w:pos="720"/>
          <w:tab w:val="left" w:pos="1440"/>
          <w:tab w:val="left" w:pos="2160"/>
          <w:tab w:val="left" w:pos="2448"/>
          <w:tab w:val="left" w:pos="6480"/>
          <w:tab w:val="left" w:pos="7920"/>
        </w:tabs>
        <w:spacing w:after="0" w:line="360" w:lineRule="auto"/>
        <w:rPr>
          <w:rFonts w:ascii="Arial" w:hAnsi="Arial" w:cs="Arial"/>
          <w:sz w:val="24"/>
          <w:szCs w:val="24"/>
        </w:rPr>
      </w:pPr>
    </w:p>
    <w:p w:rsidR="00283F17" w:rsidRDefault="00283F17" w:rsidP="00283F17">
      <w:pPr>
        <w:keepNext/>
        <w:widowControl w:val="0"/>
        <w:tabs>
          <w:tab w:val="left" w:pos="-1440"/>
          <w:tab w:val="left" w:pos="-720"/>
          <w:tab w:val="left" w:pos="0"/>
          <w:tab w:val="left" w:pos="720"/>
          <w:tab w:val="left" w:pos="1440"/>
          <w:tab w:val="left" w:pos="2160"/>
          <w:tab w:val="left" w:pos="2448"/>
          <w:tab w:val="left" w:pos="6480"/>
          <w:tab w:val="left" w:pos="7920"/>
        </w:tabs>
        <w:spacing w:after="0" w:line="360" w:lineRule="auto"/>
        <w:rPr>
          <w:rFonts w:ascii="Arial" w:hAnsi="Arial" w:cs="Arial"/>
          <w:sz w:val="24"/>
          <w:szCs w:val="24"/>
        </w:rPr>
      </w:pPr>
    </w:p>
    <w:p w:rsidR="00283F17" w:rsidRPr="00283F17" w:rsidRDefault="00283F17" w:rsidP="00283F17">
      <w:pPr>
        <w:keepNext/>
        <w:widowControl w:val="0"/>
        <w:tabs>
          <w:tab w:val="left" w:pos="-1440"/>
          <w:tab w:val="left" w:pos="-720"/>
          <w:tab w:val="left" w:pos="0"/>
          <w:tab w:val="left" w:pos="720"/>
          <w:tab w:val="left" w:pos="1440"/>
          <w:tab w:val="left" w:pos="2160"/>
          <w:tab w:val="left" w:pos="2448"/>
          <w:tab w:val="left" w:pos="6480"/>
          <w:tab w:val="left" w:pos="7920"/>
        </w:tabs>
        <w:spacing w:after="0" w:line="360" w:lineRule="auto"/>
        <w:rPr>
          <w:rFonts w:ascii="Arial" w:hAnsi="Arial" w:cs="Arial"/>
          <w:sz w:val="24"/>
          <w:szCs w:val="24"/>
        </w:rPr>
      </w:pPr>
    </w:p>
    <w:p w:rsidR="00283F17" w:rsidRPr="00283F17" w:rsidRDefault="00283F17" w:rsidP="00283F17">
      <w:pPr>
        <w:keepNext/>
        <w:widowControl w:val="0"/>
        <w:autoSpaceDE w:val="0"/>
        <w:autoSpaceDN w:val="0"/>
        <w:adjustRightInd w:val="0"/>
        <w:spacing w:after="0" w:line="360" w:lineRule="auto"/>
        <w:jc w:val="center"/>
        <w:rPr>
          <w:rFonts w:ascii="Arial" w:hAnsi="Arial" w:cs="Arial"/>
          <w:b/>
          <w:bCs/>
          <w:sz w:val="24"/>
          <w:szCs w:val="24"/>
        </w:rPr>
      </w:pPr>
      <w:r w:rsidRPr="00283F17">
        <w:rPr>
          <w:rFonts w:ascii="Arial" w:hAnsi="Arial" w:cs="Arial"/>
          <w:b/>
          <w:bCs/>
          <w:sz w:val="24"/>
          <w:szCs w:val="24"/>
        </w:rPr>
        <w:t>INFORME</w:t>
      </w:r>
    </w:p>
    <w:p w:rsidR="00283F17" w:rsidRPr="00283F17" w:rsidRDefault="00283F17" w:rsidP="00283F17">
      <w:pPr>
        <w:keepNext/>
        <w:widowControl w:val="0"/>
        <w:autoSpaceDE w:val="0"/>
        <w:autoSpaceDN w:val="0"/>
        <w:adjustRightInd w:val="0"/>
        <w:spacing w:after="0" w:line="360" w:lineRule="auto"/>
        <w:rPr>
          <w:rFonts w:ascii="Arial" w:hAnsi="Arial" w:cs="Arial"/>
          <w:b/>
          <w:bCs/>
          <w:sz w:val="24"/>
          <w:szCs w:val="24"/>
        </w:rPr>
      </w:pPr>
    </w:p>
    <w:p w:rsidR="00283F17" w:rsidRPr="00283F17" w:rsidRDefault="00283F17" w:rsidP="00283F17">
      <w:pPr>
        <w:keepNext/>
        <w:widowControl w:val="0"/>
        <w:autoSpaceDE w:val="0"/>
        <w:autoSpaceDN w:val="0"/>
        <w:adjustRightInd w:val="0"/>
        <w:spacing w:after="0" w:line="360" w:lineRule="auto"/>
        <w:rPr>
          <w:rFonts w:ascii="Arial" w:hAnsi="Arial" w:cs="Arial"/>
          <w:b/>
          <w:bCs/>
          <w:sz w:val="24"/>
          <w:szCs w:val="24"/>
        </w:rPr>
      </w:pPr>
      <w:r w:rsidRPr="00283F17">
        <w:rPr>
          <w:rFonts w:ascii="Arial" w:hAnsi="Arial" w:cs="Arial"/>
          <w:b/>
          <w:bCs/>
          <w:sz w:val="24"/>
          <w:szCs w:val="24"/>
        </w:rPr>
        <w:t>1) OBJETO</w:t>
      </w:r>
    </w:p>
    <w:p w:rsidR="00283F17" w:rsidRPr="00283F17" w:rsidRDefault="00283F17" w:rsidP="00BD50C6">
      <w:pPr>
        <w:keepNext/>
        <w:widowControl w:val="0"/>
        <w:autoSpaceDE w:val="0"/>
        <w:autoSpaceDN w:val="0"/>
        <w:adjustRightInd w:val="0"/>
        <w:spacing w:after="0" w:line="360" w:lineRule="auto"/>
        <w:jc w:val="both"/>
        <w:rPr>
          <w:rFonts w:ascii="Arial" w:hAnsi="Arial" w:cs="Arial"/>
          <w:sz w:val="24"/>
          <w:szCs w:val="24"/>
        </w:rPr>
      </w:pPr>
      <w:r w:rsidRPr="00283F17">
        <w:rPr>
          <w:rFonts w:ascii="Arial" w:hAnsi="Arial" w:cs="Arial"/>
          <w:sz w:val="24"/>
          <w:szCs w:val="24"/>
        </w:rPr>
        <w:t>El presente informe se emite en ejercicio de la atribución asignada al Tribunal de Cuentas por el Artículo 301 Inciso 2) de la Constitución de la República;</w:t>
      </w:r>
    </w:p>
    <w:p w:rsidR="00283F17" w:rsidRPr="00283F17" w:rsidRDefault="00283F17" w:rsidP="00BD50C6">
      <w:pPr>
        <w:keepNext/>
        <w:widowControl w:val="0"/>
        <w:autoSpaceDE w:val="0"/>
        <w:autoSpaceDN w:val="0"/>
        <w:adjustRightInd w:val="0"/>
        <w:spacing w:after="0" w:line="360" w:lineRule="auto"/>
        <w:jc w:val="both"/>
        <w:rPr>
          <w:rFonts w:ascii="Arial" w:hAnsi="Arial" w:cs="Arial"/>
          <w:sz w:val="24"/>
          <w:szCs w:val="24"/>
        </w:rPr>
      </w:pPr>
      <w:r w:rsidRPr="00283F17">
        <w:rPr>
          <w:rFonts w:ascii="Arial" w:hAnsi="Arial" w:cs="Arial"/>
          <w:sz w:val="24"/>
          <w:szCs w:val="24"/>
        </w:rPr>
        <w:t>La Junta Departamental de Montevideo, en cumplimiento de lo dispuesto por el Artículo 301 Inciso 2) de la Constitución de la República, remitió la Nota</w:t>
      </w:r>
      <w:r w:rsidR="00BD50C6">
        <w:rPr>
          <w:rFonts w:ascii="Arial" w:hAnsi="Arial" w:cs="Arial"/>
          <w:sz w:val="24"/>
          <w:szCs w:val="24"/>
        </w:rPr>
        <w:t xml:space="preserve"> Nº</w:t>
      </w:r>
      <w:r w:rsidRPr="00283F17">
        <w:rPr>
          <w:rFonts w:ascii="Arial" w:hAnsi="Arial" w:cs="Arial"/>
          <w:sz w:val="24"/>
          <w:szCs w:val="24"/>
        </w:rPr>
        <w:t>2507 de fecha 30/12/2015 relacionada con el Proyecto de Decreto que le enviara la Intendencia de Montevideo, mediante Resolución Nº 6146/15 por el cual se crea el denominado “Fondo Capital” para el financiamiento de determinadas obras.</w:t>
      </w:r>
    </w:p>
    <w:p w:rsidR="00283F17" w:rsidRDefault="00283F17" w:rsidP="00BD50C6">
      <w:pPr>
        <w:keepNext/>
        <w:widowControl w:val="0"/>
        <w:autoSpaceDE w:val="0"/>
        <w:autoSpaceDN w:val="0"/>
        <w:adjustRightInd w:val="0"/>
        <w:spacing w:after="0" w:line="360" w:lineRule="auto"/>
        <w:jc w:val="both"/>
        <w:rPr>
          <w:rFonts w:ascii="Arial" w:hAnsi="Arial" w:cs="Arial"/>
          <w:sz w:val="24"/>
          <w:szCs w:val="24"/>
        </w:rPr>
      </w:pPr>
      <w:r w:rsidRPr="00283F17">
        <w:rPr>
          <w:rFonts w:ascii="Arial" w:hAnsi="Arial" w:cs="Arial"/>
          <w:sz w:val="24"/>
          <w:szCs w:val="24"/>
        </w:rPr>
        <w:t>La citada resolución deja sin efecto la Nº 5732/15 de fecha 03/12/2015 y en consecuencia, el proyecto de Decreto remitido en esta oportunidad es sustitutivo de todas las iniciativas anteriormente presentadas al Legislativo.</w:t>
      </w:r>
    </w:p>
    <w:p w:rsidR="00283F17" w:rsidRPr="00283F17" w:rsidRDefault="00283F17" w:rsidP="00283F17">
      <w:pPr>
        <w:keepNext/>
        <w:widowControl w:val="0"/>
        <w:autoSpaceDE w:val="0"/>
        <w:autoSpaceDN w:val="0"/>
        <w:adjustRightInd w:val="0"/>
        <w:spacing w:after="0" w:line="360" w:lineRule="auto"/>
        <w:rPr>
          <w:rFonts w:ascii="Arial" w:hAnsi="Arial" w:cs="Arial"/>
          <w:b/>
          <w:bCs/>
          <w:sz w:val="24"/>
          <w:szCs w:val="24"/>
        </w:rPr>
      </w:pPr>
      <w:r w:rsidRPr="00283F17">
        <w:rPr>
          <w:rFonts w:ascii="Arial" w:hAnsi="Arial" w:cs="Arial"/>
          <w:b/>
          <w:bCs/>
          <w:sz w:val="24"/>
          <w:szCs w:val="24"/>
        </w:rPr>
        <w:t>2) RESULTANCIAS DEL TRÁMITE</w:t>
      </w:r>
    </w:p>
    <w:p w:rsidR="00283F17" w:rsidRPr="00283F17" w:rsidRDefault="00283F17" w:rsidP="00BD50C6">
      <w:pPr>
        <w:keepNext/>
        <w:widowControl w:val="0"/>
        <w:autoSpaceDE w:val="0"/>
        <w:autoSpaceDN w:val="0"/>
        <w:adjustRightInd w:val="0"/>
        <w:spacing w:after="0" w:line="360" w:lineRule="auto"/>
        <w:jc w:val="both"/>
        <w:rPr>
          <w:rFonts w:ascii="Arial" w:hAnsi="Arial" w:cs="Arial"/>
          <w:sz w:val="24"/>
          <w:szCs w:val="24"/>
        </w:rPr>
      </w:pPr>
      <w:r w:rsidRPr="00283F17">
        <w:rPr>
          <w:rFonts w:ascii="Arial" w:hAnsi="Arial" w:cs="Arial"/>
          <w:b/>
          <w:bCs/>
          <w:sz w:val="24"/>
          <w:szCs w:val="24"/>
        </w:rPr>
        <w:t xml:space="preserve">2.1- </w:t>
      </w:r>
      <w:r w:rsidRPr="00283F17">
        <w:rPr>
          <w:rFonts w:ascii="Arial" w:hAnsi="Arial" w:cs="Arial"/>
          <w:sz w:val="24"/>
          <w:szCs w:val="24"/>
        </w:rPr>
        <w:t>El “Fondo Capital” se crea para financiar obras públicas por un monto de hasta U.I 940.000.000, de movilidad urbana y gestión y tratamiento de residuos sólidos para la ciudad de Montevideo.</w:t>
      </w:r>
    </w:p>
    <w:p w:rsidR="00283F17" w:rsidRPr="00283F17" w:rsidRDefault="00283F17" w:rsidP="00BD50C6">
      <w:pPr>
        <w:keepNext/>
        <w:widowControl w:val="0"/>
        <w:autoSpaceDE w:val="0"/>
        <w:autoSpaceDN w:val="0"/>
        <w:adjustRightInd w:val="0"/>
        <w:spacing w:after="0" w:line="360" w:lineRule="auto"/>
        <w:jc w:val="both"/>
        <w:rPr>
          <w:rFonts w:ascii="Arial" w:hAnsi="Arial" w:cs="Arial"/>
          <w:sz w:val="24"/>
          <w:szCs w:val="24"/>
        </w:rPr>
      </w:pPr>
      <w:r w:rsidRPr="00283F17">
        <w:rPr>
          <w:rFonts w:ascii="Arial" w:hAnsi="Arial" w:cs="Arial"/>
          <w:sz w:val="24"/>
          <w:szCs w:val="24"/>
        </w:rPr>
        <w:t xml:space="preserve">De conformidad con la nueva redacción de la iniciativa, la Comuna, como administradora del Fondo, podrá ceder, ofrecer en garantía o </w:t>
      </w:r>
      <w:proofErr w:type="spellStart"/>
      <w:r w:rsidRPr="00283F17">
        <w:rPr>
          <w:rFonts w:ascii="Arial" w:hAnsi="Arial" w:cs="Arial"/>
          <w:sz w:val="24"/>
          <w:szCs w:val="24"/>
        </w:rPr>
        <w:t>securitizar</w:t>
      </w:r>
      <w:proofErr w:type="spellEnd"/>
      <w:r w:rsidRPr="00283F17">
        <w:rPr>
          <w:rFonts w:ascii="Arial" w:hAnsi="Arial" w:cs="Arial"/>
          <w:sz w:val="24"/>
          <w:szCs w:val="24"/>
        </w:rPr>
        <w:t xml:space="preserve"> los activos que lo integran, para constituir un fideicomiso, en los términos, condiciones y con las garantías que considere adecuadas, dando cuenta a la Junta Departamental.</w:t>
      </w:r>
    </w:p>
    <w:p w:rsidR="00283F17" w:rsidRPr="00283F17" w:rsidRDefault="00283F17" w:rsidP="00BD50C6">
      <w:pPr>
        <w:keepNext/>
        <w:widowControl w:val="0"/>
        <w:autoSpaceDE w:val="0"/>
        <w:autoSpaceDN w:val="0"/>
        <w:adjustRightInd w:val="0"/>
        <w:spacing w:after="0" w:line="360" w:lineRule="auto"/>
        <w:jc w:val="both"/>
        <w:rPr>
          <w:rFonts w:ascii="Arial" w:hAnsi="Arial" w:cs="Arial"/>
          <w:sz w:val="24"/>
          <w:szCs w:val="24"/>
        </w:rPr>
      </w:pPr>
      <w:r w:rsidRPr="00283F17">
        <w:rPr>
          <w:rFonts w:ascii="Arial" w:hAnsi="Arial" w:cs="Arial"/>
          <w:b/>
          <w:bCs/>
          <w:sz w:val="24"/>
          <w:szCs w:val="24"/>
        </w:rPr>
        <w:t xml:space="preserve">2.2- </w:t>
      </w:r>
      <w:r w:rsidRPr="00283F17">
        <w:rPr>
          <w:rFonts w:ascii="Arial" w:hAnsi="Arial" w:cs="Arial"/>
          <w:sz w:val="24"/>
          <w:szCs w:val="24"/>
        </w:rPr>
        <w:t>El “Fondo Capital” se financiará con:</w:t>
      </w:r>
    </w:p>
    <w:p w:rsidR="00283F17" w:rsidRPr="00283F17" w:rsidRDefault="00283F17" w:rsidP="00BD50C6">
      <w:pPr>
        <w:keepNext/>
        <w:widowControl w:val="0"/>
        <w:autoSpaceDE w:val="0"/>
        <w:autoSpaceDN w:val="0"/>
        <w:adjustRightInd w:val="0"/>
        <w:spacing w:after="0" w:line="360" w:lineRule="auto"/>
        <w:jc w:val="both"/>
        <w:rPr>
          <w:rFonts w:ascii="Arial" w:hAnsi="Arial" w:cs="Arial"/>
          <w:sz w:val="24"/>
          <w:szCs w:val="24"/>
        </w:rPr>
      </w:pPr>
      <w:r w:rsidRPr="00283F17">
        <w:rPr>
          <w:rFonts w:ascii="Arial" w:hAnsi="Arial" w:cs="Arial"/>
          <w:b/>
          <w:sz w:val="24"/>
          <w:szCs w:val="24"/>
        </w:rPr>
        <w:t>a)</w:t>
      </w:r>
      <w:r w:rsidRPr="00283F17">
        <w:rPr>
          <w:rFonts w:ascii="Arial" w:hAnsi="Arial" w:cs="Arial"/>
          <w:sz w:val="24"/>
          <w:szCs w:val="24"/>
        </w:rPr>
        <w:t xml:space="preserve"> los ingresos provenientes del SUCIVE, por un valor de hasta UI 940.000.000 más intereses y gastos de estructuración y administración asociados al </w:t>
      </w:r>
      <w:r w:rsidRPr="00283F17">
        <w:rPr>
          <w:rFonts w:ascii="Arial" w:hAnsi="Arial" w:cs="Arial"/>
          <w:spacing w:val="-6"/>
          <w:sz w:val="24"/>
          <w:szCs w:val="24"/>
        </w:rPr>
        <w:t>mecanismo de financiamiento, con una tasa de interés máxima de 8% anual en</w:t>
      </w:r>
      <w:r w:rsidRPr="00283F17">
        <w:rPr>
          <w:rFonts w:ascii="Arial" w:hAnsi="Arial" w:cs="Arial"/>
          <w:sz w:val="24"/>
          <w:szCs w:val="24"/>
        </w:rPr>
        <w:t xml:space="preserve"> UI;</w:t>
      </w:r>
    </w:p>
    <w:p w:rsidR="00283F17" w:rsidRPr="00283F17" w:rsidRDefault="00283F17" w:rsidP="00BD50C6">
      <w:pPr>
        <w:keepNext/>
        <w:widowControl w:val="0"/>
        <w:autoSpaceDE w:val="0"/>
        <w:autoSpaceDN w:val="0"/>
        <w:adjustRightInd w:val="0"/>
        <w:spacing w:after="0" w:line="360" w:lineRule="auto"/>
        <w:jc w:val="both"/>
        <w:rPr>
          <w:rFonts w:ascii="Arial" w:hAnsi="Arial" w:cs="Arial"/>
          <w:sz w:val="24"/>
          <w:szCs w:val="24"/>
        </w:rPr>
      </w:pPr>
      <w:r w:rsidRPr="00283F17">
        <w:rPr>
          <w:rFonts w:ascii="Arial" w:hAnsi="Arial" w:cs="Arial"/>
          <w:b/>
          <w:sz w:val="24"/>
          <w:szCs w:val="24"/>
        </w:rPr>
        <w:t>b)</w:t>
      </w:r>
      <w:r w:rsidRPr="00283F17">
        <w:rPr>
          <w:rFonts w:ascii="Arial" w:hAnsi="Arial" w:cs="Arial"/>
          <w:sz w:val="24"/>
          <w:szCs w:val="24"/>
        </w:rPr>
        <w:t xml:space="preserve"> otros recursos provenientes de transferencias del Poder Ejecutivo, de otras entidades públicas;</w:t>
      </w:r>
    </w:p>
    <w:p w:rsidR="00283F17" w:rsidRPr="00283F17" w:rsidRDefault="00283F17" w:rsidP="00BD50C6">
      <w:pPr>
        <w:keepNext/>
        <w:widowControl w:val="0"/>
        <w:autoSpaceDE w:val="0"/>
        <w:autoSpaceDN w:val="0"/>
        <w:adjustRightInd w:val="0"/>
        <w:spacing w:after="0" w:line="360" w:lineRule="auto"/>
        <w:jc w:val="both"/>
        <w:rPr>
          <w:rFonts w:ascii="Arial" w:hAnsi="Arial" w:cs="Arial"/>
          <w:sz w:val="24"/>
          <w:szCs w:val="24"/>
        </w:rPr>
      </w:pPr>
      <w:r w:rsidRPr="00283F17">
        <w:rPr>
          <w:rFonts w:ascii="Arial" w:hAnsi="Arial" w:cs="Arial"/>
          <w:b/>
          <w:sz w:val="24"/>
          <w:szCs w:val="24"/>
        </w:rPr>
        <w:t>c)</w:t>
      </w:r>
      <w:r w:rsidRPr="00283F17">
        <w:rPr>
          <w:rFonts w:ascii="Arial" w:hAnsi="Arial" w:cs="Arial"/>
          <w:sz w:val="24"/>
          <w:szCs w:val="24"/>
        </w:rPr>
        <w:t xml:space="preserve"> ingresos provenientes de los Precios Compensatorios y al Mayor Aprovechamiento (Artículo D. 40 del Digesto Departamental, modificativos y concordantes).</w:t>
      </w:r>
    </w:p>
    <w:p w:rsidR="00283F17" w:rsidRPr="00283F17" w:rsidRDefault="00283F17" w:rsidP="00BD50C6">
      <w:pPr>
        <w:keepNext/>
        <w:widowControl w:val="0"/>
        <w:autoSpaceDE w:val="0"/>
        <w:autoSpaceDN w:val="0"/>
        <w:adjustRightInd w:val="0"/>
        <w:spacing w:after="0" w:line="360" w:lineRule="auto"/>
        <w:jc w:val="both"/>
        <w:rPr>
          <w:rFonts w:ascii="Arial" w:hAnsi="Arial" w:cs="Arial"/>
          <w:sz w:val="24"/>
          <w:szCs w:val="24"/>
        </w:rPr>
      </w:pPr>
      <w:r w:rsidRPr="00283F17">
        <w:rPr>
          <w:rFonts w:ascii="Arial" w:hAnsi="Arial" w:cs="Arial"/>
          <w:b/>
          <w:bCs/>
          <w:sz w:val="24"/>
          <w:szCs w:val="24"/>
        </w:rPr>
        <w:t xml:space="preserve">2.3- </w:t>
      </w:r>
      <w:r w:rsidRPr="00283F17">
        <w:rPr>
          <w:rFonts w:ascii="Arial" w:hAnsi="Arial" w:cs="Arial"/>
          <w:sz w:val="24"/>
          <w:szCs w:val="24"/>
        </w:rPr>
        <w:t>El plazo de repago de las obligaciones que se asumen, será de 20 años a partir de cada una de las emisiones de deuda que pueda realizar el Fideicomiso que se constituya.</w:t>
      </w:r>
    </w:p>
    <w:p w:rsidR="00283F17" w:rsidRPr="00283F17" w:rsidRDefault="00283F17" w:rsidP="00BD50C6">
      <w:pPr>
        <w:keepNext/>
        <w:widowControl w:val="0"/>
        <w:autoSpaceDE w:val="0"/>
        <w:autoSpaceDN w:val="0"/>
        <w:adjustRightInd w:val="0"/>
        <w:spacing w:after="0" w:line="360" w:lineRule="auto"/>
        <w:jc w:val="both"/>
        <w:rPr>
          <w:rFonts w:ascii="Arial" w:hAnsi="Arial" w:cs="Arial"/>
          <w:sz w:val="24"/>
          <w:szCs w:val="24"/>
        </w:rPr>
      </w:pPr>
      <w:r w:rsidRPr="00283F17">
        <w:rPr>
          <w:rFonts w:ascii="Arial" w:hAnsi="Arial" w:cs="Arial"/>
          <w:b/>
          <w:bCs/>
          <w:sz w:val="24"/>
          <w:szCs w:val="24"/>
        </w:rPr>
        <w:t xml:space="preserve">2.4- </w:t>
      </w:r>
      <w:r w:rsidRPr="00283F17">
        <w:rPr>
          <w:rFonts w:ascii="Arial" w:hAnsi="Arial" w:cs="Arial"/>
          <w:sz w:val="24"/>
          <w:szCs w:val="24"/>
        </w:rPr>
        <w:t>La Intendencia destinará del producido de la emisión que realizará el Fideicomiso, deducidos los gastos de emisión:</w:t>
      </w:r>
    </w:p>
    <w:p w:rsidR="00283F17" w:rsidRPr="00283F17" w:rsidRDefault="00283F17" w:rsidP="00BD50C6">
      <w:pPr>
        <w:keepNext/>
        <w:widowControl w:val="0"/>
        <w:autoSpaceDE w:val="0"/>
        <w:autoSpaceDN w:val="0"/>
        <w:adjustRightInd w:val="0"/>
        <w:spacing w:after="0" w:line="360" w:lineRule="auto"/>
        <w:jc w:val="both"/>
        <w:rPr>
          <w:rFonts w:ascii="Arial" w:hAnsi="Arial" w:cs="Arial"/>
          <w:sz w:val="24"/>
          <w:szCs w:val="24"/>
        </w:rPr>
      </w:pPr>
      <w:r w:rsidRPr="00283F17">
        <w:rPr>
          <w:rFonts w:ascii="Arial" w:hAnsi="Arial" w:cs="Arial"/>
          <w:b/>
          <w:sz w:val="24"/>
          <w:szCs w:val="24"/>
        </w:rPr>
        <w:t>a)</w:t>
      </w:r>
      <w:r w:rsidRPr="00283F17">
        <w:rPr>
          <w:rFonts w:ascii="Arial" w:hAnsi="Arial" w:cs="Arial"/>
          <w:sz w:val="24"/>
          <w:szCs w:val="24"/>
        </w:rPr>
        <w:t xml:space="preserve"> Hasta UI 700.000.000 para obras de movilidad Urbana (incluyendo las inversiones en Av. </w:t>
      </w:r>
      <w:proofErr w:type="spellStart"/>
      <w:r w:rsidRPr="00283F17">
        <w:rPr>
          <w:rFonts w:ascii="Arial" w:hAnsi="Arial" w:cs="Arial"/>
          <w:sz w:val="24"/>
          <w:szCs w:val="24"/>
        </w:rPr>
        <w:t>Belloni</w:t>
      </w:r>
      <w:proofErr w:type="spellEnd"/>
      <w:r w:rsidRPr="00283F17">
        <w:rPr>
          <w:rFonts w:ascii="Arial" w:hAnsi="Arial" w:cs="Arial"/>
          <w:sz w:val="24"/>
          <w:szCs w:val="24"/>
        </w:rPr>
        <w:t xml:space="preserve">, </w:t>
      </w:r>
      <w:proofErr w:type="spellStart"/>
      <w:r w:rsidRPr="00283F17">
        <w:rPr>
          <w:rFonts w:ascii="Arial" w:hAnsi="Arial" w:cs="Arial"/>
          <w:sz w:val="24"/>
          <w:szCs w:val="24"/>
        </w:rPr>
        <w:t>Cno</w:t>
      </w:r>
      <w:proofErr w:type="spellEnd"/>
      <w:r w:rsidRPr="00283F17">
        <w:rPr>
          <w:rFonts w:ascii="Arial" w:hAnsi="Arial" w:cs="Arial"/>
          <w:sz w:val="24"/>
          <w:szCs w:val="24"/>
        </w:rPr>
        <w:t xml:space="preserve">. </w:t>
      </w:r>
      <w:proofErr w:type="spellStart"/>
      <w:r w:rsidRPr="00283F17">
        <w:rPr>
          <w:rFonts w:ascii="Arial" w:hAnsi="Arial" w:cs="Arial"/>
          <w:sz w:val="24"/>
          <w:szCs w:val="24"/>
        </w:rPr>
        <w:t>Cibils</w:t>
      </w:r>
      <w:proofErr w:type="spellEnd"/>
      <w:r w:rsidRPr="00283F17">
        <w:rPr>
          <w:rFonts w:ascii="Arial" w:hAnsi="Arial" w:cs="Arial"/>
          <w:sz w:val="24"/>
          <w:szCs w:val="24"/>
        </w:rPr>
        <w:t xml:space="preserve"> desde </w:t>
      </w:r>
      <w:proofErr w:type="spellStart"/>
      <w:r w:rsidRPr="00283F17">
        <w:rPr>
          <w:rFonts w:ascii="Arial" w:hAnsi="Arial" w:cs="Arial"/>
          <w:sz w:val="24"/>
          <w:szCs w:val="24"/>
        </w:rPr>
        <w:t>Cno</w:t>
      </w:r>
      <w:proofErr w:type="spellEnd"/>
      <w:r w:rsidRPr="00283F17">
        <w:rPr>
          <w:rFonts w:ascii="Arial" w:hAnsi="Arial" w:cs="Arial"/>
          <w:sz w:val="24"/>
          <w:szCs w:val="24"/>
        </w:rPr>
        <w:t xml:space="preserve">. </w:t>
      </w:r>
      <w:proofErr w:type="spellStart"/>
      <w:r w:rsidRPr="00283F17">
        <w:rPr>
          <w:rFonts w:ascii="Arial" w:hAnsi="Arial" w:cs="Arial"/>
          <w:sz w:val="24"/>
          <w:szCs w:val="24"/>
        </w:rPr>
        <w:t>Tomkinson</w:t>
      </w:r>
      <w:proofErr w:type="spellEnd"/>
      <w:r w:rsidRPr="00283F17">
        <w:rPr>
          <w:rFonts w:ascii="Arial" w:hAnsi="Arial" w:cs="Arial"/>
          <w:sz w:val="24"/>
          <w:szCs w:val="24"/>
        </w:rPr>
        <w:t xml:space="preserve"> hasta Av. Carlos María Ramírez, Av. San Martín entre Domingo Arena y Aparicio Saravia y un cruce a desnivel en Av. Italia entre Br. Artigas y Centenario);</w:t>
      </w:r>
    </w:p>
    <w:p w:rsidR="00283F17" w:rsidRPr="00283F17" w:rsidRDefault="00283F17" w:rsidP="00BD50C6">
      <w:pPr>
        <w:keepNext/>
        <w:widowControl w:val="0"/>
        <w:autoSpaceDE w:val="0"/>
        <w:autoSpaceDN w:val="0"/>
        <w:adjustRightInd w:val="0"/>
        <w:spacing w:after="0" w:line="360" w:lineRule="auto"/>
        <w:jc w:val="both"/>
        <w:rPr>
          <w:rFonts w:ascii="Arial" w:hAnsi="Arial" w:cs="Arial"/>
          <w:sz w:val="24"/>
          <w:szCs w:val="24"/>
        </w:rPr>
      </w:pPr>
      <w:r w:rsidRPr="00283F17">
        <w:rPr>
          <w:rFonts w:ascii="Arial" w:hAnsi="Arial" w:cs="Arial"/>
          <w:b/>
          <w:sz w:val="24"/>
          <w:szCs w:val="24"/>
        </w:rPr>
        <w:t>b)</w:t>
      </w:r>
      <w:r w:rsidRPr="00283F17">
        <w:rPr>
          <w:rFonts w:ascii="Arial" w:hAnsi="Arial" w:cs="Arial"/>
          <w:sz w:val="24"/>
          <w:szCs w:val="24"/>
        </w:rPr>
        <w:t xml:space="preserve"> El saldo se destinará a la gestión de los Residuos Sólidos urbanos y servicios de limpieza y disposición final de los mismos, incluyendo una planta de preclasificación y compactación de residuos sólidos urbanos.</w:t>
      </w:r>
    </w:p>
    <w:p w:rsidR="00283F17" w:rsidRPr="00283F17" w:rsidRDefault="00283F17" w:rsidP="00BD50C6">
      <w:pPr>
        <w:keepNext/>
        <w:widowControl w:val="0"/>
        <w:autoSpaceDE w:val="0"/>
        <w:autoSpaceDN w:val="0"/>
        <w:adjustRightInd w:val="0"/>
        <w:spacing w:after="0" w:line="360" w:lineRule="auto"/>
        <w:jc w:val="both"/>
        <w:rPr>
          <w:rFonts w:ascii="Arial" w:hAnsi="Arial" w:cs="Arial"/>
          <w:sz w:val="24"/>
          <w:szCs w:val="24"/>
        </w:rPr>
      </w:pPr>
      <w:r w:rsidRPr="00283F17">
        <w:rPr>
          <w:rFonts w:ascii="Arial" w:hAnsi="Arial" w:cs="Arial"/>
          <w:b/>
          <w:bCs/>
          <w:sz w:val="24"/>
          <w:szCs w:val="24"/>
        </w:rPr>
        <w:t xml:space="preserve">2.5- </w:t>
      </w:r>
      <w:r w:rsidRPr="00283F17">
        <w:rPr>
          <w:rFonts w:ascii="Arial" w:hAnsi="Arial" w:cs="Arial"/>
          <w:sz w:val="24"/>
          <w:szCs w:val="24"/>
        </w:rPr>
        <w:t>Se crea una Comisión Especial en la Junta Departamental para controlar el cumplimiento de objetivos y realizar el seguimiento de los planes y obras a ejecutar. Asimismo se estipula que la Intendencia podrá incorporar, mediante procedimiento competitivo un Agente Certificador, dando cuenta a la Junta Departamental, con las funciones que se indican.</w:t>
      </w:r>
    </w:p>
    <w:p w:rsidR="00283F17" w:rsidRPr="00283F17" w:rsidRDefault="00283F17" w:rsidP="00BD50C6">
      <w:pPr>
        <w:keepNext/>
        <w:widowControl w:val="0"/>
        <w:autoSpaceDE w:val="0"/>
        <w:autoSpaceDN w:val="0"/>
        <w:adjustRightInd w:val="0"/>
        <w:spacing w:after="0" w:line="360" w:lineRule="auto"/>
        <w:jc w:val="both"/>
        <w:rPr>
          <w:rFonts w:ascii="Arial" w:hAnsi="Arial" w:cs="Arial"/>
          <w:sz w:val="24"/>
          <w:szCs w:val="24"/>
        </w:rPr>
      </w:pPr>
      <w:r w:rsidRPr="00283F17">
        <w:rPr>
          <w:rFonts w:ascii="Arial" w:hAnsi="Arial" w:cs="Arial"/>
          <w:b/>
          <w:bCs/>
          <w:sz w:val="24"/>
          <w:szCs w:val="24"/>
        </w:rPr>
        <w:t xml:space="preserve">2.6- </w:t>
      </w:r>
      <w:r w:rsidRPr="00283F17">
        <w:rPr>
          <w:rFonts w:ascii="Arial" w:hAnsi="Arial" w:cs="Arial"/>
          <w:sz w:val="24"/>
          <w:szCs w:val="24"/>
        </w:rPr>
        <w:t>Las emisiones que realice el fiduciario con garantía en los activos del Fondo Capital, podrán ser parciales, abarcando la financiación de una o más obras o servicios adquiridos. El fiduciario podrá realizar las emisiones a los efectos de cancelar los montos adeudados por los avances de obras, los cuales deberán contar con la aprobación del Agente Certificador y de la Intendencia de Montevideo.</w:t>
      </w:r>
    </w:p>
    <w:p w:rsidR="00283F17" w:rsidRPr="00283F17" w:rsidRDefault="00283F17" w:rsidP="00BD50C6">
      <w:pPr>
        <w:keepNext/>
        <w:widowControl w:val="0"/>
        <w:autoSpaceDE w:val="0"/>
        <w:autoSpaceDN w:val="0"/>
        <w:adjustRightInd w:val="0"/>
        <w:spacing w:after="0" w:line="360" w:lineRule="auto"/>
        <w:jc w:val="both"/>
        <w:rPr>
          <w:rFonts w:ascii="Arial" w:hAnsi="Arial" w:cs="Arial"/>
          <w:sz w:val="24"/>
          <w:szCs w:val="24"/>
        </w:rPr>
      </w:pPr>
      <w:r w:rsidRPr="00283F17">
        <w:rPr>
          <w:rFonts w:ascii="Arial" w:hAnsi="Arial" w:cs="Arial"/>
          <w:b/>
          <w:sz w:val="24"/>
          <w:szCs w:val="24"/>
        </w:rPr>
        <w:t>2.7</w:t>
      </w:r>
      <w:r w:rsidRPr="00283F17">
        <w:rPr>
          <w:rFonts w:ascii="Arial" w:hAnsi="Arial" w:cs="Arial"/>
          <w:sz w:val="24"/>
          <w:szCs w:val="24"/>
        </w:rPr>
        <w:t xml:space="preserve"> La Intendencia de Montevideo remitió a la Junta Departamental el Proyecto de Presupuesto Quinquenal 2016–2020 en el que se prevé en la categoría “Aportes Financiamiento Externo” la “Integración del Fondo Capital” por un valor de $ 7.834:590.001, en pesos de poder adquisitivo de diciembre de 2014, que equivale, aproximadamente, a U.I. 2.500:000.000.</w:t>
      </w:r>
    </w:p>
    <w:p w:rsidR="00283F17" w:rsidRPr="00283F17" w:rsidRDefault="00283F17" w:rsidP="00283F17">
      <w:pPr>
        <w:keepNext/>
        <w:widowControl w:val="0"/>
        <w:autoSpaceDE w:val="0"/>
        <w:autoSpaceDN w:val="0"/>
        <w:adjustRightInd w:val="0"/>
        <w:spacing w:after="0" w:line="360" w:lineRule="auto"/>
        <w:rPr>
          <w:rFonts w:ascii="Arial" w:hAnsi="Arial" w:cs="Arial"/>
          <w:b/>
          <w:bCs/>
          <w:sz w:val="24"/>
          <w:szCs w:val="24"/>
        </w:rPr>
      </w:pPr>
      <w:r w:rsidRPr="00283F17">
        <w:rPr>
          <w:rFonts w:ascii="Arial" w:hAnsi="Arial" w:cs="Arial"/>
          <w:b/>
          <w:bCs/>
          <w:sz w:val="24"/>
          <w:szCs w:val="24"/>
        </w:rPr>
        <w:t>3) SITUACIÓN FINANCIERA</w:t>
      </w:r>
    </w:p>
    <w:p w:rsidR="00283F17" w:rsidRPr="00283F17" w:rsidRDefault="00283F17" w:rsidP="00BD50C6">
      <w:pPr>
        <w:keepNext/>
        <w:widowControl w:val="0"/>
        <w:autoSpaceDE w:val="0"/>
        <w:autoSpaceDN w:val="0"/>
        <w:adjustRightInd w:val="0"/>
        <w:spacing w:after="0" w:line="360" w:lineRule="auto"/>
        <w:jc w:val="both"/>
        <w:rPr>
          <w:rFonts w:ascii="Arial" w:hAnsi="Arial" w:cs="Arial"/>
          <w:sz w:val="24"/>
          <w:szCs w:val="24"/>
        </w:rPr>
      </w:pPr>
      <w:r w:rsidRPr="00283F17">
        <w:rPr>
          <w:rFonts w:ascii="Arial" w:hAnsi="Arial" w:cs="Arial"/>
          <w:sz w:val="24"/>
          <w:szCs w:val="24"/>
        </w:rPr>
        <w:t>De acuerdo a las Rendiciones de Cuentas presentadas por la Intendencia correspondientes a los Ejercicios 2011 a 2014, esta presenta una situación financiera que se resume de la siguiente forma (expresada en miles de pesos uruguayos):</w:t>
      </w:r>
    </w:p>
    <w:p w:rsidR="00283F17" w:rsidRPr="00283F17" w:rsidRDefault="00283F17" w:rsidP="00283F17">
      <w:pPr>
        <w:pStyle w:val="Textoindependiente"/>
        <w:keepNext/>
        <w:suppressAutoHyphens w:val="0"/>
        <w:spacing w:line="360" w:lineRule="auto"/>
        <w:ind w:left="360"/>
        <w:rPr>
          <w:b/>
          <w:bCs/>
          <w:lang w:val="es-ES"/>
        </w:rPr>
      </w:pPr>
    </w:p>
    <w:tbl>
      <w:tblPr>
        <w:tblW w:w="7392" w:type="dxa"/>
        <w:tblInd w:w="577" w:type="dxa"/>
        <w:tblCellMar>
          <w:left w:w="70" w:type="dxa"/>
          <w:right w:w="70" w:type="dxa"/>
        </w:tblCellMar>
        <w:tblLook w:val="0000" w:firstRow="0" w:lastRow="0" w:firstColumn="0" w:lastColumn="0" w:noHBand="0" w:noVBand="0"/>
      </w:tblPr>
      <w:tblGrid>
        <w:gridCol w:w="1440"/>
        <w:gridCol w:w="1760"/>
        <w:gridCol w:w="1940"/>
        <w:gridCol w:w="2567"/>
      </w:tblGrid>
      <w:tr w:rsidR="00283F17" w:rsidRPr="00283F17" w:rsidTr="00283F17">
        <w:trPr>
          <w:trHeight w:val="810"/>
        </w:trPr>
        <w:tc>
          <w:tcPr>
            <w:tcW w:w="1440" w:type="dxa"/>
            <w:tcBorders>
              <w:top w:val="single" w:sz="4" w:space="0" w:color="auto"/>
              <w:left w:val="single" w:sz="4" w:space="0" w:color="auto"/>
              <w:bottom w:val="single" w:sz="4" w:space="0" w:color="auto"/>
              <w:right w:val="single" w:sz="4" w:space="0" w:color="auto"/>
            </w:tcBorders>
            <w:noWrap/>
            <w:vAlign w:val="center"/>
          </w:tcPr>
          <w:p w:rsidR="00283F17" w:rsidRPr="00283F17" w:rsidRDefault="00283F17" w:rsidP="00283F17">
            <w:pPr>
              <w:keepNext/>
              <w:widowControl w:val="0"/>
              <w:spacing w:after="0" w:line="360" w:lineRule="auto"/>
              <w:jc w:val="center"/>
              <w:rPr>
                <w:rFonts w:ascii="Arial" w:hAnsi="Arial" w:cs="Arial"/>
                <w:b/>
                <w:bCs/>
                <w:color w:val="000000"/>
                <w:sz w:val="24"/>
                <w:szCs w:val="24"/>
                <w:lang w:eastAsia="es-UY"/>
              </w:rPr>
            </w:pPr>
            <w:r w:rsidRPr="00283F17">
              <w:rPr>
                <w:rFonts w:ascii="Arial" w:hAnsi="Arial" w:cs="Arial"/>
                <w:b/>
                <w:bCs/>
                <w:color w:val="000000"/>
                <w:sz w:val="24"/>
                <w:szCs w:val="24"/>
                <w:lang w:eastAsia="es-UY"/>
              </w:rPr>
              <w:t>AÑO</w:t>
            </w:r>
          </w:p>
        </w:tc>
        <w:tc>
          <w:tcPr>
            <w:tcW w:w="1760" w:type="dxa"/>
            <w:tcBorders>
              <w:top w:val="single" w:sz="4" w:space="0" w:color="auto"/>
              <w:left w:val="nil"/>
              <w:bottom w:val="single" w:sz="4" w:space="0" w:color="auto"/>
              <w:right w:val="single" w:sz="4" w:space="0" w:color="auto"/>
            </w:tcBorders>
            <w:vAlign w:val="center"/>
          </w:tcPr>
          <w:p w:rsidR="00283F17" w:rsidRPr="00283F17" w:rsidRDefault="00283F17" w:rsidP="00283F17">
            <w:pPr>
              <w:keepNext/>
              <w:widowControl w:val="0"/>
              <w:spacing w:after="0" w:line="360" w:lineRule="auto"/>
              <w:jc w:val="center"/>
              <w:rPr>
                <w:rFonts w:ascii="Arial" w:hAnsi="Arial" w:cs="Arial"/>
                <w:b/>
                <w:bCs/>
                <w:color w:val="000000"/>
                <w:sz w:val="24"/>
                <w:szCs w:val="24"/>
                <w:lang w:eastAsia="es-UY"/>
              </w:rPr>
            </w:pPr>
            <w:r w:rsidRPr="00283F17">
              <w:rPr>
                <w:rFonts w:ascii="Arial" w:hAnsi="Arial" w:cs="Arial"/>
                <w:b/>
                <w:bCs/>
                <w:color w:val="000000"/>
                <w:sz w:val="24"/>
                <w:szCs w:val="24"/>
                <w:lang w:eastAsia="es-UY"/>
              </w:rPr>
              <w:t>DÉFICIT ACUMULADO</w:t>
            </w:r>
          </w:p>
        </w:tc>
        <w:tc>
          <w:tcPr>
            <w:tcW w:w="1815" w:type="dxa"/>
            <w:tcBorders>
              <w:top w:val="single" w:sz="4" w:space="0" w:color="auto"/>
              <w:left w:val="nil"/>
              <w:bottom w:val="single" w:sz="4" w:space="0" w:color="auto"/>
              <w:right w:val="single" w:sz="4" w:space="0" w:color="auto"/>
            </w:tcBorders>
            <w:noWrap/>
            <w:vAlign w:val="center"/>
          </w:tcPr>
          <w:p w:rsidR="00283F17" w:rsidRPr="00283F17" w:rsidRDefault="00283F17" w:rsidP="00283F17">
            <w:pPr>
              <w:keepNext/>
              <w:widowControl w:val="0"/>
              <w:spacing w:after="0" w:line="360" w:lineRule="auto"/>
              <w:jc w:val="center"/>
              <w:rPr>
                <w:rFonts w:ascii="Arial" w:hAnsi="Arial" w:cs="Arial"/>
                <w:b/>
                <w:bCs/>
                <w:color w:val="000000"/>
                <w:sz w:val="24"/>
                <w:szCs w:val="24"/>
                <w:lang w:eastAsia="es-UY"/>
              </w:rPr>
            </w:pPr>
            <w:r w:rsidRPr="00283F17">
              <w:rPr>
                <w:rFonts w:ascii="Arial" w:hAnsi="Arial" w:cs="Arial"/>
                <w:b/>
                <w:bCs/>
                <w:color w:val="000000"/>
                <w:sz w:val="24"/>
                <w:szCs w:val="24"/>
                <w:lang w:eastAsia="es-UY"/>
              </w:rPr>
              <w:t>RECAUDACIÓN</w:t>
            </w:r>
          </w:p>
        </w:tc>
        <w:tc>
          <w:tcPr>
            <w:tcW w:w="2377" w:type="dxa"/>
            <w:tcBorders>
              <w:top w:val="single" w:sz="4" w:space="0" w:color="auto"/>
              <w:left w:val="nil"/>
              <w:bottom w:val="single" w:sz="4" w:space="0" w:color="auto"/>
              <w:right w:val="single" w:sz="4" w:space="0" w:color="auto"/>
            </w:tcBorders>
            <w:vAlign w:val="center"/>
          </w:tcPr>
          <w:p w:rsidR="00283F17" w:rsidRPr="00283F17" w:rsidRDefault="00283F17" w:rsidP="00283F17">
            <w:pPr>
              <w:keepNext/>
              <w:widowControl w:val="0"/>
              <w:spacing w:after="0" w:line="360" w:lineRule="auto"/>
              <w:jc w:val="center"/>
              <w:rPr>
                <w:rFonts w:ascii="Arial" w:hAnsi="Arial" w:cs="Arial"/>
                <w:b/>
                <w:bCs/>
                <w:color w:val="000000"/>
                <w:sz w:val="24"/>
                <w:szCs w:val="24"/>
                <w:lang w:eastAsia="es-UY"/>
              </w:rPr>
            </w:pPr>
            <w:r w:rsidRPr="00283F17">
              <w:rPr>
                <w:rFonts w:ascii="Arial" w:hAnsi="Arial" w:cs="Arial"/>
                <w:b/>
                <w:bCs/>
                <w:color w:val="000000"/>
                <w:sz w:val="24"/>
                <w:szCs w:val="24"/>
                <w:lang w:eastAsia="es-UY"/>
              </w:rPr>
              <w:t>DEF.ACUM/RECAUD.</w:t>
            </w:r>
          </w:p>
        </w:tc>
      </w:tr>
      <w:tr w:rsidR="00283F17" w:rsidRPr="00283F17" w:rsidTr="00283F17">
        <w:trPr>
          <w:trHeight w:val="300"/>
        </w:trPr>
        <w:tc>
          <w:tcPr>
            <w:tcW w:w="1440" w:type="dxa"/>
            <w:tcBorders>
              <w:top w:val="nil"/>
              <w:left w:val="single" w:sz="4" w:space="0" w:color="auto"/>
              <w:bottom w:val="single" w:sz="4" w:space="0" w:color="auto"/>
              <w:right w:val="single" w:sz="4" w:space="0" w:color="auto"/>
            </w:tcBorders>
            <w:noWrap/>
            <w:vAlign w:val="bottom"/>
          </w:tcPr>
          <w:p w:rsidR="00283F17" w:rsidRPr="00283F17" w:rsidRDefault="00283F17" w:rsidP="00283F17">
            <w:pPr>
              <w:keepNext/>
              <w:widowControl w:val="0"/>
              <w:spacing w:after="0" w:line="360" w:lineRule="auto"/>
              <w:jc w:val="center"/>
              <w:rPr>
                <w:rFonts w:ascii="Arial" w:hAnsi="Arial" w:cs="Arial"/>
                <w:color w:val="000000"/>
                <w:sz w:val="24"/>
                <w:szCs w:val="24"/>
                <w:lang w:eastAsia="es-UY"/>
              </w:rPr>
            </w:pPr>
            <w:r w:rsidRPr="00283F17">
              <w:rPr>
                <w:rFonts w:ascii="Arial" w:hAnsi="Arial" w:cs="Arial"/>
                <w:color w:val="000000"/>
                <w:sz w:val="24"/>
                <w:szCs w:val="24"/>
                <w:lang w:eastAsia="es-UY"/>
              </w:rPr>
              <w:t>2011</w:t>
            </w:r>
          </w:p>
        </w:tc>
        <w:tc>
          <w:tcPr>
            <w:tcW w:w="1760" w:type="dxa"/>
            <w:tcBorders>
              <w:top w:val="nil"/>
              <w:left w:val="nil"/>
              <w:bottom w:val="single" w:sz="4" w:space="0" w:color="auto"/>
              <w:right w:val="single" w:sz="4" w:space="0" w:color="auto"/>
            </w:tcBorders>
            <w:noWrap/>
            <w:vAlign w:val="bottom"/>
          </w:tcPr>
          <w:p w:rsidR="00283F17" w:rsidRPr="00283F17" w:rsidRDefault="00283F17" w:rsidP="00283F17">
            <w:pPr>
              <w:keepNext/>
              <w:widowControl w:val="0"/>
              <w:spacing w:after="0" w:line="360" w:lineRule="auto"/>
              <w:jc w:val="right"/>
              <w:rPr>
                <w:rFonts w:ascii="Arial" w:hAnsi="Arial" w:cs="Arial"/>
                <w:color w:val="000000"/>
                <w:sz w:val="24"/>
                <w:szCs w:val="24"/>
                <w:lang w:eastAsia="es-UY"/>
              </w:rPr>
            </w:pPr>
            <w:r w:rsidRPr="00283F17">
              <w:rPr>
                <w:rFonts w:ascii="Arial" w:hAnsi="Arial" w:cs="Arial"/>
                <w:color w:val="000000"/>
                <w:sz w:val="24"/>
                <w:szCs w:val="24"/>
                <w:lang w:eastAsia="es-UY"/>
              </w:rPr>
              <w:t>1.096.427</w:t>
            </w:r>
          </w:p>
        </w:tc>
        <w:tc>
          <w:tcPr>
            <w:tcW w:w="1815" w:type="dxa"/>
            <w:tcBorders>
              <w:top w:val="nil"/>
              <w:left w:val="nil"/>
              <w:bottom w:val="single" w:sz="4" w:space="0" w:color="auto"/>
              <w:right w:val="single" w:sz="4" w:space="0" w:color="auto"/>
            </w:tcBorders>
            <w:noWrap/>
            <w:vAlign w:val="bottom"/>
          </w:tcPr>
          <w:p w:rsidR="00283F17" w:rsidRPr="00283F17" w:rsidRDefault="00283F17" w:rsidP="00283F17">
            <w:pPr>
              <w:keepNext/>
              <w:widowControl w:val="0"/>
              <w:spacing w:after="0" w:line="360" w:lineRule="auto"/>
              <w:jc w:val="right"/>
              <w:rPr>
                <w:rFonts w:ascii="Arial" w:hAnsi="Arial" w:cs="Arial"/>
                <w:color w:val="000000"/>
                <w:sz w:val="24"/>
                <w:szCs w:val="24"/>
                <w:lang w:eastAsia="es-UY"/>
              </w:rPr>
            </w:pPr>
            <w:r w:rsidRPr="00283F17">
              <w:rPr>
                <w:rFonts w:ascii="Arial" w:hAnsi="Arial" w:cs="Arial"/>
                <w:color w:val="000000"/>
                <w:sz w:val="24"/>
                <w:szCs w:val="24"/>
                <w:lang w:eastAsia="es-UY"/>
              </w:rPr>
              <w:t>9.952.031</w:t>
            </w:r>
          </w:p>
        </w:tc>
        <w:tc>
          <w:tcPr>
            <w:tcW w:w="2377" w:type="dxa"/>
            <w:tcBorders>
              <w:top w:val="nil"/>
              <w:left w:val="nil"/>
              <w:bottom w:val="single" w:sz="4" w:space="0" w:color="auto"/>
              <w:right w:val="single" w:sz="4" w:space="0" w:color="auto"/>
            </w:tcBorders>
            <w:noWrap/>
            <w:vAlign w:val="bottom"/>
          </w:tcPr>
          <w:p w:rsidR="00283F17" w:rsidRPr="00283F17" w:rsidRDefault="00283F17" w:rsidP="00283F17">
            <w:pPr>
              <w:keepNext/>
              <w:widowControl w:val="0"/>
              <w:spacing w:after="0" w:line="360" w:lineRule="auto"/>
              <w:jc w:val="center"/>
              <w:rPr>
                <w:rFonts w:ascii="Arial" w:hAnsi="Arial" w:cs="Arial"/>
                <w:color w:val="000000"/>
                <w:sz w:val="24"/>
                <w:szCs w:val="24"/>
                <w:lang w:eastAsia="es-UY"/>
              </w:rPr>
            </w:pPr>
            <w:r w:rsidRPr="00283F17">
              <w:rPr>
                <w:rFonts w:ascii="Arial" w:hAnsi="Arial" w:cs="Arial"/>
                <w:color w:val="000000"/>
                <w:sz w:val="24"/>
                <w:szCs w:val="24"/>
                <w:lang w:eastAsia="es-UY"/>
              </w:rPr>
              <w:t>11%</w:t>
            </w:r>
          </w:p>
        </w:tc>
      </w:tr>
      <w:tr w:rsidR="00283F17" w:rsidRPr="00283F17" w:rsidTr="00283F17">
        <w:trPr>
          <w:trHeight w:val="300"/>
        </w:trPr>
        <w:tc>
          <w:tcPr>
            <w:tcW w:w="1440" w:type="dxa"/>
            <w:tcBorders>
              <w:top w:val="nil"/>
              <w:left w:val="single" w:sz="4" w:space="0" w:color="auto"/>
              <w:bottom w:val="single" w:sz="4" w:space="0" w:color="auto"/>
              <w:right w:val="single" w:sz="4" w:space="0" w:color="auto"/>
            </w:tcBorders>
            <w:noWrap/>
            <w:vAlign w:val="bottom"/>
          </w:tcPr>
          <w:p w:rsidR="00283F17" w:rsidRPr="00283F17" w:rsidRDefault="00283F17" w:rsidP="00283F17">
            <w:pPr>
              <w:keepNext/>
              <w:widowControl w:val="0"/>
              <w:spacing w:after="0" w:line="360" w:lineRule="auto"/>
              <w:jc w:val="center"/>
              <w:rPr>
                <w:rFonts w:ascii="Arial" w:hAnsi="Arial" w:cs="Arial"/>
                <w:color w:val="000000"/>
                <w:sz w:val="24"/>
                <w:szCs w:val="24"/>
                <w:lang w:eastAsia="es-UY"/>
              </w:rPr>
            </w:pPr>
            <w:r w:rsidRPr="00283F17">
              <w:rPr>
                <w:rFonts w:ascii="Arial" w:hAnsi="Arial" w:cs="Arial"/>
                <w:color w:val="000000"/>
                <w:sz w:val="24"/>
                <w:szCs w:val="24"/>
                <w:lang w:eastAsia="es-UY"/>
              </w:rPr>
              <w:t>2012</w:t>
            </w:r>
          </w:p>
        </w:tc>
        <w:tc>
          <w:tcPr>
            <w:tcW w:w="1760" w:type="dxa"/>
            <w:tcBorders>
              <w:top w:val="nil"/>
              <w:left w:val="nil"/>
              <w:bottom w:val="single" w:sz="4" w:space="0" w:color="auto"/>
              <w:right w:val="single" w:sz="4" w:space="0" w:color="auto"/>
            </w:tcBorders>
            <w:noWrap/>
            <w:vAlign w:val="bottom"/>
          </w:tcPr>
          <w:p w:rsidR="00283F17" w:rsidRPr="00283F17" w:rsidRDefault="00283F17" w:rsidP="00283F17">
            <w:pPr>
              <w:keepNext/>
              <w:widowControl w:val="0"/>
              <w:spacing w:after="0" w:line="360" w:lineRule="auto"/>
              <w:jc w:val="right"/>
              <w:rPr>
                <w:rFonts w:ascii="Arial" w:hAnsi="Arial" w:cs="Arial"/>
                <w:color w:val="000000"/>
                <w:sz w:val="24"/>
                <w:szCs w:val="24"/>
                <w:lang w:eastAsia="es-UY"/>
              </w:rPr>
            </w:pPr>
            <w:r w:rsidRPr="00283F17">
              <w:rPr>
                <w:rFonts w:ascii="Arial" w:hAnsi="Arial" w:cs="Arial"/>
                <w:color w:val="000000"/>
                <w:sz w:val="24"/>
                <w:szCs w:val="24"/>
                <w:lang w:eastAsia="es-UY"/>
              </w:rPr>
              <w:t>1.645.962</w:t>
            </w:r>
          </w:p>
        </w:tc>
        <w:tc>
          <w:tcPr>
            <w:tcW w:w="1815" w:type="dxa"/>
            <w:tcBorders>
              <w:top w:val="nil"/>
              <w:left w:val="nil"/>
              <w:bottom w:val="single" w:sz="4" w:space="0" w:color="auto"/>
              <w:right w:val="single" w:sz="4" w:space="0" w:color="auto"/>
            </w:tcBorders>
            <w:noWrap/>
            <w:vAlign w:val="bottom"/>
          </w:tcPr>
          <w:p w:rsidR="00283F17" w:rsidRPr="00283F17" w:rsidRDefault="00283F17" w:rsidP="00283F17">
            <w:pPr>
              <w:keepNext/>
              <w:widowControl w:val="0"/>
              <w:spacing w:after="0" w:line="360" w:lineRule="auto"/>
              <w:jc w:val="right"/>
              <w:rPr>
                <w:rFonts w:ascii="Arial" w:hAnsi="Arial" w:cs="Arial"/>
                <w:color w:val="000000"/>
                <w:sz w:val="24"/>
                <w:szCs w:val="24"/>
                <w:lang w:eastAsia="es-UY"/>
              </w:rPr>
            </w:pPr>
            <w:r w:rsidRPr="00283F17">
              <w:rPr>
                <w:rFonts w:ascii="Arial" w:hAnsi="Arial" w:cs="Arial"/>
                <w:color w:val="000000"/>
                <w:sz w:val="24"/>
                <w:szCs w:val="24"/>
                <w:lang w:eastAsia="es-UY"/>
              </w:rPr>
              <w:t>10.803.799</w:t>
            </w:r>
          </w:p>
        </w:tc>
        <w:tc>
          <w:tcPr>
            <w:tcW w:w="2377" w:type="dxa"/>
            <w:tcBorders>
              <w:top w:val="nil"/>
              <w:left w:val="nil"/>
              <w:bottom w:val="single" w:sz="4" w:space="0" w:color="auto"/>
              <w:right w:val="single" w:sz="4" w:space="0" w:color="auto"/>
            </w:tcBorders>
            <w:noWrap/>
            <w:vAlign w:val="bottom"/>
          </w:tcPr>
          <w:p w:rsidR="00283F17" w:rsidRPr="00283F17" w:rsidRDefault="00283F17" w:rsidP="00283F17">
            <w:pPr>
              <w:keepNext/>
              <w:widowControl w:val="0"/>
              <w:spacing w:after="0" w:line="360" w:lineRule="auto"/>
              <w:jc w:val="center"/>
              <w:rPr>
                <w:rFonts w:ascii="Arial" w:hAnsi="Arial" w:cs="Arial"/>
                <w:color w:val="000000"/>
                <w:sz w:val="24"/>
                <w:szCs w:val="24"/>
                <w:lang w:eastAsia="es-UY"/>
              </w:rPr>
            </w:pPr>
            <w:r w:rsidRPr="00283F17">
              <w:rPr>
                <w:rFonts w:ascii="Arial" w:hAnsi="Arial" w:cs="Arial"/>
                <w:color w:val="000000"/>
                <w:sz w:val="24"/>
                <w:szCs w:val="24"/>
                <w:lang w:eastAsia="es-UY"/>
              </w:rPr>
              <w:t>15%</w:t>
            </w:r>
          </w:p>
        </w:tc>
      </w:tr>
      <w:tr w:rsidR="00283F17" w:rsidRPr="00283F17" w:rsidTr="00283F17">
        <w:trPr>
          <w:trHeight w:val="300"/>
        </w:trPr>
        <w:tc>
          <w:tcPr>
            <w:tcW w:w="1440" w:type="dxa"/>
            <w:tcBorders>
              <w:top w:val="nil"/>
              <w:left w:val="single" w:sz="4" w:space="0" w:color="auto"/>
              <w:bottom w:val="single" w:sz="4" w:space="0" w:color="auto"/>
              <w:right w:val="single" w:sz="4" w:space="0" w:color="auto"/>
            </w:tcBorders>
            <w:noWrap/>
            <w:vAlign w:val="bottom"/>
          </w:tcPr>
          <w:p w:rsidR="00283F17" w:rsidRPr="00283F17" w:rsidRDefault="00283F17" w:rsidP="00283F17">
            <w:pPr>
              <w:keepNext/>
              <w:widowControl w:val="0"/>
              <w:spacing w:after="0" w:line="360" w:lineRule="auto"/>
              <w:jc w:val="center"/>
              <w:rPr>
                <w:rFonts w:ascii="Arial" w:hAnsi="Arial" w:cs="Arial"/>
                <w:color w:val="000000"/>
                <w:sz w:val="24"/>
                <w:szCs w:val="24"/>
                <w:lang w:eastAsia="es-UY"/>
              </w:rPr>
            </w:pPr>
            <w:r w:rsidRPr="00283F17">
              <w:rPr>
                <w:rFonts w:ascii="Arial" w:hAnsi="Arial" w:cs="Arial"/>
                <w:color w:val="000000"/>
                <w:sz w:val="24"/>
                <w:szCs w:val="24"/>
                <w:lang w:eastAsia="es-UY"/>
              </w:rPr>
              <w:t>2013</w:t>
            </w:r>
          </w:p>
        </w:tc>
        <w:tc>
          <w:tcPr>
            <w:tcW w:w="1760" w:type="dxa"/>
            <w:tcBorders>
              <w:top w:val="nil"/>
              <w:left w:val="nil"/>
              <w:bottom w:val="single" w:sz="4" w:space="0" w:color="auto"/>
              <w:right w:val="single" w:sz="4" w:space="0" w:color="auto"/>
            </w:tcBorders>
            <w:noWrap/>
            <w:vAlign w:val="bottom"/>
          </w:tcPr>
          <w:p w:rsidR="00283F17" w:rsidRPr="00283F17" w:rsidRDefault="00283F17" w:rsidP="00283F17">
            <w:pPr>
              <w:keepNext/>
              <w:widowControl w:val="0"/>
              <w:spacing w:after="0" w:line="360" w:lineRule="auto"/>
              <w:jc w:val="right"/>
              <w:rPr>
                <w:rFonts w:ascii="Arial" w:hAnsi="Arial" w:cs="Arial"/>
                <w:color w:val="000000"/>
                <w:sz w:val="24"/>
                <w:szCs w:val="24"/>
                <w:lang w:eastAsia="es-UY"/>
              </w:rPr>
            </w:pPr>
            <w:r w:rsidRPr="00283F17">
              <w:rPr>
                <w:rFonts w:ascii="Arial" w:hAnsi="Arial" w:cs="Arial"/>
                <w:color w:val="000000"/>
                <w:sz w:val="24"/>
                <w:szCs w:val="24"/>
                <w:lang w:eastAsia="es-UY"/>
              </w:rPr>
              <w:t>2.324.309</w:t>
            </w:r>
          </w:p>
        </w:tc>
        <w:tc>
          <w:tcPr>
            <w:tcW w:w="1815" w:type="dxa"/>
            <w:tcBorders>
              <w:top w:val="nil"/>
              <w:left w:val="nil"/>
              <w:bottom w:val="single" w:sz="4" w:space="0" w:color="auto"/>
              <w:right w:val="single" w:sz="4" w:space="0" w:color="auto"/>
            </w:tcBorders>
            <w:noWrap/>
            <w:vAlign w:val="bottom"/>
          </w:tcPr>
          <w:p w:rsidR="00283F17" w:rsidRPr="00283F17" w:rsidRDefault="00283F17" w:rsidP="00283F17">
            <w:pPr>
              <w:keepNext/>
              <w:widowControl w:val="0"/>
              <w:spacing w:after="0" w:line="360" w:lineRule="auto"/>
              <w:jc w:val="right"/>
              <w:rPr>
                <w:rFonts w:ascii="Arial" w:hAnsi="Arial" w:cs="Arial"/>
                <w:color w:val="000000"/>
                <w:sz w:val="24"/>
                <w:szCs w:val="24"/>
                <w:lang w:eastAsia="es-UY"/>
              </w:rPr>
            </w:pPr>
            <w:r w:rsidRPr="00283F17">
              <w:rPr>
                <w:rFonts w:ascii="Arial" w:hAnsi="Arial" w:cs="Arial"/>
                <w:color w:val="000000"/>
                <w:sz w:val="24"/>
                <w:szCs w:val="24"/>
                <w:lang w:eastAsia="es-UY"/>
              </w:rPr>
              <w:t>11.747.458</w:t>
            </w:r>
          </w:p>
        </w:tc>
        <w:tc>
          <w:tcPr>
            <w:tcW w:w="2377" w:type="dxa"/>
            <w:tcBorders>
              <w:top w:val="nil"/>
              <w:left w:val="nil"/>
              <w:bottom w:val="single" w:sz="4" w:space="0" w:color="auto"/>
              <w:right w:val="single" w:sz="4" w:space="0" w:color="auto"/>
            </w:tcBorders>
            <w:noWrap/>
            <w:vAlign w:val="bottom"/>
          </w:tcPr>
          <w:p w:rsidR="00283F17" w:rsidRPr="00283F17" w:rsidRDefault="00283F17" w:rsidP="00283F17">
            <w:pPr>
              <w:keepNext/>
              <w:widowControl w:val="0"/>
              <w:spacing w:after="0" w:line="360" w:lineRule="auto"/>
              <w:jc w:val="center"/>
              <w:rPr>
                <w:rFonts w:ascii="Arial" w:hAnsi="Arial" w:cs="Arial"/>
                <w:color w:val="000000"/>
                <w:sz w:val="24"/>
                <w:szCs w:val="24"/>
                <w:lang w:eastAsia="es-UY"/>
              </w:rPr>
            </w:pPr>
            <w:r w:rsidRPr="00283F17">
              <w:rPr>
                <w:rFonts w:ascii="Arial" w:hAnsi="Arial" w:cs="Arial"/>
                <w:color w:val="000000"/>
                <w:sz w:val="24"/>
                <w:szCs w:val="24"/>
                <w:lang w:eastAsia="es-UY"/>
              </w:rPr>
              <w:t>20%</w:t>
            </w:r>
          </w:p>
        </w:tc>
      </w:tr>
      <w:tr w:rsidR="00283F17" w:rsidRPr="00283F17" w:rsidTr="00283F17">
        <w:trPr>
          <w:trHeight w:val="300"/>
        </w:trPr>
        <w:tc>
          <w:tcPr>
            <w:tcW w:w="1440" w:type="dxa"/>
            <w:tcBorders>
              <w:top w:val="nil"/>
              <w:left w:val="single" w:sz="4" w:space="0" w:color="auto"/>
              <w:bottom w:val="single" w:sz="4" w:space="0" w:color="auto"/>
              <w:right w:val="single" w:sz="4" w:space="0" w:color="auto"/>
            </w:tcBorders>
            <w:noWrap/>
            <w:vAlign w:val="bottom"/>
          </w:tcPr>
          <w:p w:rsidR="00283F17" w:rsidRPr="00283F17" w:rsidRDefault="00283F17" w:rsidP="00283F17">
            <w:pPr>
              <w:keepNext/>
              <w:widowControl w:val="0"/>
              <w:spacing w:after="0" w:line="360" w:lineRule="auto"/>
              <w:jc w:val="center"/>
              <w:rPr>
                <w:rFonts w:ascii="Arial" w:hAnsi="Arial" w:cs="Arial"/>
                <w:color w:val="000000"/>
                <w:sz w:val="24"/>
                <w:szCs w:val="24"/>
                <w:lang w:eastAsia="es-UY"/>
              </w:rPr>
            </w:pPr>
            <w:r w:rsidRPr="00283F17">
              <w:rPr>
                <w:rFonts w:ascii="Arial" w:hAnsi="Arial" w:cs="Arial"/>
                <w:color w:val="000000"/>
                <w:sz w:val="24"/>
                <w:szCs w:val="24"/>
                <w:lang w:eastAsia="es-UY"/>
              </w:rPr>
              <w:t>2014</w:t>
            </w:r>
          </w:p>
        </w:tc>
        <w:tc>
          <w:tcPr>
            <w:tcW w:w="1760" w:type="dxa"/>
            <w:tcBorders>
              <w:top w:val="nil"/>
              <w:left w:val="nil"/>
              <w:bottom w:val="single" w:sz="4" w:space="0" w:color="auto"/>
              <w:right w:val="single" w:sz="4" w:space="0" w:color="auto"/>
            </w:tcBorders>
            <w:noWrap/>
            <w:vAlign w:val="bottom"/>
          </w:tcPr>
          <w:p w:rsidR="00283F17" w:rsidRPr="00283F17" w:rsidRDefault="00283F17" w:rsidP="00283F17">
            <w:pPr>
              <w:keepNext/>
              <w:widowControl w:val="0"/>
              <w:spacing w:after="0" w:line="360" w:lineRule="auto"/>
              <w:jc w:val="right"/>
              <w:rPr>
                <w:rFonts w:ascii="Arial" w:hAnsi="Arial" w:cs="Arial"/>
                <w:color w:val="000000"/>
                <w:sz w:val="24"/>
                <w:szCs w:val="24"/>
                <w:lang w:eastAsia="es-UY"/>
              </w:rPr>
            </w:pPr>
            <w:r w:rsidRPr="00283F17">
              <w:rPr>
                <w:rFonts w:ascii="Arial" w:hAnsi="Arial" w:cs="Arial"/>
                <w:color w:val="000000"/>
                <w:sz w:val="24"/>
                <w:szCs w:val="24"/>
                <w:lang w:eastAsia="es-UY"/>
              </w:rPr>
              <w:t>2.726.619</w:t>
            </w:r>
          </w:p>
        </w:tc>
        <w:tc>
          <w:tcPr>
            <w:tcW w:w="1815" w:type="dxa"/>
            <w:tcBorders>
              <w:top w:val="nil"/>
              <w:left w:val="nil"/>
              <w:bottom w:val="single" w:sz="4" w:space="0" w:color="auto"/>
              <w:right w:val="single" w:sz="4" w:space="0" w:color="auto"/>
            </w:tcBorders>
            <w:noWrap/>
            <w:vAlign w:val="bottom"/>
          </w:tcPr>
          <w:p w:rsidR="00283F17" w:rsidRPr="00283F17" w:rsidRDefault="00283F17" w:rsidP="00283F17">
            <w:pPr>
              <w:keepNext/>
              <w:widowControl w:val="0"/>
              <w:spacing w:after="0" w:line="360" w:lineRule="auto"/>
              <w:jc w:val="right"/>
              <w:rPr>
                <w:rFonts w:ascii="Arial" w:hAnsi="Arial" w:cs="Arial"/>
                <w:color w:val="000000"/>
                <w:sz w:val="24"/>
                <w:szCs w:val="24"/>
                <w:lang w:eastAsia="es-UY"/>
              </w:rPr>
            </w:pPr>
            <w:r w:rsidRPr="00283F17">
              <w:rPr>
                <w:rFonts w:ascii="Arial" w:hAnsi="Arial" w:cs="Arial"/>
                <w:color w:val="000000"/>
                <w:sz w:val="24"/>
                <w:szCs w:val="24"/>
                <w:lang w:eastAsia="es-UY"/>
              </w:rPr>
              <w:t>14.327.451</w:t>
            </w:r>
          </w:p>
        </w:tc>
        <w:tc>
          <w:tcPr>
            <w:tcW w:w="2377" w:type="dxa"/>
            <w:tcBorders>
              <w:top w:val="nil"/>
              <w:left w:val="nil"/>
              <w:bottom w:val="single" w:sz="4" w:space="0" w:color="auto"/>
              <w:right w:val="single" w:sz="4" w:space="0" w:color="auto"/>
            </w:tcBorders>
            <w:noWrap/>
            <w:vAlign w:val="bottom"/>
          </w:tcPr>
          <w:p w:rsidR="00283F17" w:rsidRPr="00283F17" w:rsidRDefault="00283F17" w:rsidP="00283F17">
            <w:pPr>
              <w:keepNext/>
              <w:widowControl w:val="0"/>
              <w:spacing w:after="0" w:line="360" w:lineRule="auto"/>
              <w:jc w:val="center"/>
              <w:rPr>
                <w:rFonts w:ascii="Arial" w:hAnsi="Arial" w:cs="Arial"/>
                <w:color w:val="000000"/>
                <w:sz w:val="24"/>
                <w:szCs w:val="24"/>
                <w:lang w:eastAsia="es-UY"/>
              </w:rPr>
            </w:pPr>
            <w:r w:rsidRPr="00283F17">
              <w:rPr>
                <w:rFonts w:ascii="Arial" w:hAnsi="Arial" w:cs="Arial"/>
                <w:color w:val="000000"/>
                <w:sz w:val="24"/>
                <w:szCs w:val="24"/>
                <w:lang w:eastAsia="es-UY"/>
              </w:rPr>
              <w:t>19%</w:t>
            </w:r>
          </w:p>
        </w:tc>
      </w:tr>
    </w:tbl>
    <w:p w:rsidR="00283F17" w:rsidRPr="00283F17" w:rsidRDefault="00283F17" w:rsidP="00283F17">
      <w:pPr>
        <w:pStyle w:val="Textoindependiente"/>
        <w:keepNext/>
        <w:suppressAutoHyphens w:val="0"/>
        <w:spacing w:line="360" w:lineRule="auto"/>
        <w:ind w:left="360"/>
        <w:rPr>
          <w:b/>
          <w:bCs/>
        </w:rPr>
      </w:pPr>
    </w:p>
    <w:p w:rsidR="00283F17" w:rsidRPr="00283F17" w:rsidRDefault="00283F17" w:rsidP="00BD50C6">
      <w:pPr>
        <w:keepNext/>
        <w:widowControl w:val="0"/>
        <w:autoSpaceDE w:val="0"/>
        <w:autoSpaceDN w:val="0"/>
        <w:adjustRightInd w:val="0"/>
        <w:spacing w:after="0" w:line="360" w:lineRule="auto"/>
        <w:jc w:val="both"/>
        <w:rPr>
          <w:rFonts w:ascii="Arial" w:hAnsi="Arial" w:cs="Arial"/>
          <w:sz w:val="24"/>
          <w:szCs w:val="24"/>
        </w:rPr>
      </w:pPr>
      <w:r w:rsidRPr="00283F17">
        <w:rPr>
          <w:rFonts w:ascii="Arial" w:hAnsi="Arial" w:cs="Arial"/>
          <w:sz w:val="24"/>
          <w:szCs w:val="24"/>
        </w:rPr>
        <w:t>Se deja constancia que, respecto a la Rendición de Cuentas correspondiente al Ejercicio 2014, este Tribunal aún no emitió opinión, resultando los importes expuestos precedentemente, del documen</w:t>
      </w:r>
      <w:r w:rsidR="000458E5">
        <w:rPr>
          <w:rFonts w:ascii="Arial" w:hAnsi="Arial" w:cs="Arial"/>
          <w:sz w:val="24"/>
          <w:szCs w:val="24"/>
        </w:rPr>
        <w:t>to remitido por la Intendencia.</w:t>
      </w:r>
    </w:p>
    <w:p w:rsidR="00283F17" w:rsidRPr="00283F17" w:rsidRDefault="00283F17" w:rsidP="00BD50C6">
      <w:pPr>
        <w:keepNext/>
        <w:widowControl w:val="0"/>
        <w:autoSpaceDE w:val="0"/>
        <w:autoSpaceDN w:val="0"/>
        <w:adjustRightInd w:val="0"/>
        <w:spacing w:after="0" w:line="360" w:lineRule="auto"/>
        <w:jc w:val="both"/>
        <w:rPr>
          <w:rFonts w:ascii="Arial" w:hAnsi="Arial" w:cs="Arial"/>
          <w:sz w:val="24"/>
          <w:szCs w:val="24"/>
        </w:rPr>
      </w:pPr>
      <w:r w:rsidRPr="00283F17">
        <w:rPr>
          <w:rFonts w:ascii="Arial" w:hAnsi="Arial" w:cs="Arial"/>
          <w:sz w:val="24"/>
          <w:szCs w:val="24"/>
        </w:rPr>
        <w:t>De acuerdo a la información que resulta del Proyecto remitido a consideración de la Junta Departamental, sobre el que este Tribunal emitirá opinión en la instancia procesal dispuesta por la Constitución de la República, se constata lo siguiente:</w:t>
      </w:r>
    </w:p>
    <w:p w:rsidR="00283F17" w:rsidRPr="00283F17" w:rsidRDefault="00283F17" w:rsidP="00A00553">
      <w:pPr>
        <w:pStyle w:val="Prrafodelista"/>
        <w:keepNext/>
        <w:widowControl w:val="0"/>
        <w:numPr>
          <w:ilvl w:val="0"/>
          <w:numId w:val="5"/>
        </w:numPr>
        <w:autoSpaceDE w:val="0"/>
        <w:autoSpaceDN w:val="0"/>
        <w:adjustRightInd w:val="0"/>
        <w:spacing w:after="0" w:line="360" w:lineRule="auto"/>
        <w:jc w:val="both"/>
        <w:rPr>
          <w:rFonts w:ascii="Arial" w:hAnsi="Arial" w:cs="Arial"/>
          <w:sz w:val="24"/>
          <w:szCs w:val="24"/>
        </w:rPr>
      </w:pPr>
      <w:r w:rsidRPr="00283F17">
        <w:rPr>
          <w:rFonts w:ascii="Arial" w:hAnsi="Arial" w:cs="Arial"/>
          <w:sz w:val="24"/>
          <w:szCs w:val="24"/>
        </w:rPr>
        <w:t>La Intendencia prevé ingresos a percibir del fideicomiso del Fondo Capital por un valor de $ 7.834:590.000 a valores de diciembre de 2014 (equivalente a U.I. 2.500:0</w:t>
      </w:r>
      <w:r w:rsidR="000458E5">
        <w:rPr>
          <w:rFonts w:ascii="Arial" w:hAnsi="Arial" w:cs="Arial"/>
          <w:sz w:val="24"/>
          <w:szCs w:val="24"/>
        </w:rPr>
        <w:t>00.000) en los próximos 5 años.</w:t>
      </w:r>
    </w:p>
    <w:p w:rsidR="00283F17" w:rsidRPr="00283F17" w:rsidRDefault="00283F17" w:rsidP="00A00553">
      <w:pPr>
        <w:pStyle w:val="Prrafodelista"/>
        <w:keepNext/>
        <w:widowControl w:val="0"/>
        <w:numPr>
          <w:ilvl w:val="0"/>
          <w:numId w:val="5"/>
        </w:numPr>
        <w:autoSpaceDE w:val="0"/>
        <w:autoSpaceDN w:val="0"/>
        <w:adjustRightInd w:val="0"/>
        <w:spacing w:after="0" w:line="360" w:lineRule="auto"/>
        <w:jc w:val="both"/>
        <w:rPr>
          <w:rFonts w:ascii="Arial" w:hAnsi="Arial" w:cs="Arial"/>
          <w:sz w:val="24"/>
          <w:szCs w:val="24"/>
        </w:rPr>
      </w:pPr>
      <w:r w:rsidRPr="00283F17">
        <w:rPr>
          <w:rFonts w:ascii="Arial" w:hAnsi="Arial" w:cs="Arial"/>
          <w:sz w:val="24"/>
          <w:szCs w:val="24"/>
        </w:rPr>
        <w:t>Los reembolsos previstos al Fondo Capital en el período 2016 – 2020 totalizan $ 1.544:360.000, lo que equivale a un 20 % del total del “Aporte Financiamiento Externo” estimado a percib</w:t>
      </w:r>
      <w:r w:rsidR="000458E5">
        <w:rPr>
          <w:rFonts w:ascii="Arial" w:hAnsi="Arial" w:cs="Arial"/>
          <w:sz w:val="24"/>
          <w:szCs w:val="24"/>
        </w:rPr>
        <w:t>ir por este concepto.</w:t>
      </w:r>
    </w:p>
    <w:p w:rsidR="00283F17" w:rsidRPr="00283F17" w:rsidRDefault="00283F17" w:rsidP="00A00553">
      <w:pPr>
        <w:keepNext/>
        <w:widowControl w:val="0"/>
        <w:autoSpaceDE w:val="0"/>
        <w:autoSpaceDN w:val="0"/>
        <w:adjustRightInd w:val="0"/>
        <w:spacing w:after="0" w:line="360" w:lineRule="auto"/>
        <w:jc w:val="both"/>
        <w:rPr>
          <w:rFonts w:ascii="Arial" w:hAnsi="Arial" w:cs="Arial"/>
          <w:sz w:val="24"/>
          <w:szCs w:val="24"/>
        </w:rPr>
      </w:pPr>
    </w:p>
    <w:p w:rsidR="00283F17" w:rsidRPr="00283F17" w:rsidRDefault="00283F17" w:rsidP="00A00553">
      <w:pPr>
        <w:keepNext/>
        <w:widowControl w:val="0"/>
        <w:autoSpaceDE w:val="0"/>
        <w:autoSpaceDN w:val="0"/>
        <w:adjustRightInd w:val="0"/>
        <w:spacing w:after="0" w:line="360" w:lineRule="auto"/>
        <w:jc w:val="both"/>
        <w:rPr>
          <w:rFonts w:ascii="Arial" w:hAnsi="Arial" w:cs="Arial"/>
          <w:sz w:val="24"/>
          <w:szCs w:val="24"/>
        </w:rPr>
      </w:pPr>
      <w:r w:rsidRPr="00283F17">
        <w:rPr>
          <w:rFonts w:ascii="Arial" w:hAnsi="Arial" w:cs="Arial"/>
          <w:sz w:val="24"/>
          <w:szCs w:val="24"/>
        </w:rPr>
        <w:t>Como ya se señaló en los apartados anteriores, en esta oportunidad la solicitud de endeudamiento es de U.I. 940:000.000, en tanto que el previsto en el Proyecto de Presupuesto Quinquenal 2016-2020 incluye las partidas correspondientes al Fondo Capital de U.I 2.500:000.000 considerado en la solicitud de Informe anterior a este Tribunal.</w:t>
      </w:r>
    </w:p>
    <w:p w:rsidR="00283F17" w:rsidRPr="00283F17" w:rsidRDefault="00283F17" w:rsidP="00A00553">
      <w:pPr>
        <w:keepNext/>
        <w:widowControl w:val="0"/>
        <w:autoSpaceDE w:val="0"/>
        <w:autoSpaceDN w:val="0"/>
        <w:adjustRightInd w:val="0"/>
        <w:spacing w:after="0" w:line="360" w:lineRule="auto"/>
        <w:jc w:val="both"/>
        <w:rPr>
          <w:rFonts w:ascii="Arial" w:hAnsi="Arial" w:cs="Arial"/>
          <w:sz w:val="24"/>
          <w:szCs w:val="24"/>
        </w:rPr>
      </w:pPr>
      <w:r w:rsidRPr="00283F17">
        <w:rPr>
          <w:rFonts w:ascii="Arial" w:hAnsi="Arial" w:cs="Arial"/>
          <w:sz w:val="24"/>
          <w:szCs w:val="24"/>
        </w:rPr>
        <w:t>Por lo tanto, al asumir un endeudamiento menor al original y con la estructura de ingresos y gastos del Proyecto de Presupuesto 2016 - 2020, al final del período la deuda se estima en $ 1.401:000.000, monto que representa  7 veces el superávit anual promedio proyectado.</w:t>
      </w:r>
    </w:p>
    <w:p w:rsidR="00283F17" w:rsidRPr="00283F17" w:rsidRDefault="00283F17" w:rsidP="00283F17">
      <w:pPr>
        <w:keepNext/>
        <w:widowControl w:val="0"/>
        <w:autoSpaceDE w:val="0"/>
        <w:autoSpaceDN w:val="0"/>
        <w:adjustRightInd w:val="0"/>
        <w:spacing w:after="0" w:line="360" w:lineRule="auto"/>
        <w:rPr>
          <w:rFonts w:ascii="Arial" w:hAnsi="Arial" w:cs="Arial"/>
          <w:b/>
          <w:bCs/>
          <w:sz w:val="24"/>
          <w:szCs w:val="24"/>
        </w:rPr>
      </w:pPr>
      <w:r w:rsidRPr="00283F17">
        <w:rPr>
          <w:rFonts w:ascii="Arial" w:hAnsi="Arial" w:cs="Arial"/>
          <w:b/>
          <w:bCs/>
          <w:sz w:val="24"/>
          <w:szCs w:val="24"/>
        </w:rPr>
        <w:t>4) NORMAS Y CRITERIOS APLICABLES</w:t>
      </w:r>
    </w:p>
    <w:p w:rsidR="00283F17" w:rsidRPr="00283F17" w:rsidRDefault="00283F17" w:rsidP="00A00553">
      <w:pPr>
        <w:keepNext/>
        <w:widowControl w:val="0"/>
        <w:autoSpaceDE w:val="0"/>
        <w:autoSpaceDN w:val="0"/>
        <w:adjustRightInd w:val="0"/>
        <w:spacing w:after="0" w:line="360" w:lineRule="auto"/>
        <w:jc w:val="both"/>
        <w:rPr>
          <w:rFonts w:ascii="Arial" w:hAnsi="Arial" w:cs="Arial"/>
          <w:sz w:val="24"/>
          <w:szCs w:val="24"/>
        </w:rPr>
      </w:pPr>
      <w:r w:rsidRPr="00283F17">
        <w:rPr>
          <w:rFonts w:ascii="Arial" w:hAnsi="Arial" w:cs="Arial"/>
          <w:b/>
          <w:bCs/>
          <w:sz w:val="24"/>
          <w:szCs w:val="24"/>
        </w:rPr>
        <w:t xml:space="preserve">4.1- </w:t>
      </w:r>
      <w:r w:rsidRPr="00283F17">
        <w:rPr>
          <w:rFonts w:ascii="Arial" w:hAnsi="Arial" w:cs="Arial"/>
          <w:sz w:val="24"/>
          <w:szCs w:val="24"/>
        </w:rPr>
        <w:t>De conformidad al Artículo 301 Inciso 2) de la Constitución de la República, los Gobiernos Departamentales requieren para contratar préstamos</w:t>
      </w:r>
      <w:proofErr w:type="gramStart"/>
      <w:r w:rsidRPr="00283F17">
        <w:rPr>
          <w:rFonts w:ascii="Arial" w:hAnsi="Arial" w:cs="Arial"/>
          <w:sz w:val="24"/>
          <w:szCs w:val="24"/>
        </w:rPr>
        <w:t>, ”</w:t>
      </w:r>
      <w:proofErr w:type="gramEnd"/>
      <w:r w:rsidRPr="00283F17">
        <w:rPr>
          <w:rFonts w:ascii="Arial" w:hAnsi="Arial" w:cs="Arial"/>
          <w:sz w:val="24"/>
          <w:szCs w:val="24"/>
        </w:rPr>
        <w:t>la iniciativa del Intendente y la aprobación de la mayoría absoluta de votos del total de componentes de la Junta Departamental, previo informe del Tribunal de Cuentas. Si el plazo de los préstamos excediera el período de gobierno del Intendente proponente, se requerirá para su aprobación, los dos tercios de votos del total de componentes de la Junta Departamental”.</w:t>
      </w:r>
    </w:p>
    <w:p w:rsidR="00283F17" w:rsidRPr="00283F17" w:rsidRDefault="00283F17" w:rsidP="00A00553">
      <w:pPr>
        <w:keepNext/>
        <w:widowControl w:val="0"/>
        <w:autoSpaceDE w:val="0"/>
        <w:autoSpaceDN w:val="0"/>
        <w:adjustRightInd w:val="0"/>
        <w:spacing w:after="0" w:line="360" w:lineRule="auto"/>
        <w:jc w:val="both"/>
        <w:rPr>
          <w:rFonts w:ascii="Arial" w:hAnsi="Arial" w:cs="Arial"/>
          <w:sz w:val="24"/>
          <w:szCs w:val="24"/>
        </w:rPr>
      </w:pPr>
      <w:r w:rsidRPr="00283F17">
        <w:rPr>
          <w:rFonts w:ascii="Arial" w:hAnsi="Arial" w:cs="Arial"/>
          <w:b/>
          <w:bCs/>
          <w:sz w:val="24"/>
          <w:szCs w:val="24"/>
        </w:rPr>
        <w:t xml:space="preserve">4.2- </w:t>
      </w:r>
      <w:r w:rsidRPr="00283F17">
        <w:rPr>
          <w:rFonts w:ascii="Arial" w:hAnsi="Arial" w:cs="Arial"/>
          <w:sz w:val="24"/>
          <w:szCs w:val="24"/>
        </w:rPr>
        <w:t>El informe del Tribunal tiene por objeto el control de los aspectos legales de la contratación proyectada, proporcionando, asimismo la información que dispone sobre la evolución de la situación financiera con relación a los recursos del Organismo.</w:t>
      </w:r>
    </w:p>
    <w:p w:rsidR="00283F17" w:rsidRPr="00283F17" w:rsidRDefault="00283F17" w:rsidP="00A00553">
      <w:pPr>
        <w:keepNext/>
        <w:widowControl w:val="0"/>
        <w:autoSpaceDE w:val="0"/>
        <w:autoSpaceDN w:val="0"/>
        <w:adjustRightInd w:val="0"/>
        <w:spacing w:after="0" w:line="360" w:lineRule="auto"/>
        <w:jc w:val="both"/>
        <w:rPr>
          <w:rFonts w:ascii="Arial" w:hAnsi="Arial" w:cs="Arial"/>
          <w:sz w:val="24"/>
          <w:szCs w:val="24"/>
        </w:rPr>
      </w:pPr>
      <w:r w:rsidRPr="00283F17">
        <w:rPr>
          <w:rFonts w:ascii="Arial" w:hAnsi="Arial" w:cs="Arial"/>
          <w:sz w:val="24"/>
          <w:szCs w:val="24"/>
        </w:rPr>
        <w:t xml:space="preserve">Dicho informe, de acuerdo con la norma precitada, debe ser previo </w:t>
      </w:r>
      <w:r w:rsidR="009A3F91">
        <w:rPr>
          <w:rFonts w:ascii="Arial" w:hAnsi="Arial" w:cs="Arial"/>
          <w:sz w:val="24"/>
          <w:szCs w:val="24"/>
        </w:rPr>
        <w:t>al pronunciamiento de la Junta.</w:t>
      </w:r>
    </w:p>
    <w:p w:rsidR="00283F17" w:rsidRPr="00283F17" w:rsidRDefault="00283F17" w:rsidP="00283F17">
      <w:pPr>
        <w:keepNext/>
        <w:widowControl w:val="0"/>
        <w:autoSpaceDE w:val="0"/>
        <w:autoSpaceDN w:val="0"/>
        <w:adjustRightInd w:val="0"/>
        <w:spacing w:after="0" w:line="360" w:lineRule="auto"/>
        <w:rPr>
          <w:rFonts w:ascii="Arial" w:hAnsi="Arial" w:cs="Arial"/>
          <w:b/>
          <w:bCs/>
          <w:sz w:val="24"/>
          <w:szCs w:val="24"/>
        </w:rPr>
      </w:pPr>
    </w:p>
    <w:p w:rsidR="00283F17" w:rsidRPr="00283F17" w:rsidRDefault="00283F17" w:rsidP="00283F17">
      <w:pPr>
        <w:keepNext/>
        <w:widowControl w:val="0"/>
        <w:autoSpaceDE w:val="0"/>
        <w:autoSpaceDN w:val="0"/>
        <w:adjustRightInd w:val="0"/>
        <w:spacing w:after="0" w:line="360" w:lineRule="auto"/>
        <w:rPr>
          <w:rFonts w:ascii="Arial" w:hAnsi="Arial" w:cs="Arial"/>
          <w:b/>
          <w:bCs/>
          <w:sz w:val="24"/>
          <w:szCs w:val="24"/>
        </w:rPr>
      </w:pPr>
      <w:r w:rsidRPr="00283F17">
        <w:rPr>
          <w:rFonts w:ascii="Arial" w:hAnsi="Arial" w:cs="Arial"/>
          <w:b/>
          <w:bCs/>
          <w:sz w:val="24"/>
          <w:szCs w:val="24"/>
        </w:rPr>
        <w:t>5) CONCLUSIONES</w:t>
      </w:r>
    </w:p>
    <w:p w:rsidR="00283F17" w:rsidRPr="00283F17" w:rsidRDefault="00283F17" w:rsidP="00A00553">
      <w:pPr>
        <w:keepNext/>
        <w:widowControl w:val="0"/>
        <w:autoSpaceDE w:val="0"/>
        <w:autoSpaceDN w:val="0"/>
        <w:adjustRightInd w:val="0"/>
        <w:spacing w:after="0" w:line="360" w:lineRule="auto"/>
        <w:jc w:val="both"/>
        <w:rPr>
          <w:rFonts w:ascii="Arial" w:hAnsi="Arial" w:cs="Arial"/>
          <w:sz w:val="24"/>
          <w:szCs w:val="24"/>
        </w:rPr>
      </w:pPr>
      <w:r w:rsidRPr="00283F17">
        <w:rPr>
          <w:rFonts w:ascii="Arial" w:hAnsi="Arial" w:cs="Arial"/>
          <w:b/>
          <w:bCs/>
          <w:sz w:val="24"/>
          <w:szCs w:val="24"/>
        </w:rPr>
        <w:t xml:space="preserve">5.1- </w:t>
      </w:r>
      <w:r w:rsidRPr="00283F17">
        <w:rPr>
          <w:rFonts w:ascii="Arial" w:hAnsi="Arial" w:cs="Arial"/>
          <w:sz w:val="24"/>
          <w:szCs w:val="24"/>
        </w:rPr>
        <w:t>Se ha dado cumplimiento a lo dispuesto por el Artículo 301 Inciso 2) de la Constitución de la República, al solicitarse el informe que compete a este Tribunal, previamente a la anuencia del Legislativo Departamental y a la suscripción del contrato.</w:t>
      </w:r>
    </w:p>
    <w:p w:rsidR="00283F17" w:rsidRPr="00283F17" w:rsidRDefault="00283F17" w:rsidP="00A00553">
      <w:pPr>
        <w:keepNext/>
        <w:widowControl w:val="0"/>
        <w:autoSpaceDE w:val="0"/>
        <w:autoSpaceDN w:val="0"/>
        <w:adjustRightInd w:val="0"/>
        <w:spacing w:after="0" w:line="360" w:lineRule="auto"/>
        <w:jc w:val="both"/>
        <w:rPr>
          <w:rFonts w:ascii="Arial" w:hAnsi="Arial" w:cs="Arial"/>
          <w:sz w:val="24"/>
          <w:szCs w:val="24"/>
        </w:rPr>
      </w:pPr>
      <w:r w:rsidRPr="00283F17">
        <w:rPr>
          <w:rFonts w:ascii="Arial" w:hAnsi="Arial" w:cs="Arial"/>
          <w:b/>
          <w:bCs/>
          <w:sz w:val="24"/>
          <w:szCs w:val="24"/>
        </w:rPr>
        <w:t xml:space="preserve">5.2- </w:t>
      </w:r>
      <w:r w:rsidRPr="00283F17">
        <w:rPr>
          <w:rFonts w:ascii="Arial" w:hAnsi="Arial" w:cs="Arial"/>
          <w:sz w:val="24"/>
          <w:szCs w:val="24"/>
        </w:rPr>
        <w:t>El agente fiduciario por el que se opte (público o privado) determinará el procedimiento de contratación, a los efectos del cumplimiento de la normativa aplicable.</w:t>
      </w:r>
    </w:p>
    <w:p w:rsidR="00283F17" w:rsidRPr="00283F17" w:rsidRDefault="00283F17" w:rsidP="00A00553">
      <w:pPr>
        <w:keepNext/>
        <w:widowControl w:val="0"/>
        <w:autoSpaceDE w:val="0"/>
        <w:autoSpaceDN w:val="0"/>
        <w:adjustRightInd w:val="0"/>
        <w:spacing w:after="0" w:line="360" w:lineRule="auto"/>
        <w:jc w:val="both"/>
        <w:rPr>
          <w:rFonts w:ascii="Arial" w:hAnsi="Arial" w:cs="Arial"/>
          <w:sz w:val="24"/>
          <w:szCs w:val="24"/>
        </w:rPr>
      </w:pPr>
      <w:r w:rsidRPr="00283F17">
        <w:rPr>
          <w:rFonts w:ascii="Arial" w:hAnsi="Arial" w:cs="Arial"/>
          <w:b/>
          <w:bCs/>
          <w:sz w:val="24"/>
          <w:szCs w:val="24"/>
        </w:rPr>
        <w:t xml:space="preserve">5.3- </w:t>
      </w:r>
      <w:r w:rsidRPr="00283F17">
        <w:rPr>
          <w:rFonts w:ascii="Arial" w:hAnsi="Arial" w:cs="Arial"/>
          <w:sz w:val="24"/>
          <w:szCs w:val="24"/>
        </w:rPr>
        <w:t>El presente informe se emite, en el entendido de que se proyecta exclusivamente un Fideicomiso Financiero y no de Administración que incluya la contratación y ejecución de las obras.</w:t>
      </w:r>
    </w:p>
    <w:p w:rsidR="00283F17" w:rsidRPr="00283F17" w:rsidRDefault="00283F17" w:rsidP="00A00553">
      <w:pPr>
        <w:keepNext/>
        <w:widowControl w:val="0"/>
        <w:autoSpaceDE w:val="0"/>
        <w:autoSpaceDN w:val="0"/>
        <w:adjustRightInd w:val="0"/>
        <w:spacing w:after="0" w:line="360" w:lineRule="auto"/>
        <w:jc w:val="both"/>
        <w:rPr>
          <w:rFonts w:ascii="Arial" w:hAnsi="Arial" w:cs="Arial"/>
          <w:sz w:val="24"/>
          <w:szCs w:val="24"/>
        </w:rPr>
      </w:pPr>
      <w:r w:rsidRPr="00283F17">
        <w:rPr>
          <w:rFonts w:ascii="Arial" w:hAnsi="Arial" w:cs="Arial"/>
          <w:b/>
          <w:bCs/>
          <w:sz w:val="24"/>
          <w:szCs w:val="24"/>
        </w:rPr>
        <w:t xml:space="preserve">5.4- </w:t>
      </w:r>
      <w:r w:rsidRPr="00283F17">
        <w:rPr>
          <w:rFonts w:ascii="Arial" w:hAnsi="Arial" w:cs="Arial"/>
          <w:sz w:val="24"/>
          <w:szCs w:val="24"/>
        </w:rPr>
        <w:t>Se deberá hacer la previsión presupuestal de fondos para el pago de las obras, así como de los gastos e intereses derivados del Fideicomiso proyectado.</w:t>
      </w:r>
    </w:p>
    <w:p w:rsidR="00283F17" w:rsidRPr="00283F17" w:rsidRDefault="00283F17" w:rsidP="00A00553">
      <w:pPr>
        <w:keepNext/>
        <w:widowControl w:val="0"/>
        <w:autoSpaceDE w:val="0"/>
        <w:autoSpaceDN w:val="0"/>
        <w:adjustRightInd w:val="0"/>
        <w:spacing w:after="0" w:line="360" w:lineRule="auto"/>
        <w:jc w:val="both"/>
        <w:rPr>
          <w:rFonts w:ascii="Arial" w:hAnsi="Arial" w:cs="Arial"/>
          <w:sz w:val="24"/>
          <w:szCs w:val="24"/>
        </w:rPr>
      </w:pPr>
      <w:r w:rsidRPr="00283F17">
        <w:rPr>
          <w:rFonts w:ascii="Arial" w:hAnsi="Arial" w:cs="Arial"/>
          <w:b/>
          <w:bCs/>
          <w:sz w:val="24"/>
          <w:szCs w:val="24"/>
        </w:rPr>
        <w:t xml:space="preserve">5.5- </w:t>
      </w:r>
      <w:r w:rsidRPr="00283F17">
        <w:rPr>
          <w:rFonts w:ascii="Arial" w:hAnsi="Arial" w:cs="Arial"/>
          <w:sz w:val="24"/>
          <w:szCs w:val="24"/>
        </w:rPr>
        <w:t>El endeudamiento que asumirá la Intendencia, según la presente solicitud de informe por U.I. 940:000.000, está comprendido en la iniciativa presupuestal, sobre la que no corresponde emitir opinión en esta instancia.</w:t>
      </w:r>
    </w:p>
    <w:p w:rsidR="00283F17" w:rsidRPr="00283F17" w:rsidRDefault="00283F17" w:rsidP="00A00553">
      <w:pPr>
        <w:keepNext/>
        <w:widowControl w:val="0"/>
        <w:autoSpaceDE w:val="0"/>
        <w:autoSpaceDN w:val="0"/>
        <w:adjustRightInd w:val="0"/>
        <w:spacing w:after="0" w:line="360" w:lineRule="auto"/>
        <w:jc w:val="both"/>
        <w:rPr>
          <w:rFonts w:ascii="Arial" w:hAnsi="Arial" w:cs="Arial"/>
          <w:sz w:val="24"/>
          <w:szCs w:val="24"/>
        </w:rPr>
      </w:pPr>
      <w:r w:rsidRPr="00283F17">
        <w:rPr>
          <w:rFonts w:ascii="Arial" w:hAnsi="Arial" w:cs="Arial"/>
          <w:b/>
          <w:bCs/>
          <w:sz w:val="24"/>
          <w:szCs w:val="24"/>
        </w:rPr>
        <w:t>5.6-</w:t>
      </w:r>
      <w:r w:rsidRPr="00283F17">
        <w:rPr>
          <w:rFonts w:ascii="Arial" w:hAnsi="Arial" w:cs="Arial"/>
          <w:sz w:val="24"/>
          <w:szCs w:val="24"/>
        </w:rPr>
        <w:t xml:space="preserve"> De otorgarse la anuencia respectiva y </w:t>
      </w:r>
      <w:proofErr w:type="gramStart"/>
      <w:r w:rsidRPr="00283F17">
        <w:rPr>
          <w:rFonts w:ascii="Arial" w:hAnsi="Arial" w:cs="Arial"/>
          <w:sz w:val="24"/>
          <w:szCs w:val="24"/>
        </w:rPr>
        <w:t>culminado</w:t>
      </w:r>
      <w:proofErr w:type="gramEnd"/>
      <w:r w:rsidRPr="00283F17">
        <w:rPr>
          <w:rFonts w:ascii="Arial" w:hAnsi="Arial" w:cs="Arial"/>
          <w:sz w:val="24"/>
          <w:szCs w:val="24"/>
        </w:rPr>
        <w:t xml:space="preserve"> el procedimiento legal de contratación que corresponda, deberá ser sometido por la Intendencia, junto con el contrato o los contratos proyectados, o suscritos ad referéndum, a la intervención preventiva que compete a este Tribunal.</w:t>
      </w:r>
    </w:p>
    <w:p w:rsidR="00283F17" w:rsidRPr="00283F17" w:rsidRDefault="00283F17" w:rsidP="00283F17">
      <w:pPr>
        <w:keepNext/>
        <w:widowControl w:val="0"/>
        <w:autoSpaceDE w:val="0"/>
        <w:autoSpaceDN w:val="0"/>
        <w:adjustRightInd w:val="0"/>
        <w:spacing w:after="0" w:line="360" w:lineRule="auto"/>
        <w:rPr>
          <w:rFonts w:ascii="Arial" w:hAnsi="Arial" w:cs="Arial"/>
          <w:sz w:val="24"/>
          <w:szCs w:val="24"/>
        </w:rPr>
      </w:pPr>
    </w:p>
    <w:p w:rsidR="00283F17" w:rsidRPr="00283F17" w:rsidRDefault="00283F17" w:rsidP="00283F17">
      <w:pPr>
        <w:keepNext/>
        <w:widowControl w:val="0"/>
        <w:autoSpaceDE w:val="0"/>
        <w:autoSpaceDN w:val="0"/>
        <w:adjustRightInd w:val="0"/>
        <w:spacing w:after="0" w:line="360" w:lineRule="auto"/>
        <w:rPr>
          <w:rFonts w:ascii="Arial" w:hAnsi="Arial" w:cs="Arial"/>
          <w:sz w:val="24"/>
          <w:szCs w:val="24"/>
        </w:rPr>
      </w:pPr>
    </w:p>
    <w:p w:rsidR="00F31857" w:rsidRPr="00283F17" w:rsidRDefault="00283F17" w:rsidP="00283F17">
      <w:pPr>
        <w:keepNext/>
        <w:widowControl w:val="0"/>
        <w:autoSpaceDE w:val="0"/>
        <w:autoSpaceDN w:val="0"/>
        <w:adjustRightInd w:val="0"/>
        <w:spacing w:after="0" w:line="360" w:lineRule="auto"/>
        <w:rPr>
          <w:rFonts w:ascii="Arial" w:hAnsi="Arial" w:cs="Arial"/>
          <w:sz w:val="24"/>
          <w:szCs w:val="24"/>
        </w:rPr>
      </w:pPr>
      <w:proofErr w:type="spellStart"/>
      <w:proofErr w:type="gramStart"/>
      <w:r w:rsidRPr="00283F17">
        <w:rPr>
          <w:rFonts w:ascii="Arial" w:hAnsi="Arial" w:cs="Arial"/>
          <w:sz w:val="24"/>
          <w:szCs w:val="24"/>
        </w:rPr>
        <w:t>cr</w:t>
      </w:r>
      <w:proofErr w:type="spellEnd"/>
      <w:proofErr w:type="gramEnd"/>
    </w:p>
    <w:sectPr w:rsidR="00F31857" w:rsidRPr="00283F17" w:rsidSect="0086403F">
      <w:pgSz w:w="11906" w:h="16838" w:code="9"/>
      <w:pgMar w:top="3402"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F91" w:rsidRDefault="009A3F91" w:rsidP="00F6125C">
      <w:pPr>
        <w:spacing w:after="0" w:line="240" w:lineRule="auto"/>
      </w:pPr>
      <w:r>
        <w:separator/>
      </w:r>
    </w:p>
  </w:endnote>
  <w:endnote w:type="continuationSeparator" w:id="0">
    <w:p w:rsidR="009A3F91" w:rsidRDefault="009A3F91" w:rsidP="00F61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F91" w:rsidRDefault="009A3F91" w:rsidP="00F6125C">
      <w:pPr>
        <w:spacing w:after="0" w:line="240" w:lineRule="auto"/>
      </w:pPr>
      <w:r>
        <w:separator/>
      </w:r>
    </w:p>
  </w:footnote>
  <w:footnote w:type="continuationSeparator" w:id="0">
    <w:p w:rsidR="009A3F91" w:rsidRDefault="009A3F91" w:rsidP="00F612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62B9F"/>
    <w:multiLevelType w:val="hybridMultilevel"/>
    <w:tmpl w:val="75C8E958"/>
    <w:lvl w:ilvl="0" w:tplc="7CC63A40">
      <w:start w:val="1"/>
      <w:numFmt w:val="decimal"/>
      <w:lvlText w:val="%1."/>
      <w:lvlJc w:val="left"/>
      <w:pPr>
        <w:ind w:left="720" w:hanging="360"/>
      </w:pPr>
      <w:rPr>
        <w:rFonts w:ascii="Arial" w:hAnsi="Arial" w:cs="Arial" w:hint="default"/>
        <w:b/>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1">
    <w:nsid w:val="2CFE42A1"/>
    <w:multiLevelType w:val="hybridMultilevel"/>
    <w:tmpl w:val="C9E87DC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nsid w:val="471239C1"/>
    <w:multiLevelType w:val="hybridMultilevel"/>
    <w:tmpl w:val="CBB8D77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53F236C9"/>
    <w:multiLevelType w:val="hybridMultilevel"/>
    <w:tmpl w:val="DEF645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5FC16F6"/>
    <w:multiLevelType w:val="hybridMultilevel"/>
    <w:tmpl w:val="FA08ABEC"/>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E46"/>
    <w:rsid w:val="000458E5"/>
    <w:rsid w:val="00046E46"/>
    <w:rsid w:val="00065597"/>
    <w:rsid w:val="00072AE0"/>
    <w:rsid w:val="000B66EA"/>
    <w:rsid w:val="000F4019"/>
    <w:rsid w:val="001079B6"/>
    <w:rsid w:val="00155B69"/>
    <w:rsid w:val="00187A19"/>
    <w:rsid w:val="001C6862"/>
    <w:rsid w:val="001C699C"/>
    <w:rsid w:val="001E54FB"/>
    <w:rsid w:val="00237706"/>
    <w:rsid w:val="00243098"/>
    <w:rsid w:val="002450FC"/>
    <w:rsid w:val="00255F5E"/>
    <w:rsid w:val="00256EF8"/>
    <w:rsid w:val="0026179B"/>
    <w:rsid w:val="0027569D"/>
    <w:rsid w:val="00283F17"/>
    <w:rsid w:val="002A2304"/>
    <w:rsid w:val="002D5D12"/>
    <w:rsid w:val="00330A22"/>
    <w:rsid w:val="00341B8E"/>
    <w:rsid w:val="0037776A"/>
    <w:rsid w:val="003C4D83"/>
    <w:rsid w:val="003D02FE"/>
    <w:rsid w:val="003E1A4D"/>
    <w:rsid w:val="003F0DDB"/>
    <w:rsid w:val="004146BD"/>
    <w:rsid w:val="00425B74"/>
    <w:rsid w:val="00452246"/>
    <w:rsid w:val="00463B27"/>
    <w:rsid w:val="00464E0F"/>
    <w:rsid w:val="00485E5F"/>
    <w:rsid w:val="004945F4"/>
    <w:rsid w:val="004C2B02"/>
    <w:rsid w:val="004E42A0"/>
    <w:rsid w:val="004F6AB6"/>
    <w:rsid w:val="004F77B9"/>
    <w:rsid w:val="005209B3"/>
    <w:rsid w:val="0052409C"/>
    <w:rsid w:val="00543B0E"/>
    <w:rsid w:val="005756F2"/>
    <w:rsid w:val="005F179D"/>
    <w:rsid w:val="005F5F3D"/>
    <w:rsid w:val="0060170B"/>
    <w:rsid w:val="00623740"/>
    <w:rsid w:val="00656F7A"/>
    <w:rsid w:val="00663B00"/>
    <w:rsid w:val="006742ED"/>
    <w:rsid w:val="00696966"/>
    <w:rsid w:val="006A6F35"/>
    <w:rsid w:val="006A7F53"/>
    <w:rsid w:val="006D3BC0"/>
    <w:rsid w:val="006F2B74"/>
    <w:rsid w:val="00725F08"/>
    <w:rsid w:val="00732FCB"/>
    <w:rsid w:val="00742395"/>
    <w:rsid w:val="00777ED3"/>
    <w:rsid w:val="007B013E"/>
    <w:rsid w:val="007D4C63"/>
    <w:rsid w:val="00811245"/>
    <w:rsid w:val="008473FD"/>
    <w:rsid w:val="00862C60"/>
    <w:rsid w:val="0086403F"/>
    <w:rsid w:val="008E35AD"/>
    <w:rsid w:val="008E7EF2"/>
    <w:rsid w:val="00906E44"/>
    <w:rsid w:val="0098286A"/>
    <w:rsid w:val="009A3F91"/>
    <w:rsid w:val="009A59F8"/>
    <w:rsid w:val="009A6550"/>
    <w:rsid w:val="009B1D7D"/>
    <w:rsid w:val="00A00553"/>
    <w:rsid w:val="00A378E4"/>
    <w:rsid w:val="00A410D2"/>
    <w:rsid w:val="00A43B95"/>
    <w:rsid w:val="00A45312"/>
    <w:rsid w:val="00A67C8F"/>
    <w:rsid w:val="00A71693"/>
    <w:rsid w:val="00A81C14"/>
    <w:rsid w:val="00A92F4A"/>
    <w:rsid w:val="00AA18D2"/>
    <w:rsid w:val="00AA540B"/>
    <w:rsid w:val="00AA7B93"/>
    <w:rsid w:val="00AF6ADC"/>
    <w:rsid w:val="00B44B40"/>
    <w:rsid w:val="00B643A1"/>
    <w:rsid w:val="00BD50C6"/>
    <w:rsid w:val="00BF52C2"/>
    <w:rsid w:val="00C01AC1"/>
    <w:rsid w:val="00C06D44"/>
    <w:rsid w:val="00C27A46"/>
    <w:rsid w:val="00C30608"/>
    <w:rsid w:val="00C66EF7"/>
    <w:rsid w:val="00C908FA"/>
    <w:rsid w:val="00CA6A56"/>
    <w:rsid w:val="00CB491C"/>
    <w:rsid w:val="00CE410D"/>
    <w:rsid w:val="00CF0A6E"/>
    <w:rsid w:val="00D4775C"/>
    <w:rsid w:val="00D72F86"/>
    <w:rsid w:val="00D81CA5"/>
    <w:rsid w:val="00E14B82"/>
    <w:rsid w:val="00E30A4E"/>
    <w:rsid w:val="00E637F3"/>
    <w:rsid w:val="00E864A1"/>
    <w:rsid w:val="00EA2E05"/>
    <w:rsid w:val="00EA7A8B"/>
    <w:rsid w:val="00EB7202"/>
    <w:rsid w:val="00EE02CC"/>
    <w:rsid w:val="00EE7FDE"/>
    <w:rsid w:val="00EF0458"/>
    <w:rsid w:val="00F15D27"/>
    <w:rsid w:val="00F31857"/>
    <w:rsid w:val="00F42ABC"/>
    <w:rsid w:val="00F4789A"/>
    <w:rsid w:val="00F52CE4"/>
    <w:rsid w:val="00F6125C"/>
    <w:rsid w:val="00F87D2B"/>
    <w:rsid w:val="00F92724"/>
    <w:rsid w:val="00FA0D63"/>
    <w:rsid w:val="00FB161B"/>
    <w:rsid w:val="00FD33AC"/>
    <w:rsid w:val="00FE1D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paragraph" w:styleId="Ttulo1">
    <w:name w:val="heading 1"/>
    <w:basedOn w:val="Normal"/>
    <w:next w:val="Normal"/>
    <w:link w:val="Ttulo1Car"/>
    <w:uiPriority w:val="99"/>
    <w:qFormat/>
    <w:pPr>
      <w:keepNext/>
      <w:widowControl w:val="0"/>
      <w:suppressAutoHyphens/>
      <w:spacing w:after="0" w:line="240" w:lineRule="auto"/>
      <w:jc w:val="both"/>
      <w:outlineLvl w:val="0"/>
    </w:pPr>
    <w:rPr>
      <w:rFonts w:ascii="Bookman Old Style" w:hAnsi="Bookman Old Style" w:cs="Bookman Old Style"/>
      <w:b/>
      <w:bCs/>
      <w:spacing w:val="-3"/>
      <w:sz w:val="24"/>
      <w:szCs w:val="24"/>
      <w:lang w:val="es-ES_tradnl" w:eastAsia="es-ES"/>
    </w:rPr>
  </w:style>
  <w:style w:type="paragraph" w:styleId="Ttulo2">
    <w:name w:val="heading 2"/>
    <w:basedOn w:val="Normal"/>
    <w:next w:val="Normal"/>
    <w:link w:val="Ttulo2Car"/>
    <w:uiPriority w:val="99"/>
    <w:qFormat/>
    <w:pPr>
      <w:keepNext/>
      <w:widowControl w:val="0"/>
      <w:suppressAutoHyphens/>
      <w:spacing w:after="0" w:line="360" w:lineRule="auto"/>
      <w:ind w:left="1440" w:firstLine="720"/>
      <w:jc w:val="both"/>
      <w:outlineLvl w:val="1"/>
    </w:pPr>
    <w:rPr>
      <w:rFonts w:ascii="Bookman Old Style" w:hAnsi="Bookman Old Style" w:cs="Bookman Old Style"/>
      <w:b/>
      <w:bCs/>
      <w:spacing w:val="-3"/>
      <w:sz w:val="24"/>
      <w:szCs w:val="24"/>
      <w:lang w:val="es-ES_tradnl" w:eastAsia="es-ES"/>
    </w:rPr>
  </w:style>
  <w:style w:type="paragraph" w:styleId="Ttulo7">
    <w:name w:val="heading 7"/>
    <w:basedOn w:val="Normal"/>
    <w:next w:val="Normal"/>
    <w:link w:val="Ttulo7Car"/>
    <w:uiPriority w:val="99"/>
    <w:qFormat/>
    <w:pPr>
      <w:spacing w:before="240" w:after="60" w:line="240" w:lineRule="auto"/>
      <w:outlineLvl w:val="6"/>
    </w:pPr>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Cambria" w:hAnsi="Cambria" w:cs="Cambria"/>
      <w:b/>
      <w:bCs/>
      <w:kern w:val="32"/>
      <w:sz w:val="32"/>
      <w:szCs w:val="32"/>
      <w:lang w:eastAsia="en-US"/>
    </w:rPr>
  </w:style>
  <w:style w:type="character" w:customStyle="1" w:styleId="Ttulo2Car">
    <w:name w:val="Título 2 Car"/>
    <w:basedOn w:val="Fuentedeprrafopredeter"/>
    <w:link w:val="Ttulo2"/>
    <w:uiPriority w:val="99"/>
    <w:rPr>
      <w:rFonts w:ascii="Cambria" w:hAnsi="Cambria" w:cs="Cambria"/>
      <w:b/>
      <w:bCs/>
      <w:i/>
      <w:iCs/>
      <w:sz w:val="28"/>
      <w:szCs w:val="28"/>
      <w:lang w:eastAsia="en-US"/>
    </w:rPr>
  </w:style>
  <w:style w:type="character" w:customStyle="1" w:styleId="Ttulo7Car">
    <w:name w:val="Título 7 Car"/>
    <w:basedOn w:val="Fuentedeprrafopredeter"/>
    <w:link w:val="Ttulo7"/>
    <w:uiPriority w:val="99"/>
    <w:rPr>
      <w:rFonts w:ascii="Times New Roman" w:hAnsi="Times New Roman" w:cs="Times New Roman"/>
      <w:sz w:val="24"/>
      <w:szCs w:val="24"/>
      <w:lang w:eastAsia="en-US"/>
    </w:rPr>
  </w:style>
  <w:style w:type="paragraph" w:styleId="Textoindependiente">
    <w:name w:val="Body Text"/>
    <w:basedOn w:val="Normal"/>
    <w:link w:val="TextoindependienteCar"/>
    <w:uiPriority w:val="99"/>
    <w:pPr>
      <w:widowControl w:val="0"/>
      <w:suppressAutoHyphens/>
      <w:spacing w:after="0" w:line="240" w:lineRule="auto"/>
      <w:jc w:val="both"/>
    </w:pPr>
    <w:rPr>
      <w:rFonts w:ascii="Arial" w:hAnsi="Arial" w:cs="Arial"/>
      <w:spacing w:val="-3"/>
      <w:sz w:val="24"/>
      <w:szCs w:val="24"/>
      <w:lang w:val="es-ES_tradnl" w:eastAsia="es-ES"/>
    </w:rPr>
  </w:style>
  <w:style w:type="character" w:customStyle="1" w:styleId="TextoindependienteCar">
    <w:name w:val="Texto independiente Car"/>
    <w:basedOn w:val="Fuentedeprrafopredeter"/>
    <w:link w:val="Textoindependiente"/>
    <w:uiPriority w:val="99"/>
    <w:rPr>
      <w:rFonts w:ascii="Arial" w:hAnsi="Arial" w:cs="Arial"/>
      <w:snapToGrid w:val="0"/>
      <w:spacing w:val="-3"/>
      <w:sz w:val="20"/>
      <w:szCs w:val="20"/>
      <w:lang w:val="es-ES_tradnl" w:eastAsia="es-ES"/>
    </w:rPr>
  </w:style>
  <w:style w:type="paragraph" w:styleId="Prrafodelista">
    <w:name w:val="List Paragraph"/>
    <w:basedOn w:val="Normal"/>
    <w:uiPriority w:val="34"/>
    <w:qFormat/>
    <w:rsid w:val="006A7F53"/>
    <w:pPr>
      <w:ind w:left="720"/>
      <w:contextualSpacing/>
    </w:pPr>
  </w:style>
  <w:style w:type="paragraph" w:styleId="Encabezado">
    <w:name w:val="header"/>
    <w:basedOn w:val="Normal"/>
    <w:link w:val="EncabezadoCar"/>
    <w:uiPriority w:val="99"/>
    <w:unhideWhenUsed/>
    <w:rsid w:val="00F612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6125C"/>
    <w:rPr>
      <w:rFonts w:ascii="Calibri" w:hAnsi="Calibri" w:cs="Calibri"/>
      <w:lang w:eastAsia="en-US"/>
    </w:rPr>
  </w:style>
  <w:style w:type="paragraph" w:styleId="Piedepgina">
    <w:name w:val="footer"/>
    <w:basedOn w:val="Normal"/>
    <w:link w:val="PiedepginaCar"/>
    <w:uiPriority w:val="99"/>
    <w:unhideWhenUsed/>
    <w:rsid w:val="00F612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6125C"/>
    <w:rPr>
      <w:rFonts w:ascii="Calibri" w:hAnsi="Calibri"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paragraph" w:styleId="Ttulo1">
    <w:name w:val="heading 1"/>
    <w:basedOn w:val="Normal"/>
    <w:next w:val="Normal"/>
    <w:link w:val="Ttulo1Car"/>
    <w:uiPriority w:val="99"/>
    <w:qFormat/>
    <w:pPr>
      <w:keepNext/>
      <w:widowControl w:val="0"/>
      <w:suppressAutoHyphens/>
      <w:spacing w:after="0" w:line="240" w:lineRule="auto"/>
      <w:jc w:val="both"/>
      <w:outlineLvl w:val="0"/>
    </w:pPr>
    <w:rPr>
      <w:rFonts w:ascii="Bookman Old Style" w:hAnsi="Bookman Old Style" w:cs="Bookman Old Style"/>
      <w:b/>
      <w:bCs/>
      <w:spacing w:val="-3"/>
      <w:sz w:val="24"/>
      <w:szCs w:val="24"/>
      <w:lang w:val="es-ES_tradnl" w:eastAsia="es-ES"/>
    </w:rPr>
  </w:style>
  <w:style w:type="paragraph" w:styleId="Ttulo2">
    <w:name w:val="heading 2"/>
    <w:basedOn w:val="Normal"/>
    <w:next w:val="Normal"/>
    <w:link w:val="Ttulo2Car"/>
    <w:uiPriority w:val="99"/>
    <w:qFormat/>
    <w:pPr>
      <w:keepNext/>
      <w:widowControl w:val="0"/>
      <w:suppressAutoHyphens/>
      <w:spacing w:after="0" w:line="360" w:lineRule="auto"/>
      <w:ind w:left="1440" w:firstLine="720"/>
      <w:jc w:val="both"/>
      <w:outlineLvl w:val="1"/>
    </w:pPr>
    <w:rPr>
      <w:rFonts w:ascii="Bookman Old Style" w:hAnsi="Bookman Old Style" w:cs="Bookman Old Style"/>
      <w:b/>
      <w:bCs/>
      <w:spacing w:val="-3"/>
      <w:sz w:val="24"/>
      <w:szCs w:val="24"/>
      <w:lang w:val="es-ES_tradnl" w:eastAsia="es-ES"/>
    </w:rPr>
  </w:style>
  <w:style w:type="paragraph" w:styleId="Ttulo7">
    <w:name w:val="heading 7"/>
    <w:basedOn w:val="Normal"/>
    <w:next w:val="Normal"/>
    <w:link w:val="Ttulo7Car"/>
    <w:uiPriority w:val="99"/>
    <w:qFormat/>
    <w:pPr>
      <w:spacing w:before="240" w:after="60" w:line="240" w:lineRule="auto"/>
      <w:outlineLvl w:val="6"/>
    </w:pPr>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Cambria" w:hAnsi="Cambria" w:cs="Cambria"/>
      <w:b/>
      <w:bCs/>
      <w:kern w:val="32"/>
      <w:sz w:val="32"/>
      <w:szCs w:val="32"/>
      <w:lang w:eastAsia="en-US"/>
    </w:rPr>
  </w:style>
  <w:style w:type="character" w:customStyle="1" w:styleId="Ttulo2Car">
    <w:name w:val="Título 2 Car"/>
    <w:basedOn w:val="Fuentedeprrafopredeter"/>
    <w:link w:val="Ttulo2"/>
    <w:uiPriority w:val="99"/>
    <w:rPr>
      <w:rFonts w:ascii="Cambria" w:hAnsi="Cambria" w:cs="Cambria"/>
      <w:b/>
      <w:bCs/>
      <w:i/>
      <w:iCs/>
      <w:sz w:val="28"/>
      <w:szCs w:val="28"/>
      <w:lang w:eastAsia="en-US"/>
    </w:rPr>
  </w:style>
  <w:style w:type="character" w:customStyle="1" w:styleId="Ttulo7Car">
    <w:name w:val="Título 7 Car"/>
    <w:basedOn w:val="Fuentedeprrafopredeter"/>
    <w:link w:val="Ttulo7"/>
    <w:uiPriority w:val="99"/>
    <w:rPr>
      <w:rFonts w:ascii="Times New Roman" w:hAnsi="Times New Roman" w:cs="Times New Roman"/>
      <w:sz w:val="24"/>
      <w:szCs w:val="24"/>
      <w:lang w:eastAsia="en-US"/>
    </w:rPr>
  </w:style>
  <w:style w:type="paragraph" w:styleId="Textoindependiente">
    <w:name w:val="Body Text"/>
    <w:basedOn w:val="Normal"/>
    <w:link w:val="TextoindependienteCar"/>
    <w:uiPriority w:val="99"/>
    <w:pPr>
      <w:widowControl w:val="0"/>
      <w:suppressAutoHyphens/>
      <w:spacing w:after="0" w:line="240" w:lineRule="auto"/>
      <w:jc w:val="both"/>
    </w:pPr>
    <w:rPr>
      <w:rFonts w:ascii="Arial" w:hAnsi="Arial" w:cs="Arial"/>
      <w:spacing w:val="-3"/>
      <w:sz w:val="24"/>
      <w:szCs w:val="24"/>
      <w:lang w:val="es-ES_tradnl" w:eastAsia="es-ES"/>
    </w:rPr>
  </w:style>
  <w:style w:type="character" w:customStyle="1" w:styleId="TextoindependienteCar">
    <w:name w:val="Texto independiente Car"/>
    <w:basedOn w:val="Fuentedeprrafopredeter"/>
    <w:link w:val="Textoindependiente"/>
    <w:uiPriority w:val="99"/>
    <w:rPr>
      <w:rFonts w:ascii="Arial" w:hAnsi="Arial" w:cs="Arial"/>
      <w:snapToGrid w:val="0"/>
      <w:spacing w:val="-3"/>
      <w:sz w:val="20"/>
      <w:szCs w:val="20"/>
      <w:lang w:val="es-ES_tradnl" w:eastAsia="es-ES"/>
    </w:rPr>
  </w:style>
  <w:style w:type="paragraph" w:styleId="Prrafodelista">
    <w:name w:val="List Paragraph"/>
    <w:basedOn w:val="Normal"/>
    <w:uiPriority w:val="34"/>
    <w:qFormat/>
    <w:rsid w:val="006A7F53"/>
    <w:pPr>
      <w:ind w:left="720"/>
      <w:contextualSpacing/>
    </w:pPr>
  </w:style>
  <w:style w:type="paragraph" w:styleId="Encabezado">
    <w:name w:val="header"/>
    <w:basedOn w:val="Normal"/>
    <w:link w:val="EncabezadoCar"/>
    <w:uiPriority w:val="99"/>
    <w:unhideWhenUsed/>
    <w:rsid w:val="00F612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6125C"/>
    <w:rPr>
      <w:rFonts w:ascii="Calibri" w:hAnsi="Calibri" w:cs="Calibri"/>
      <w:lang w:eastAsia="en-US"/>
    </w:rPr>
  </w:style>
  <w:style w:type="paragraph" w:styleId="Piedepgina">
    <w:name w:val="footer"/>
    <w:basedOn w:val="Normal"/>
    <w:link w:val="PiedepginaCar"/>
    <w:uiPriority w:val="99"/>
    <w:unhideWhenUsed/>
    <w:rsid w:val="00F612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6125C"/>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6ACAE-E3B8-4924-BCFE-C9F24C20C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1355</Words>
  <Characters>7361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CARPETA N° 2015-17-1-0007436            Montevideo, 1  de diciembre de 2015</vt:lpstr>
    </vt:vector>
  </TitlesOfParts>
  <Company/>
  <LinksUpToDate>false</LinksUpToDate>
  <CharactersWithSpaces>8699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2015-17-1-0007436            Montevideo, 1  de diciembre de 2015</dc:title>
  <dc:creator>Tribunal1</dc:creator>
  <cp:lastModifiedBy> </cp:lastModifiedBy>
  <cp:revision>3</cp:revision>
  <cp:lastPrinted>2016-01-20T15:10:00Z</cp:lastPrinted>
  <dcterms:created xsi:type="dcterms:W3CDTF">2016-01-20T15:11:00Z</dcterms:created>
  <dcterms:modified xsi:type="dcterms:W3CDTF">2016-02-26T18:12:00Z</dcterms:modified>
</cp:coreProperties>
</file>