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72B" w:rsidRPr="00F9472B" w:rsidRDefault="00F9472B" w:rsidP="00F9472B">
      <w:pPr>
        <w:tabs>
          <w:tab w:val="center" w:pos="4253"/>
        </w:tabs>
        <w:suppressAutoHyphens/>
        <w:spacing w:after="0" w:line="240" w:lineRule="auto"/>
        <w:jc w:val="right"/>
        <w:rPr>
          <w:rFonts w:ascii="Arial" w:hAnsi="Arial" w:cs="Arial"/>
          <w:b/>
          <w:sz w:val="24"/>
          <w:szCs w:val="24"/>
          <w:lang w:val="es-ES_tradnl"/>
        </w:rPr>
      </w:pPr>
      <w:bookmarkStart w:id="0" w:name="_GoBack"/>
      <w:bookmarkEnd w:id="0"/>
      <w:r w:rsidRPr="00F9472B">
        <w:rPr>
          <w:rFonts w:ascii="Arial" w:hAnsi="Arial" w:cs="Arial"/>
          <w:b/>
          <w:sz w:val="24"/>
          <w:szCs w:val="24"/>
          <w:lang w:val="es-ES_tradnl"/>
        </w:rPr>
        <w:t xml:space="preserve">RES. </w:t>
      </w:r>
      <w:r>
        <w:rPr>
          <w:rFonts w:ascii="Arial" w:hAnsi="Arial" w:cs="Arial"/>
          <w:b/>
          <w:sz w:val="24"/>
          <w:szCs w:val="24"/>
          <w:lang w:val="es-ES_tradnl"/>
        </w:rPr>
        <w:t>118</w:t>
      </w:r>
      <w:r w:rsidRPr="00F9472B">
        <w:rPr>
          <w:rFonts w:ascii="Arial" w:hAnsi="Arial" w:cs="Arial"/>
          <w:b/>
          <w:sz w:val="24"/>
          <w:szCs w:val="24"/>
          <w:lang w:val="es-ES_tradnl"/>
        </w:rPr>
        <w:t>/16</w:t>
      </w:r>
    </w:p>
    <w:p w:rsidR="00F9472B" w:rsidRPr="00F9472B" w:rsidRDefault="00F9472B" w:rsidP="00F9472B">
      <w:pPr>
        <w:tabs>
          <w:tab w:val="center" w:pos="4253"/>
        </w:tabs>
        <w:suppressAutoHyphens/>
        <w:spacing w:after="0" w:line="240" w:lineRule="auto"/>
        <w:jc w:val="center"/>
        <w:rPr>
          <w:rFonts w:ascii="Arial" w:hAnsi="Arial" w:cs="Arial"/>
          <w:b/>
          <w:sz w:val="24"/>
          <w:szCs w:val="24"/>
          <w:lang w:val="es-ES_tradnl"/>
        </w:rPr>
      </w:pPr>
    </w:p>
    <w:p w:rsidR="00F9472B" w:rsidRPr="00F9472B" w:rsidRDefault="00F9472B" w:rsidP="00F9472B">
      <w:pPr>
        <w:tabs>
          <w:tab w:val="center" w:pos="4253"/>
        </w:tabs>
        <w:suppressAutoHyphens/>
        <w:spacing w:after="0" w:line="240" w:lineRule="auto"/>
        <w:jc w:val="center"/>
        <w:rPr>
          <w:rFonts w:ascii="Arial" w:hAnsi="Arial" w:cs="Arial"/>
          <w:b/>
          <w:sz w:val="24"/>
          <w:szCs w:val="24"/>
          <w:lang w:val="es-ES_tradnl"/>
        </w:rPr>
      </w:pPr>
      <w:r w:rsidRPr="00F9472B">
        <w:rPr>
          <w:rFonts w:ascii="Arial" w:hAnsi="Arial" w:cs="Arial"/>
          <w:b/>
          <w:sz w:val="24"/>
          <w:szCs w:val="24"/>
          <w:lang w:val="es-ES_tradnl"/>
        </w:rPr>
        <w:t>RESOLUCION ADOPTADA POR EL</w:t>
      </w:r>
    </w:p>
    <w:p w:rsidR="00F9472B" w:rsidRPr="00F9472B" w:rsidRDefault="00F9472B" w:rsidP="00F9472B">
      <w:pPr>
        <w:tabs>
          <w:tab w:val="left" w:pos="-720"/>
        </w:tabs>
        <w:suppressAutoHyphens/>
        <w:spacing w:after="0" w:line="240" w:lineRule="auto"/>
        <w:jc w:val="center"/>
        <w:rPr>
          <w:rFonts w:ascii="Arial" w:hAnsi="Arial" w:cs="Arial"/>
          <w:b/>
          <w:sz w:val="24"/>
          <w:szCs w:val="24"/>
          <w:lang w:val="es-ES_tradnl"/>
        </w:rPr>
      </w:pPr>
    </w:p>
    <w:p w:rsidR="00F9472B" w:rsidRPr="00F9472B" w:rsidRDefault="00F9472B" w:rsidP="00F9472B">
      <w:pPr>
        <w:tabs>
          <w:tab w:val="center" w:pos="4253"/>
        </w:tabs>
        <w:suppressAutoHyphens/>
        <w:spacing w:after="0" w:line="240" w:lineRule="auto"/>
        <w:jc w:val="center"/>
        <w:rPr>
          <w:rFonts w:ascii="Arial" w:hAnsi="Arial" w:cs="Arial"/>
          <w:b/>
          <w:sz w:val="24"/>
          <w:szCs w:val="24"/>
          <w:lang w:val="es-ES_tradnl"/>
        </w:rPr>
      </w:pPr>
      <w:r w:rsidRPr="00F9472B">
        <w:rPr>
          <w:rFonts w:ascii="Arial" w:hAnsi="Arial" w:cs="Arial"/>
          <w:b/>
          <w:sz w:val="24"/>
          <w:szCs w:val="24"/>
          <w:lang w:val="es-ES_tradnl"/>
        </w:rPr>
        <w:t>TRIBUNAL DE CUENTAS</w:t>
      </w:r>
    </w:p>
    <w:p w:rsidR="00F9472B" w:rsidRPr="00F9472B" w:rsidRDefault="00F9472B" w:rsidP="00F9472B">
      <w:pPr>
        <w:tabs>
          <w:tab w:val="left" w:pos="-720"/>
        </w:tabs>
        <w:suppressAutoHyphens/>
        <w:spacing w:after="0" w:line="240" w:lineRule="auto"/>
        <w:jc w:val="center"/>
        <w:rPr>
          <w:rFonts w:ascii="Arial" w:hAnsi="Arial" w:cs="Arial"/>
          <w:b/>
          <w:sz w:val="24"/>
          <w:szCs w:val="24"/>
          <w:lang w:val="es-ES_tradnl"/>
        </w:rPr>
      </w:pPr>
    </w:p>
    <w:p w:rsidR="00F9472B" w:rsidRPr="00F9472B" w:rsidRDefault="00F9472B" w:rsidP="00F9472B">
      <w:pPr>
        <w:tabs>
          <w:tab w:val="center" w:pos="4253"/>
        </w:tabs>
        <w:suppressAutoHyphens/>
        <w:spacing w:after="0" w:line="240" w:lineRule="auto"/>
        <w:jc w:val="center"/>
        <w:rPr>
          <w:rFonts w:ascii="Arial" w:hAnsi="Arial" w:cs="Arial"/>
          <w:b/>
          <w:sz w:val="24"/>
          <w:szCs w:val="24"/>
          <w:lang w:val="es-ES_tradnl"/>
        </w:rPr>
      </w:pPr>
      <w:r w:rsidRPr="00F9472B">
        <w:rPr>
          <w:rFonts w:ascii="Arial" w:hAnsi="Arial" w:cs="Arial"/>
          <w:b/>
          <w:sz w:val="24"/>
          <w:szCs w:val="24"/>
          <w:lang w:val="es-ES_tradnl"/>
        </w:rPr>
        <w:t>EN SESION DE FECHA 20 DE ENERO DE 2016</w:t>
      </w:r>
    </w:p>
    <w:p w:rsidR="00F9472B" w:rsidRPr="00F9472B" w:rsidRDefault="00F9472B" w:rsidP="00F9472B">
      <w:pPr>
        <w:tabs>
          <w:tab w:val="center" w:pos="4253"/>
        </w:tabs>
        <w:suppressAutoHyphens/>
        <w:spacing w:after="0" w:line="240" w:lineRule="auto"/>
        <w:jc w:val="center"/>
        <w:rPr>
          <w:rFonts w:ascii="Arial" w:hAnsi="Arial" w:cs="Arial"/>
          <w:b/>
          <w:sz w:val="24"/>
          <w:szCs w:val="24"/>
          <w:lang w:val="es-ES_tradnl"/>
        </w:rPr>
      </w:pPr>
    </w:p>
    <w:p w:rsidR="00F9472B" w:rsidRPr="00F9472B" w:rsidRDefault="00F9472B" w:rsidP="00F9472B">
      <w:pPr>
        <w:tabs>
          <w:tab w:val="center" w:pos="4253"/>
        </w:tabs>
        <w:suppressAutoHyphens/>
        <w:spacing w:after="0" w:line="240" w:lineRule="auto"/>
        <w:jc w:val="center"/>
        <w:rPr>
          <w:rFonts w:ascii="Arial" w:hAnsi="Arial" w:cs="Arial"/>
          <w:b/>
          <w:sz w:val="24"/>
          <w:szCs w:val="24"/>
          <w:lang w:val="es-ES"/>
        </w:rPr>
      </w:pPr>
      <w:r w:rsidRPr="00F9472B">
        <w:rPr>
          <w:rFonts w:ascii="Arial" w:hAnsi="Arial" w:cs="Arial"/>
          <w:b/>
          <w:sz w:val="24"/>
          <w:szCs w:val="24"/>
          <w:lang w:val="es-ES"/>
        </w:rPr>
        <w:t xml:space="preserve">(E. E. Nº 2015-17-1-0004506, </w:t>
      </w:r>
      <w:proofErr w:type="spellStart"/>
      <w:r w:rsidRPr="00F9472B">
        <w:rPr>
          <w:rFonts w:ascii="Arial" w:hAnsi="Arial" w:cs="Arial"/>
          <w:b/>
          <w:sz w:val="24"/>
          <w:szCs w:val="24"/>
          <w:lang w:val="es-ES"/>
        </w:rPr>
        <w:t>Ent</w:t>
      </w:r>
      <w:proofErr w:type="spellEnd"/>
      <w:r w:rsidRPr="00F9472B">
        <w:rPr>
          <w:rFonts w:ascii="Arial" w:hAnsi="Arial" w:cs="Arial"/>
          <w:b/>
          <w:sz w:val="24"/>
          <w:szCs w:val="24"/>
          <w:lang w:val="es-ES"/>
        </w:rPr>
        <w:t>. N° 3673/15)</w:t>
      </w:r>
    </w:p>
    <w:p w:rsidR="00F9472B" w:rsidRDefault="00F9472B">
      <w:pPr>
        <w:tabs>
          <w:tab w:val="center" w:pos="4253"/>
        </w:tabs>
        <w:suppressAutoHyphens/>
        <w:jc w:val="center"/>
        <w:rPr>
          <w:rFonts w:ascii="Arial" w:hAnsi="Arial" w:cs="Arial"/>
          <w:b/>
          <w:lang w:val="es-ES"/>
        </w:rPr>
      </w:pPr>
    </w:p>
    <w:p w:rsidR="00FF63B7" w:rsidRPr="00F9472B" w:rsidRDefault="00FF63B7">
      <w:pPr>
        <w:tabs>
          <w:tab w:val="center" w:pos="4253"/>
        </w:tabs>
        <w:suppressAutoHyphens/>
        <w:jc w:val="center"/>
        <w:rPr>
          <w:rFonts w:ascii="Arial" w:hAnsi="Arial" w:cs="Arial"/>
          <w:b/>
          <w:lang w:val="es-ES"/>
        </w:rPr>
      </w:pPr>
    </w:p>
    <w:p w:rsidR="0077264F" w:rsidRPr="00354A6B" w:rsidRDefault="0077264F" w:rsidP="001878F8">
      <w:pPr>
        <w:suppressAutoHyphens/>
        <w:spacing w:after="0" w:line="360" w:lineRule="auto"/>
        <w:ind w:firstLine="851"/>
        <w:jc w:val="both"/>
        <w:rPr>
          <w:rFonts w:ascii="Arial" w:eastAsia="Times New Roman" w:hAnsi="Arial" w:cs="Arial"/>
          <w:kern w:val="1"/>
          <w:sz w:val="24"/>
          <w:szCs w:val="20"/>
          <w:lang w:val="es-ES_tradnl" w:eastAsia="ar-SA"/>
        </w:rPr>
      </w:pPr>
      <w:r w:rsidRPr="00354A6B">
        <w:rPr>
          <w:rFonts w:ascii="Arial" w:eastAsia="Times New Roman" w:hAnsi="Arial" w:cs="Arial"/>
          <w:b/>
          <w:kern w:val="1"/>
          <w:sz w:val="24"/>
          <w:szCs w:val="20"/>
          <w:lang w:val="es-ES_tradnl" w:eastAsia="ar-SA"/>
        </w:rPr>
        <w:t>VISTO:</w:t>
      </w:r>
      <w:r w:rsidRPr="00354A6B">
        <w:rPr>
          <w:rFonts w:ascii="Arial" w:eastAsia="Times New Roman" w:hAnsi="Arial" w:cs="Arial"/>
          <w:kern w:val="1"/>
          <w:sz w:val="24"/>
          <w:szCs w:val="20"/>
          <w:lang w:val="es-ES_tradnl" w:eastAsia="ar-SA"/>
        </w:rPr>
        <w:t xml:space="preserve"> la Rendición de Cuentas y Balance de Ejecución Presupuestal de la Intendencia de </w:t>
      </w:r>
      <w:r>
        <w:rPr>
          <w:rFonts w:ascii="Arial" w:eastAsia="Times New Roman" w:hAnsi="Arial" w:cs="Arial"/>
          <w:kern w:val="1"/>
          <w:sz w:val="24"/>
          <w:szCs w:val="20"/>
          <w:lang w:val="es-ES_tradnl" w:eastAsia="ar-SA"/>
        </w:rPr>
        <w:t>Durazno</w:t>
      </w:r>
      <w:r w:rsidRPr="00354A6B">
        <w:rPr>
          <w:rFonts w:ascii="Arial" w:eastAsia="Times New Roman" w:hAnsi="Arial" w:cs="Arial"/>
          <w:kern w:val="1"/>
          <w:sz w:val="24"/>
          <w:szCs w:val="20"/>
          <w:lang w:val="es-ES_tradnl" w:eastAsia="ar-SA"/>
        </w:rPr>
        <w:t xml:space="preserve"> correspondiente al </w:t>
      </w:r>
      <w:r w:rsidR="001878F8">
        <w:rPr>
          <w:rFonts w:ascii="Arial" w:eastAsia="Times New Roman" w:hAnsi="Arial" w:cs="Arial"/>
          <w:kern w:val="1"/>
          <w:sz w:val="24"/>
          <w:szCs w:val="20"/>
          <w:lang w:val="es-ES_tradnl" w:eastAsia="ar-SA"/>
        </w:rPr>
        <w:t>E</w:t>
      </w:r>
      <w:r w:rsidRPr="00354A6B">
        <w:rPr>
          <w:rFonts w:ascii="Arial" w:eastAsia="Times New Roman" w:hAnsi="Arial" w:cs="Arial"/>
          <w:kern w:val="1"/>
          <w:sz w:val="24"/>
          <w:szCs w:val="20"/>
          <w:lang w:val="es-ES_tradnl" w:eastAsia="ar-SA"/>
        </w:rPr>
        <w:t>jercicio 201</w:t>
      </w:r>
      <w:r>
        <w:rPr>
          <w:rFonts w:ascii="Arial" w:eastAsia="Times New Roman" w:hAnsi="Arial" w:cs="Arial"/>
          <w:kern w:val="1"/>
          <w:sz w:val="24"/>
          <w:szCs w:val="20"/>
          <w:lang w:val="es-ES_tradnl" w:eastAsia="ar-SA"/>
        </w:rPr>
        <w:t>4</w:t>
      </w:r>
      <w:r w:rsidRPr="00354A6B">
        <w:rPr>
          <w:rFonts w:ascii="Arial" w:eastAsia="Times New Roman" w:hAnsi="Arial" w:cs="Arial"/>
          <w:kern w:val="1"/>
          <w:sz w:val="24"/>
          <w:szCs w:val="20"/>
          <w:lang w:val="es-ES_tradnl" w:eastAsia="ar-SA"/>
        </w:rPr>
        <w:t>;</w:t>
      </w:r>
    </w:p>
    <w:p w:rsidR="0077264F" w:rsidRPr="00354A6B" w:rsidRDefault="0077264F" w:rsidP="001878F8">
      <w:pPr>
        <w:suppressAutoHyphens/>
        <w:spacing w:after="0" w:line="360" w:lineRule="auto"/>
        <w:ind w:firstLine="851"/>
        <w:jc w:val="both"/>
        <w:rPr>
          <w:rFonts w:ascii="Arial" w:eastAsia="Times New Roman" w:hAnsi="Arial" w:cs="Arial"/>
          <w:kern w:val="1"/>
          <w:sz w:val="24"/>
          <w:szCs w:val="20"/>
          <w:lang w:val="es-ES_tradnl" w:eastAsia="ar-SA"/>
        </w:rPr>
      </w:pPr>
      <w:r w:rsidRPr="00354A6B">
        <w:rPr>
          <w:rFonts w:ascii="Arial" w:eastAsia="Times New Roman" w:hAnsi="Arial" w:cs="Arial"/>
          <w:b/>
          <w:kern w:val="1"/>
          <w:sz w:val="24"/>
          <w:szCs w:val="20"/>
          <w:lang w:val="es-ES_tradnl" w:eastAsia="ar-SA"/>
        </w:rPr>
        <w:t xml:space="preserve">RESULTANDO: </w:t>
      </w:r>
      <w:r w:rsidRPr="00354A6B">
        <w:rPr>
          <w:rFonts w:ascii="Arial" w:eastAsia="Times New Roman" w:hAnsi="Arial" w:cs="Arial"/>
          <w:kern w:val="18"/>
          <w:sz w:val="24"/>
          <w:szCs w:val="20"/>
          <w:lang w:val="es-ES_tradnl" w:eastAsia="ar-SA"/>
        </w:rPr>
        <w:t xml:space="preserve">que el examen se efectuó de acuerdo con los Principios Fundamentales de Auditoría (ISSAI 100 y 200) y las Directrices de Auditoría Financiera (ISSAI </w:t>
      </w:r>
      <w:smartTag w:uri="urn:schemas-microsoft-com:office:smarttags" w:element="metricconverter">
        <w:smartTagPr>
          <w:attr w:name="ProductID" w:val="1000 a"/>
        </w:smartTagPr>
        <w:r w:rsidRPr="00354A6B">
          <w:rPr>
            <w:rFonts w:ascii="Arial" w:eastAsia="Times New Roman" w:hAnsi="Arial" w:cs="Arial"/>
            <w:kern w:val="18"/>
            <w:sz w:val="24"/>
            <w:szCs w:val="20"/>
            <w:lang w:val="es-ES_tradnl" w:eastAsia="ar-SA"/>
          </w:rPr>
          <w:t>1000 a</w:t>
        </w:r>
      </w:smartTag>
      <w:r w:rsidRPr="00354A6B">
        <w:rPr>
          <w:rFonts w:ascii="Arial" w:eastAsia="Times New Roman" w:hAnsi="Arial" w:cs="Arial"/>
          <w:kern w:val="18"/>
          <w:sz w:val="24"/>
          <w:szCs w:val="20"/>
          <w:lang w:val="es-ES_tradnl" w:eastAsia="ar-SA"/>
        </w:rPr>
        <w:t xml:space="preserve"> 1810) de </w:t>
      </w:r>
      <w:smartTag w:uri="urn:schemas-microsoft-com:office:smarttags" w:element="PersonName">
        <w:smartTagPr>
          <w:attr w:name="ProductID" w:val="la Organizaci￳n Internacional"/>
        </w:smartTagPr>
        <w:r w:rsidRPr="00354A6B">
          <w:rPr>
            <w:rFonts w:ascii="Arial" w:eastAsia="Times New Roman" w:hAnsi="Arial" w:cs="Arial"/>
            <w:kern w:val="18"/>
            <w:sz w:val="24"/>
            <w:szCs w:val="20"/>
            <w:lang w:val="es-ES_tradnl" w:eastAsia="ar-SA"/>
          </w:rPr>
          <w:t>la Organización Internacional</w:t>
        </w:r>
      </w:smartTag>
      <w:r w:rsidRPr="00354A6B">
        <w:rPr>
          <w:rFonts w:ascii="Arial" w:eastAsia="Times New Roman" w:hAnsi="Arial" w:cs="Arial"/>
          <w:kern w:val="18"/>
          <w:sz w:val="24"/>
          <w:szCs w:val="20"/>
          <w:lang w:val="es-ES_tradnl" w:eastAsia="ar-SA"/>
        </w:rPr>
        <w:t xml:space="preserve"> de Entidades Fiscalizadoras Superiores (INTOSAI), habiéndose llevado a cabo los procedimientos considerados necesarios en las circunstancias;</w:t>
      </w:r>
    </w:p>
    <w:p w:rsidR="0077264F" w:rsidRPr="00354A6B" w:rsidRDefault="0077264F" w:rsidP="001878F8">
      <w:pPr>
        <w:suppressAutoHyphens/>
        <w:spacing w:after="0" w:line="360" w:lineRule="auto"/>
        <w:ind w:firstLine="851"/>
        <w:jc w:val="both"/>
        <w:rPr>
          <w:rFonts w:ascii="Arial" w:eastAsia="Times New Roman" w:hAnsi="Arial" w:cs="Arial"/>
          <w:kern w:val="1"/>
          <w:sz w:val="24"/>
          <w:szCs w:val="20"/>
          <w:lang w:val="es-ES_tradnl" w:eastAsia="ar-SA"/>
        </w:rPr>
      </w:pPr>
      <w:r w:rsidRPr="00354A6B">
        <w:rPr>
          <w:rFonts w:ascii="Arial" w:eastAsia="Times New Roman" w:hAnsi="Arial" w:cs="Arial"/>
          <w:b/>
          <w:kern w:val="1"/>
          <w:sz w:val="24"/>
          <w:szCs w:val="20"/>
          <w:lang w:val="es-ES_tradnl" w:eastAsia="ar-SA"/>
        </w:rPr>
        <w:t xml:space="preserve">CONSIDERANDO: </w:t>
      </w:r>
      <w:r w:rsidRPr="00354A6B">
        <w:rPr>
          <w:rFonts w:ascii="Arial" w:eastAsia="Times New Roman" w:hAnsi="Arial" w:cs="Arial"/>
          <w:kern w:val="1"/>
          <w:sz w:val="24"/>
          <w:szCs w:val="20"/>
          <w:lang w:val="es-ES_tradnl" w:eastAsia="ar-SA"/>
        </w:rPr>
        <w:t>que las conclusiones y evidencias obtenidas son las que se expresan en el Informe de Auditoría, que incluye Dictamen e Informe a la Administración;</w:t>
      </w:r>
    </w:p>
    <w:p w:rsidR="0077264F" w:rsidRPr="00354A6B" w:rsidRDefault="0077264F" w:rsidP="001878F8">
      <w:pPr>
        <w:suppressAutoHyphens/>
        <w:spacing w:after="0" w:line="360" w:lineRule="auto"/>
        <w:ind w:firstLine="851"/>
        <w:jc w:val="both"/>
        <w:rPr>
          <w:rFonts w:ascii="Arial" w:eastAsia="Times New Roman" w:hAnsi="Arial" w:cs="Arial"/>
          <w:kern w:val="1"/>
          <w:sz w:val="24"/>
          <w:szCs w:val="20"/>
          <w:lang w:val="es-ES_tradnl" w:eastAsia="ar-SA"/>
        </w:rPr>
      </w:pPr>
      <w:r w:rsidRPr="00354A6B">
        <w:rPr>
          <w:rFonts w:ascii="Arial" w:eastAsia="Times New Roman" w:hAnsi="Arial" w:cs="Arial"/>
          <w:b/>
          <w:kern w:val="1"/>
          <w:sz w:val="24"/>
          <w:szCs w:val="20"/>
          <w:lang w:val="es-ES_tradnl" w:eastAsia="ar-SA"/>
        </w:rPr>
        <w:t xml:space="preserve">ATENTO: </w:t>
      </w:r>
      <w:r w:rsidRPr="00354A6B">
        <w:rPr>
          <w:rFonts w:ascii="Arial" w:eastAsia="Times New Roman" w:hAnsi="Arial" w:cs="Arial"/>
          <w:kern w:val="1"/>
          <w:sz w:val="24"/>
          <w:szCs w:val="20"/>
          <w:lang w:val="es-ES_tradnl" w:eastAsia="ar-SA"/>
        </w:rPr>
        <w:t>a lo dispuesto por el Art</w:t>
      </w:r>
      <w:r w:rsidR="001878F8">
        <w:rPr>
          <w:rFonts w:ascii="Arial" w:eastAsia="Times New Roman" w:hAnsi="Arial" w:cs="Arial"/>
          <w:kern w:val="1"/>
          <w:sz w:val="24"/>
          <w:szCs w:val="20"/>
          <w:lang w:val="es-ES_tradnl" w:eastAsia="ar-SA"/>
        </w:rPr>
        <w:t>ículo 211 Literal</w:t>
      </w:r>
      <w:r w:rsidRPr="00354A6B">
        <w:rPr>
          <w:rFonts w:ascii="Arial" w:eastAsia="Times New Roman" w:hAnsi="Arial" w:cs="Arial"/>
          <w:kern w:val="1"/>
          <w:sz w:val="24"/>
          <w:szCs w:val="20"/>
          <w:lang w:val="es-ES_tradnl" w:eastAsia="ar-SA"/>
        </w:rPr>
        <w:t xml:space="preserve"> C) de la Constitución de la República;</w:t>
      </w:r>
    </w:p>
    <w:p w:rsidR="0077264F" w:rsidRPr="00354A6B" w:rsidRDefault="0077264F" w:rsidP="0077264F">
      <w:pPr>
        <w:suppressAutoHyphens/>
        <w:spacing w:after="0" w:line="360" w:lineRule="auto"/>
        <w:jc w:val="center"/>
        <w:rPr>
          <w:rFonts w:ascii="Arial" w:eastAsia="Times New Roman" w:hAnsi="Arial" w:cs="Arial"/>
          <w:b/>
          <w:kern w:val="1"/>
          <w:sz w:val="24"/>
          <w:szCs w:val="20"/>
          <w:lang w:val="es-ES_tradnl" w:eastAsia="ar-SA"/>
        </w:rPr>
      </w:pPr>
      <w:r w:rsidRPr="00354A6B">
        <w:rPr>
          <w:rFonts w:ascii="Arial" w:eastAsia="Times New Roman" w:hAnsi="Arial" w:cs="Arial"/>
          <w:b/>
          <w:kern w:val="1"/>
          <w:sz w:val="24"/>
          <w:szCs w:val="20"/>
          <w:lang w:val="es-ES_tradnl" w:eastAsia="ar-SA"/>
        </w:rPr>
        <w:t>EL TRIBUNAL ACUERDA</w:t>
      </w:r>
    </w:p>
    <w:p w:rsidR="0077264F" w:rsidRPr="00354A6B" w:rsidRDefault="001878F8" w:rsidP="001878F8">
      <w:pPr>
        <w:suppressAutoHyphens/>
        <w:spacing w:after="0" w:line="360" w:lineRule="auto"/>
        <w:ind w:left="284" w:hanging="284"/>
        <w:jc w:val="both"/>
        <w:rPr>
          <w:rFonts w:ascii="Arial" w:eastAsia="Times New Roman" w:hAnsi="Arial" w:cs="Arial"/>
          <w:kern w:val="1"/>
          <w:sz w:val="24"/>
          <w:szCs w:val="24"/>
          <w:lang w:val="es-ES_tradnl" w:eastAsia="ar-SA"/>
        </w:rPr>
      </w:pPr>
      <w:r w:rsidRPr="001878F8">
        <w:rPr>
          <w:rFonts w:ascii="Arial" w:eastAsia="Times New Roman" w:hAnsi="Arial" w:cs="Arial"/>
          <w:b/>
          <w:kern w:val="1"/>
          <w:sz w:val="24"/>
          <w:szCs w:val="24"/>
          <w:lang w:val="es-ES_tradnl" w:eastAsia="ar-SA"/>
        </w:rPr>
        <w:t>1)</w:t>
      </w:r>
      <w:r>
        <w:rPr>
          <w:rFonts w:ascii="Arial" w:eastAsia="Times New Roman" w:hAnsi="Arial" w:cs="Arial"/>
          <w:kern w:val="1"/>
          <w:sz w:val="24"/>
          <w:szCs w:val="24"/>
          <w:lang w:val="es-ES_tradnl" w:eastAsia="ar-SA"/>
        </w:rPr>
        <w:t xml:space="preserve"> </w:t>
      </w:r>
      <w:r w:rsidR="0077264F" w:rsidRPr="00354A6B">
        <w:rPr>
          <w:rFonts w:ascii="Arial" w:eastAsia="Times New Roman" w:hAnsi="Arial" w:cs="Arial"/>
          <w:kern w:val="1"/>
          <w:sz w:val="24"/>
          <w:szCs w:val="24"/>
          <w:lang w:val="es-ES_tradnl" w:eastAsia="ar-SA"/>
        </w:rPr>
        <w:t>E</w:t>
      </w:r>
      <w:r w:rsidR="0077264F">
        <w:rPr>
          <w:rFonts w:ascii="Arial" w:eastAsia="Times New Roman" w:hAnsi="Arial" w:cs="Arial"/>
          <w:kern w:val="1"/>
          <w:sz w:val="24"/>
          <w:szCs w:val="24"/>
          <w:lang w:val="es-ES_tradnl" w:eastAsia="ar-SA"/>
        </w:rPr>
        <w:t>xpedirse</w:t>
      </w:r>
      <w:r w:rsidR="0077264F" w:rsidRPr="00354A6B">
        <w:rPr>
          <w:rFonts w:ascii="Arial" w:eastAsia="Times New Roman" w:hAnsi="Arial" w:cs="Arial"/>
          <w:kern w:val="1"/>
          <w:sz w:val="24"/>
          <w:szCs w:val="24"/>
          <w:lang w:val="es-ES_tradnl" w:eastAsia="ar-SA"/>
        </w:rPr>
        <w:t xml:space="preserve"> respecto de la Rendición de Cuentas y Balance de Ejecución Presupuestal de la Intendencia de </w:t>
      </w:r>
      <w:r w:rsidR="0077264F">
        <w:rPr>
          <w:rFonts w:ascii="Arial" w:eastAsia="Times New Roman" w:hAnsi="Arial" w:cs="Arial"/>
          <w:kern w:val="1"/>
          <w:sz w:val="24"/>
          <w:szCs w:val="24"/>
          <w:lang w:val="es-ES_tradnl" w:eastAsia="ar-SA"/>
        </w:rPr>
        <w:t>Durazno</w:t>
      </w:r>
      <w:r w:rsidR="0077264F" w:rsidRPr="00354A6B">
        <w:rPr>
          <w:rFonts w:ascii="Arial" w:eastAsia="Times New Roman" w:hAnsi="Arial" w:cs="Arial"/>
          <w:kern w:val="1"/>
          <w:sz w:val="24"/>
          <w:szCs w:val="24"/>
          <w:lang w:val="es-ES_tradnl" w:eastAsia="ar-SA"/>
        </w:rPr>
        <w:t xml:space="preserve"> correspondiente al </w:t>
      </w:r>
      <w:r>
        <w:rPr>
          <w:rFonts w:ascii="Arial" w:eastAsia="Times New Roman" w:hAnsi="Arial" w:cs="Arial"/>
          <w:kern w:val="1"/>
          <w:sz w:val="24"/>
          <w:szCs w:val="24"/>
          <w:lang w:val="es-ES_tradnl" w:eastAsia="ar-SA"/>
        </w:rPr>
        <w:t>E</w:t>
      </w:r>
      <w:r w:rsidR="0077264F" w:rsidRPr="00354A6B">
        <w:rPr>
          <w:rFonts w:ascii="Arial" w:eastAsia="Times New Roman" w:hAnsi="Arial" w:cs="Arial"/>
          <w:kern w:val="1"/>
          <w:sz w:val="24"/>
          <w:szCs w:val="24"/>
          <w:lang w:val="es-ES_tradnl" w:eastAsia="ar-SA"/>
        </w:rPr>
        <w:t>jercicio 201</w:t>
      </w:r>
      <w:r w:rsidR="0077264F">
        <w:rPr>
          <w:rFonts w:ascii="Arial" w:eastAsia="Times New Roman" w:hAnsi="Arial" w:cs="Arial"/>
          <w:kern w:val="1"/>
          <w:sz w:val="24"/>
          <w:szCs w:val="24"/>
          <w:lang w:val="es-ES_tradnl" w:eastAsia="ar-SA"/>
        </w:rPr>
        <w:t>4</w:t>
      </w:r>
      <w:r w:rsidR="0077264F" w:rsidRPr="00354A6B">
        <w:rPr>
          <w:rFonts w:ascii="Arial" w:eastAsia="Times New Roman" w:hAnsi="Arial" w:cs="Arial"/>
          <w:kern w:val="1"/>
          <w:sz w:val="24"/>
          <w:szCs w:val="24"/>
          <w:lang w:val="es-ES_tradnl" w:eastAsia="ar-SA"/>
        </w:rPr>
        <w:t>, en los términos del Informe de Auditoría que se adjunta</w:t>
      </w:r>
      <w:r>
        <w:rPr>
          <w:rFonts w:ascii="Arial" w:eastAsia="Times New Roman" w:hAnsi="Arial" w:cs="Arial"/>
          <w:kern w:val="1"/>
          <w:sz w:val="24"/>
          <w:szCs w:val="24"/>
          <w:lang w:val="es-ES_tradnl" w:eastAsia="ar-SA"/>
        </w:rPr>
        <w:t>;</w:t>
      </w:r>
    </w:p>
    <w:p w:rsidR="0077264F" w:rsidRPr="00354A6B" w:rsidRDefault="001878F8" w:rsidP="001878F8">
      <w:pPr>
        <w:suppressAutoHyphens/>
        <w:spacing w:after="0" w:line="360" w:lineRule="auto"/>
        <w:ind w:left="284" w:hanging="284"/>
        <w:jc w:val="both"/>
        <w:rPr>
          <w:rFonts w:ascii="Arial" w:eastAsia="Times New Roman" w:hAnsi="Arial" w:cs="Arial"/>
          <w:kern w:val="1"/>
          <w:sz w:val="24"/>
          <w:szCs w:val="24"/>
          <w:lang w:val="es-ES_tradnl" w:eastAsia="ar-SA"/>
        </w:rPr>
      </w:pPr>
      <w:r w:rsidRPr="001878F8">
        <w:rPr>
          <w:rFonts w:ascii="Arial" w:eastAsia="Times New Roman" w:hAnsi="Arial" w:cs="Arial"/>
          <w:b/>
          <w:kern w:val="1"/>
          <w:sz w:val="24"/>
          <w:szCs w:val="24"/>
          <w:lang w:val="es-ES_tradnl" w:eastAsia="ar-SA"/>
        </w:rPr>
        <w:t>2)</w:t>
      </w:r>
      <w:r>
        <w:rPr>
          <w:rFonts w:ascii="Arial" w:eastAsia="Times New Roman" w:hAnsi="Arial" w:cs="Arial"/>
          <w:kern w:val="1"/>
          <w:sz w:val="24"/>
          <w:szCs w:val="24"/>
          <w:lang w:val="es-ES_tradnl" w:eastAsia="ar-SA"/>
        </w:rPr>
        <w:t xml:space="preserve"> </w:t>
      </w:r>
      <w:r w:rsidR="0077264F" w:rsidRPr="00354A6B">
        <w:rPr>
          <w:rFonts w:ascii="Arial" w:eastAsia="Times New Roman" w:hAnsi="Arial" w:cs="Arial"/>
          <w:kern w:val="1"/>
          <w:sz w:val="24"/>
          <w:szCs w:val="24"/>
          <w:lang w:val="es-ES_tradnl" w:eastAsia="ar-SA"/>
        </w:rPr>
        <w:t xml:space="preserve">Comunicar la presente Resolución a la Junta Departamental y a la Intendencia de </w:t>
      </w:r>
      <w:r w:rsidR="0077264F">
        <w:rPr>
          <w:rFonts w:ascii="Arial" w:eastAsia="Times New Roman" w:hAnsi="Arial" w:cs="Arial"/>
          <w:kern w:val="1"/>
          <w:sz w:val="24"/>
          <w:szCs w:val="24"/>
          <w:lang w:val="es-ES_tradnl" w:eastAsia="ar-SA"/>
        </w:rPr>
        <w:t>Durazno</w:t>
      </w:r>
      <w:r>
        <w:rPr>
          <w:rFonts w:ascii="Arial" w:eastAsia="Times New Roman" w:hAnsi="Arial" w:cs="Arial"/>
          <w:kern w:val="1"/>
          <w:sz w:val="24"/>
          <w:szCs w:val="24"/>
          <w:lang w:val="es-ES_tradnl" w:eastAsia="ar-SA"/>
        </w:rPr>
        <w:t>;</w:t>
      </w:r>
    </w:p>
    <w:p w:rsidR="0077264F" w:rsidRDefault="001878F8" w:rsidP="001878F8">
      <w:pPr>
        <w:suppressAutoHyphens/>
        <w:spacing w:after="0" w:line="360" w:lineRule="auto"/>
        <w:jc w:val="both"/>
        <w:rPr>
          <w:rFonts w:ascii="Arial" w:eastAsia="Times New Roman" w:hAnsi="Arial" w:cs="Arial"/>
          <w:kern w:val="1"/>
          <w:sz w:val="24"/>
          <w:szCs w:val="24"/>
          <w:lang w:val="es-ES_tradnl" w:eastAsia="ar-SA"/>
        </w:rPr>
      </w:pPr>
      <w:r w:rsidRPr="001878F8">
        <w:rPr>
          <w:rFonts w:ascii="Arial" w:eastAsia="Times New Roman" w:hAnsi="Arial" w:cs="Arial"/>
          <w:b/>
          <w:kern w:val="1"/>
          <w:sz w:val="24"/>
          <w:szCs w:val="24"/>
          <w:lang w:val="es-ES_tradnl" w:eastAsia="ar-SA"/>
        </w:rPr>
        <w:t>3)</w:t>
      </w:r>
      <w:r>
        <w:rPr>
          <w:rFonts w:ascii="Arial" w:eastAsia="Times New Roman" w:hAnsi="Arial" w:cs="Arial"/>
          <w:kern w:val="1"/>
          <w:sz w:val="24"/>
          <w:szCs w:val="24"/>
          <w:lang w:val="es-ES_tradnl" w:eastAsia="ar-SA"/>
        </w:rPr>
        <w:t xml:space="preserve"> </w:t>
      </w:r>
      <w:r w:rsidR="0077264F" w:rsidRPr="00354A6B">
        <w:rPr>
          <w:rFonts w:ascii="Arial" w:eastAsia="Times New Roman" w:hAnsi="Arial" w:cs="Arial"/>
          <w:kern w:val="1"/>
          <w:sz w:val="24"/>
          <w:szCs w:val="24"/>
          <w:lang w:val="es-ES_tradnl" w:eastAsia="ar-SA"/>
        </w:rPr>
        <w:t>Dar cuenta a la Asamblea General.</w:t>
      </w:r>
    </w:p>
    <w:p w:rsidR="001878F8" w:rsidRDefault="001878F8" w:rsidP="001878F8">
      <w:pPr>
        <w:suppressAutoHyphens/>
        <w:spacing w:after="0" w:line="360" w:lineRule="auto"/>
        <w:jc w:val="both"/>
        <w:rPr>
          <w:rFonts w:ascii="Arial" w:eastAsia="Times New Roman" w:hAnsi="Arial" w:cs="Arial"/>
          <w:kern w:val="1"/>
          <w:sz w:val="24"/>
          <w:szCs w:val="24"/>
          <w:lang w:val="es-ES_tradnl" w:eastAsia="ar-SA"/>
        </w:rPr>
      </w:pPr>
    </w:p>
    <w:p w:rsidR="0077264F" w:rsidRDefault="0077264F" w:rsidP="0077264F">
      <w:pPr>
        <w:suppressAutoHyphens/>
        <w:spacing w:after="0" w:line="360" w:lineRule="auto"/>
        <w:jc w:val="both"/>
        <w:rPr>
          <w:rFonts w:ascii="Arial" w:eastAsia="Times New Roman" w:hAnsi="Arial"/>
          <w:kern w:val="1"/>
          <w:sz w:val="18"/>
          <w:szCs w:val="18"/>
          <w:lang w:val="es-ES_tradnl" w:eastAsia="ar-SA"/>
        </w:rPr>
      </w:pPr>
    </w:p>
    <w:p w:rsidR="00812D48" w:rsidRPr="008D4663" w:rsidRDefault="00812D48" w:rsidP="00FF63B7">
      <w:pPr>
        <w:pStyle w:val="Ttulo1"/>
        <w:tabs>
          <w:tab w:val="center" w:pos="4252"/>
          <w:tab w:val="left" w:pos="6480"/>
        </w:tabs>
        <w:spacing w:after="0"/>
        <w:jc w:val="center"/>
        <w:rPr>
          <w:rFonts w:cs="Arial"/>
          <w:szCs w:val="24"/>
        </w:rPr>
      </w:pPr>
      <w:bookmarkStart w:id="1" w:name="_Toc402960810"/>
      <w:r w:rsidRPr="008D4663">
        <w:rPr>
          <w:rFonts w:cs="Arial"/>
          <w:szCs w:val="24"/>
        </w:rPr>
        <w:t>dictamen</w:t>
      </w:r>
      <w:bookmarkEnd w:id="1"/>
    </w:p>
    <w:p w:rsidR="00812D48" w:rsidRPr="008D4663" w:rsidRDefault="00812D48" w:rsidP="00FF63B7">
      <w:pPr>
        <w:pStyle w:val="Subttulo"/>
        <w:rPr>
          <w:rFonts w:ascii="Arial" w:hAnsi="Arial" w:cs="Arial"/>
          <w:b w:val="0"/>
          <w:szCs w:val="24"/>
        </w:rPr>
      </w:pPr>
    </w:p>
    <w:p w:rsidR="00812D48" w:rsidRPr="008D4663" w:rsidRDefault="00812D48" w:rsidP="00FF63B7">
      <w:pPr>
        <w:pStyle w:val="Subttulo"/>
        <w:rPr>
          <w:rFonts w:ascii="Arial" w:hAnsi="Arial" w:cs="Arial"/>
          <w:b w:val="0"/>
          <w:szCs w:val="24"/>
        </w:rPr>
      </w:pPr>
      <w:r w:rsidRPr="008D4663">
        <w:rPr>
          <w:rFonts w:ascii="Arial" w:hAnsi="Arial" w:cs="Arial"/>
          <w:b w:val="0"/>
          <w:szCs w:val="24"/>
        </w:rPr>
        <w:t xml:space="preserve">El Tribunal de Cuentas ha examinado la Rendición de Cuentas y el Balance de Ejecución Presupuestal de la Intendencia de Durazno correspondiente al </w:t>
      </w:r>
      <w:r w:rsidRPr="00BB6CC8">
        <w:rPr>
          <w:rFonts w:ascii="Arial" w:hAnsi="Arial" w:cs="Arial"/>
          <w:b w:val="0"/>
          <w:szCs w:val="24"/>
        </w:rPr>
        <w:t>Ejercicio 2014,</w:t>
      </w:r>
      <w:r w:rsidRPr="008D4663">
        <w:rPr>
          <w:rFonts w:ascii="Arial" w:hAnsi="Arial" w:cs="Arial"/>
          <w:b w:val="0"/>
          <w:szCs w:val="24"/>
        </w:rPr>
        <w:t xml:space="preserve"> que incluye los siguientes estados: de ejecución presupuestal con relación a los recursos y a los créditos, resultado del Ejercicio, resultado acumulado y</w:t>
      </w:r>
      <w:r w:rsidR="00FF63B7">
        <w:rPr>
          <w:rFonts w:ascii="Arial" w:hAnsi="Arial" w:cs="Arial"/>
          <w:b w:val="0"/>
          <w:szCs w:val="24"/>
        </w:rPr>
        <w:t xml:space="preserve"> otros estados complementarios.</w:t>
      </w:r>
    </w:p>
    <w:p w:rsidR="00812D48" w:rsidRPr="008D4663" w:rsidRDefault="00812D48" w:rsidP="00FF63B7">
      <w:pPr>
        <w:pStyle w:val="Textoindependiente"/>
        <w:spacing w:after="0"/>
        <w:rPr>
          <w:rFonts w:cs="Arial"/>
          <w:b/>
          <w:szCs w:val="24"/>
        </w:rPr>
      </w:pPr>
      <w:r w:rsidRPr="008D4663">
        <w:rPr>
          <w:rFonts w:cs="Arial"/>
          <w:szCs w:val="24"/>
        </w:rPr>
        <w:t>También se presentan los incumplimientos legales constatados por el Tribunal de Cuentas en el curso de la auditoría efectuada.</w:t>
      </w:r>
    </w:p>
    <w:p w:rsidR="00812D48" w:rsidRPr="008D4663" w:rsidRDefault="00812D48" w:rsidP="00FF63B7">
      <w:pPr>
        <w:pStyle w:val="Subttulo"/>
        <w:rPr>
          <w:rFonts w:ascii="Arial" w:hAnsi="Arial" w:cs="Arial"/>
          <w:b w:val="0"/>
          <w:szCs w:val="24"/>
          <w:highlight w:val="cyan"/>
        </w:rPr>
      </w:pPr>
    </w:p>
    <w:p w:rsidR="00812D48" w:rsidRPr="008D4663" w:rsidRDefault="00812D48" w:rsidP="00FF63B7">
      <w:pPr>
        <w:pStyle w:val="Subttulo"/>
        <w:rPr>
          <w:rFonts w:ascii="Arial" w:hAnsi="Arial" w:cs="Arial"/>
          <w:szCs w:val="24"/>
        </w:rPr>
      </w:pPr>
      <w:r w:rsidRPr="008D4663">
        <w:rPr>
          <w:rFonts w:ascii="Arial" w:hAnsi="Arial" w:cs="Arial"/>
          <w:szCs w:val="24"/>
        </w:rPr>
        <w:t>Responsabilidad de la Intendencia</w:t>
      </w:r>
    </w:p>
    <w:p w:rsidR="00812D48" w:rsidRPr="008D4663" w:rsidRDefault="00812D48" w:rsidP="00FF63B7">
      <w:pPr>
        <w:pStyle w:val="Subttulo"/>
        <w:rPr>
          <w:rFonts w:ascii="Arial" w:hAnsi="Arial" w:cs="Arial"/>
          <w:b w:val="0"/>
          <w:szCs w:val="24"/>
        </w:rPr>
      </w:pPr>
      <w:r w:rsidRPr="008D4663">
        <w:rPr>
          <w:rFonts w:ascii="Arial" w:hAnsi="Arial" w:cs="Arial"/>
          <w:b w:val="0"/>
          <w:szCs w:val="24"/>
        </w:rPr>
        <w:t>La Intendencia es responsable por la preparación y la razonable presentación de estos estados de acuerdo con la normativa vigente y con la Resolución de este Tribunal de fecha 28/01/04.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812D48" w:rsidRPr="008D4663" w:rsidRDefault="00812D48" w:rsidP="00FF63B7">
      <w:pPr>
        <w:pStyle w:val="Subttulo"/>
        <w:rPr>
          <w:rFonts w:ascii="Arial" w:hAnsi="Arial" w:cs="Arial"/>
          <w:b w:val="0"/>
          <w:szCs w:val="24"/>
          <w:highlight w:val="cyan"/>
        </w:rPr>
      </w:pPr>
    </w:p>
    <w:p w:rsidR="00812D48" w:rsidRPr="008D4663" w:rsidRDefault="00812D48" w:rsidP="00FF63B7">
      <w:pPr>
        <w:pStyle w:val="Subttulo"/>
        <w:rPr>
          <w:rFonts w:ascii="Arial" w:hAnsi="Arial" w:cs="Arial"/>
          <w:szCs w:val="24"/>
        </w:rPr>
      </w:pPr>
      <w:r w:rsidRPr="008D4663">
        <w:rPr>
          <w:rFonts w:ascii="Arial" w:hAnsi="Arial" w:cs="Arial"/>
          <w:szCs w:val="24"/>
        </w:rPr>
        <w:t>Responsabilidad del auditor</w:t>
      </w:r>
    </w:p>
    <w:p w:rsidR="00812D48" w:rsidRPr="008D4663" w:rsidRDefault="00812D48" w:rsidP="00FF63B7">
      <w:pPr>
        <w:spacing w:after="0" w:line="360" w:lineRule="auto"/>
        <w:jc w:val="both"/>
        <w:rPr>
          <w:rFonts w:ascii="Arial" w:hAnsi="Arial" w:cs="Arial"/>
          <w:kern w:val="18"/>
          <w:sz w:val="24"/>
          <w:szCs w:val="24"/>
        </w:rPr>
      </w:pPr>
      <w:r w:rsidRPr="008D4663">
        <w:rPr>
          <w:rFonts w:ascii="Arial" w:hAnsi="Arial" w:cs="Arial"/>
          <w:kern w:val="18"/>
          <w:sz w:val="24"/>
          <w:szCs w:val="24"/>
        </w:rPr>
        <w:t>La responsabilidad del Tribunal de Cuentas es expresar una opinión sobre dichos estados contables basada en la auditoría realizada. Esta auditoria fue practicada de acuerdo con los Principios Fundamentales de Auditoria (ISSAI 100</w:t>
      </w:r>
      <w:r>
        <w:rPr>
          <w:rFonts w:ascii="Arial" w:hAnsi="Arial" w:cs="Arial"/>
          <w:kern w:val="18"/>
          <w:sz w:val="24"/>
          <w:szCs w:val="24"/>
        </w:rPr>
        <w:t xml:space="preserve"> y</w:t>
      </w:r>
      <w:r w:rsidRPr="008D4663">
        <w:rPr>
          <w:rFonts w:ascii="Arial" w:hAnsi="Arial" w:cs="Arial"/>
          <w:kern w:val="18"/>
          <w:sz w:val="24"/>
          <w:szCs w:val="24"/>
        </w:rPr>
        <w:t xml:space="preserve"> 200) y las Directrices de Auditoria Financiera (ISSAI 1000 a </w:t>
      </w:r>
      <w:r>
        <w:rPr>
          <w:rFonts w:ascii="Arial" w:hAnsi="Arial" w:cs="Arial"/>
          <w:kern w:val="18"/>
          <w:sz w:val="24"/>
          <w:szCs w:val="24"/>
        </w:rPr>
        <w:t>1810</w:t>
      </w:r>
      <w:r w:rsidRPr="008D4663">
        <w:rPr>
          <w:rFonts w:ascii="Arial" w:hAnsi="Arial" w:cs="Arial"/>
          <w:kern w:val="18"/>
          <w:sz w:val="24"/>
          <w:szCs w:val="24"/>
        </w:rPr>
        <w:t>) de la Organización Internacional de Entidades Fiscalizadoras Superiores (INTOSAI). Estas normas requieren que se cumpla con requisitos éticos, se planifique y se realice la auditoría para obtener seguridad razonable acerca de si los estados contables están li</w:t>
      </w:r>
      <w:r w:rsidR="00FF63B7">
        <w:rPr>
          <w:rFonts w:ascii="Arial" w:hAnsi="Arial" w:cs="Arial"/>
          <w:kern w:val="18"/>
          <w:sz w:val="24"/>
          <w:szCs w:val="24"/>
        </w:rPr>
        <w:t>bres de errores significativos.</w:t>
      </w:r>
    </w:p>
    <w:p w:rsidR="00812D48" w:rsidRPr="008D4663" w:rsidRDefault="00812D48" w:rsidP="00FF63B7">
      <w:pPr>
        <w:pStyle w:val="Subttulo"/>
        <w:rPr>
          <w:rFonts w:ascii="Arial" w:hAnsi="Arial" w:cs="Arial"/>
          <w:b w:val="0"/>
          <w:szCs w:val="24"/>
        </w:rPr>
      </w:pPr>
      <w:r w:rsidRPr="008D4663">
        <w:rPr>
          <w:rFonts w:ascii="Arial" w:hAnsi="Arial" w:cs="Arial"/>
          <w:b w:val="0"/>
          <w:szCs w:val="24"/>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ya sea debido a fraude o error. 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presentación general de los estados financieros.</w:t>
      </w:r>
    </w:p>
    <w:p w:rsidR="00812D48" w:rsidRPr="008D4663" w:rsidRDefault="00812D48" w:rsidP="00FF63B7">
      <w:pPr>
        <w:pStyle w:val="Subttulo"/>
        <w:rPr>
          <w:rFonts w:ascii="Arial" w:hAnsi="Arial" w:cs="Arial"/>
          <w:b w:val="0"/>
          <w:szCs w:val="24"/>
        </w:rPr>
      </w:pPr>
      <w:r w:rsidRPr="008D4663">
        <w:rPr>
          <w:rFonts w:ascii="Arial" w:hAnsi="Arial" w:cs="Arial"/>
          <w:b w:val="0"/>
          <w:szCs w:val="24"/>
        </w:rPr>
        <w:t>Se considera que la evidencia de auditoría obtenida brinda una base suficiente y apropiada para sustentar la opinión.</w:t>
      </w:r>
    </w:p>
    <w:p w:rsidR="00812D48" w:rsidRPr="008D4663" w:rsidRDefault="00812D48" w:rsidP="00FF63B7">
      <w:pPr>
        <w:pStyle w:val="Textoindependiente"/>
        <w:spacing w:after="0"/>
        <w:rPr>
          <w:rFonts w:cs="Arial"/>
          <w:b/>
          <w:szCs w:val="24"/>
          <w:highlight w:val="cyan"/>
        </w:rPr>
      </w:pPr>
    </w:p>
    <w:p w:rsidR="00812D48" w:rsidRPr="008D4663" w:rsidRDefault="00812D48" w:rsidP="00FF63B7">
      <w:pPr>
        <w:pStyle w:val="Textoindependiente"/>
        <w:spacing w:after="0"/>
        <w:rPr>
          <w:rFonts w:cs="Arial"/>
          <w:b/>
          <w:szCs w:val="24"/>
        </w:rPr>
      </w:pPr>
      <w:r w:rsidRPr="008D4663">
        <w:rPr>
          <w:rFonts w:cs="Arial"/>
          <w:b/>
          <w:szCs w:val="24"/>
        </w:rPr>
        <w:t>Opinión</w:t>
      </w:r>
    </w:p>
    <w:p w:rsidR="00812D48" w:rsidRPr="008D4663" w:rsidRDefault="00812D48" w:rsidP="00FF63B7">
      <w:pPr>
        <w:pStyle w:val="Textoindependiente"/>
        <w:spacing w:after="0"/>
        <w:rPr>
          <w:rFonts w:cs="Arial"/>
          <w:szCs w:val="24"/>
        </w:rPr>
      </w:pPr>
      <w:r w:rsidRPr="008D4663">
        <w:rPr>
          <w:rFonts w:cs="Arial"/>
          <w:szCs w:val="24"/>
        </w:rPr>
        <w:t xml:space="preserve">En opinión del Tribunal de Cuentas, los estados mencionados presentan razonablemente, en todos sus aspectos importantes, la ejecución presupuestal en relación a los recursos y a los créditos, el resultado del </w:t>
      </w:r>
      <w:r w:rsidRPr="00F2540A">
        <w:rPr>
          <w:rFonts w:cs="Arial"/>
          <w:szCs w:val="24"/>
        </w:rPr>
        <w:t>Ejercicio 2014</w:t>
      </w:r>
      <w:r w:rsidRPr="008D4663">
        <w:rPr>
          <w:rFonts w:cs="Arial"/>
          <w:szCs w:val="24"/>
        </w:rPr>
        <w:t xml:space="preserve"> y el resultado acumu</w:t>
      </w:r>
      <w:r w:rsidRPr="008D4663">
        <w:rPr>
          <w:rFonts w:cs="Arial"/>
          <w:szCs w:val="24"/>
        </w:rPr>
        <w:softHyphen/>
        <w:t>lado al 31 de diciembre de 201</w:t>
      </w:r>
      <w:r>
        <w:rPr>
          <w:rFonts w:cs="Arial"/>
          <w:szCs w:val="24"/>
        </w:rPr>
        <w:t>4</w:t>
      </w:r>
      <w:r w:rsidRPr="008D4663">
        <w:rPr>
          <w:rFonts w:cs="Arial"/>
          <w:szCs w:val="24"/>
        </w:rPr>
        <w:t>, de acuerdo a las normas establecidas en el TOCAF y la Resolución de e</w:t>
      </w:r>
      <w:r w:rsidR="00FF63B7">
        <w:rPr>
          <w:rFonts w:cs="Arial"/>
          <w:szCs w:val="24"/>
        </w:rPr>
        <w:t>ste Tribunal de fecha 28/01/04.</w:t>
      </w:r>
    </w:p>
    <w:p w:rsidR="00812D48" w:rsidRPr="008D4663" w:rsidRDefault="00812D48" w:rsidP="00FF63B7">
      <w:pPr>
        <w:pStyle w:val="Textoindependiente"/>
        <w:spacing w:after="0"/>
        <w:rPr>
          <w:rFonts w:cs="Arial"/>
          <w:szCs w:val="24"/>
        </w:rPr>
      </w:pPr>
    </w:p>
    <w:p w:rsidR="00812D48" w:rsidRPr="008D4663" w:rsidRDefault="00812D48" w:rsidP="00FF63B7">
      <w:pPr>
        <w:spacing w:after="0" w:line="360" w:lineRule="auto"/>
        <w:jc w:val="both"/>
        <w:rPr>
          <w:rFonts w:ascii="Arial" w:hAnsi="Arial" w:cs="Arial"/>
          <w:sz w:val="24"/>
          <w:szCs w:val="24"/>
        </w:rPr>
      </w:pPr>
      <w:r w:rsidRPr="008D4663">
        <w:rPr>
          <w:rFonts w:ascii="Arial" w:hAnsi="Arial" w:cs="Arial"/>
          <w:kern w:val="1"/>
          <w:sz w:val="24"/>
          <w:szCs w:val="24"/>
        </w:rPr>
        <w:t>Con relación al cumplimiento de la normativa vigente, en el curso de la auditoría se ha constatado que:</w:t>
      </w:r>
    </w:p>
    <w:p w:rsidR="00812D48" w:rsidRPr="008D4663" w:rsidRDefault="00812D48" w:rsidP="00FF63B7">
      <w:pPr>
        <w:pStyle w:val="Textoindependiente"/>
        <w:spacing w:after="0"/>
        <w:rPr>
          <w:rFonts w:cs="Arial"/>
          <w:szCs w:val="24"/>
          <w:lang w:val="es-UY"/>
        </w:rPr>
      </w:pPr>
    </w:p>
    <w:p w:rsidR="00812D48" w:rsidRDefault="00812D48" w:rsidP="00FF63B7">
      <w:pPr>
        <w:widowControl w:val="0"/>
        <w:autoSpaceDE w:val="0"/>
        <w:autoSpaceDN w:val="0"/>
        <w:adjustRightInd w:val="0"/>
        <w:spacing w:after="0" w:line="360" w:lineRule="auto"/>
        <w:jc w:val="both"/>
        <w:rPr>
          <w:rFonts w:ascii="Arial" w:eastAsia="Times New Roman" w:hAnsi="Arial" w:cs="Arial"/>
          <w:sz w:val="24"/>
          <w:szCs w:val="24"/>
          <w:lang w:val="es-ES" w:eastAsia="es-ES"/>
        </w:rPr>
      </w:pPr>
      <w:r w:rsidRPr="008D4663">
        <w:rPr>
          <w:rFonts w:ascii="Arial" w:eastAsia="Times New Roman" w:hAnsi="Arial" w:cs="Arial"/>
          <w:b/>
          <w:sz w:val="24"/>
          <w:szCs w:val="24"/>
          <w:lang w:val="es-ES" w:eastAsia="es-ES"/>
        </w:rPr>
        <w:t>1. Artículo 86 de la Constitución de la República:</w:t>
      </w:r>
      <w:r w:rsidRPr="008D4663">
        <w:rPr>
          <w:rFonts w:ascii="Arial" w:eastAsia="Times New Roman" w:hAnsi="Arial" w:cs="Arial"/>
          <w:sz w:val="24"/>
          <w:szCs w:val="24"/>
          <w:lang w:val="es-ES" w:eastAsia="es-ES"/>
        </w:rPr>
        <w:t xml:space="preserve"> Se contrató personal sin que existan los cargos respectivos y se abonaron partidas por concepto de compensaciones especiales, las cuales no fueron establecidas</w:t>
      </w:r>
      <w:r w:rsidR="00FF63B7">
        <w:rPr>
          <w:rFonts w:ascii="Arial" w:eastAsia="Times New Roman" w:hAnsi="Arial" w:cs="Arial"/>
          <w:sz w:val="24"/>
          <w:szCs w:val="24"/>
          <w:lang w:val="es-ES" w:eastAsia="es-ES"/>
        </w:rPr>
        <w:t xml:space="preserve"> en  la instancia presupuestal.</w:t>
      </w:r>
    </w:p>
    <w:p w:rsidR="00FF63B7" w:rsidRPr="008D4663" w:rsidRDefault="00FF63B7" w:rsidP="00FF63B7">
      <w:pPr>
        <w:widowControl w:val="0"/>
        <w:autoSpaceDE w:val="0"/>
        <w:autoSpaceDN w:val="0"/>
        <w:adjustRightInd w:val="0"/>
        <w:spacing w:after="0" w:line="360" w:lineRule="auto"/>
        <w:jc w:val="both"/>
        <w:rPr>
          <w:rFonts w:ascii="Arial" w:eastAsia="Times New Roman" w:hAnsi="Arial" w:cs="Arial"/>
          <w:sz w:val="24"/>
          <w:szCs w:val="24"/>
          <w:lang w:val="es-ES" w:eastAsia="es-ES"/>
        </w:rPr>
      </w:pPr>
    </w:p>
    <w:p w:rsidR="00812D48" w:rsidRPr="008D4663" w:rsidRDefault="00812D48" w:rsidP="00FF63B7">
      <w:pPr>
        <w:widowControl w:val="0"/>
        <w:autoSpaceDE w:val="0"/>
        <w:autoSpaceDN w:val="0"/>
        <w:adjustRightInd w:val="0"/>
        <w:spacing w:after="0" w:line="360" w:lineRule="auto"/>
        <w:jc w:val="both"/>
        <w:rPr>
          <w:rFonts w:ascii="Arial" w:eastAsia="Times New Roman" w:hAnsi="Arial" w:cs="Arial"/>
          <w:sz w:val="24"/>
          <w:szCs w:val="24"/>
          <w:lang w:val="es-ES" w:eastAsia="es-ES"/>
        </w:rPr>
      </w:pPr>
      <w:r w:rsidRPr="008D4663">
        <w:rPr>
          <w:rFonts w:ascii="Arial" w:eastAsia="Times New Roman" w:hAnsi="Arial" w:cs="Arial"/>
          <w:sz w:val="24"/>
          <w:szCs w:val="24"/>
          <w:lang w:val="es-ES" w:eastAsia="es-ES"/>
        </w:rPr>
        <w:t xml:space="preserve">Asimismo, en oportunidad de emitir su Dictamen Constitucional referente a la Modificación Presupuestal de la Intendencia para el período 2012-2015, este Tribunal observó que la partida destinada para funcionarios en comisión (objeto 042005), contraviene lo dispuesto en el Artículo 86 de la Constitución de la República. </w:t>
      </w:r>
      <w:r w:rsidRPr="008D4663">
        <w:rPr>
          <w:rFonts w:ascii="Arial" w:eastAsia="Times New Roman" w:hAnsi="Arial" w:cs="Arial"/>
          <w:spacing w:val="-3"/>
          <w:sz w:val="24"/>
          <w:szCs w:val="24"/>
          <w:lang w:val="es-ES" w:eastAsia="es-ES"/>
        </w:rPr>
        <w:t>Dicha observación no fue aceptada en esa oportunidad, y la Junta Departamental remitió los antecedentes a la Asamblea General. El plazo establecido por el Artículo 225 de la Constitución de la República transcurrió sin que la Asamblea General se pronunciara por lo que la Modificación Presupuestal quedó sancionada.</w:t>
      </w:r>
    </w:p>
    <w:p w:rsidR="00812D48" w:rsidRPr="008D4663" w:rsidRDefault="00812D48" w:rsidP="00FF63B7">
      <w:pPr>
        <w:widowControl w:val="0"/>
        <w:autoSpaceDE w:val="0"/>
        <w:autoSpaceDN w:val="0"/>
        <w:adjustRightInd w:val="0"/>
        <w:spacing w:after="0" w:line="360" w:lineRule="auto"/>
        <w:jc w:val="both"/>
        <w:rPr>
          <w:rFonts w:ascii="Arial" w:eastAsia="Times New Roman" w:hAnsi="Arial" w:cs="Arial"/>
          <w:b/>
          <w:bCs/>
          <w:sz w:val="24"/>
          <w:szCs w:val="24"/>
          <w:lang w:val="es-ES" w:eastAsia="es-ES"/>
        </w:rPr>
      </w:pPr>
    </w:p>
    <w:p w:rsidR="00812D48" w:rsidRPr="008D4663" w:rsidRDefault="00812D48" w:rsidP="00FF63B7">
      <w:pPr>
        <w:widowControl w:val="0"/>
        <w:autoSpaceDE w:val="0"/>
        <w:autoSpaceDN w:val="0"/>
        <w:adjustRightInd w:val="0"/>
        <w:spacing w:after="0" w:line="360" w:lineRule="auto"/>
        <w:jc w:val="both"/>
        <w:rPr>
          <w:rFonts w:ascii="Arial" w:eastAsia="Times New Roman" w:hAnsi="Arial" w:cs="Arial"/>
          <w:sz w:val="24"/>
          <w:szCs w:val="24"/>
          <w:lang w:val="es-ES" w:eastAsia="es-ES"/>
        </w:rPr>
      </w:pPr>
      <w:r>
        <w:rPr>
          <w:rFonts w:ascii="Arial" w:eastAsia="Times New Roman" w:hAnsi="Arial" w:cs="Arial"/>
          <w:b/>
          <w:bCs/>
          <w:sz w:val="24"/>
          <w:szCs w:val="24"/>
          <w:lang w:val="es-ES" w:eastAsia="es-ES"/>
        </w:rPr>
        <w:t>2</w:t>
      </w:r>
      <w:r w:rsidRPr="008D4663">
        <w:rPr>
          <w:rFonts w:ascii="Arial" w:eastAsia="Times New Roman" w:hAnsi="Arial" w:cs="Arial"/>
          <w:b/>
          <w:bCs/>
          <w:sz w:val="24"/>
          <w:szCs w:val="24"/>
          <w:lang w:val="es-ES" w:eastAsia="es-ES"/>
        </w:rPr>
        <w:t xml:space="preserve">. Artículo 297 de la Constitución de la República (Numeral 1): </w:t>
      </w:r>
      <w:r w:rsidRPr="008D4663">
        <w:rPr>
          <w:rFonts w:ascii="Arial" w:eastAsia="Times New Roman" w:hAnsi="Arial" w:cs="Arial"/>
          <w:bCs/>
          <w:sz w:val="24"/>
          <w:szCs w:val="24"/>
          <w:lang w:val="es-ES" w:eastAsia="es-ES"/>
        </w:rPr>
        <w:t>Los</w:t>
      </w:r>
      <w:r w:rsidRPr="008D4663">
        <w:rPr>
          <w:rFonts w:ascii="Arial" w:eastAsia="Times New Roman" w:hAnsi="Arial" w:cs="Arial"/>
          <w:sz w:val="24"/>
          <w:szCs w:val="24"/>
          <w:lang w:val="es-ES" w:eastAsia="es-ES"/>
        </w:rPr>
        <w:t xml:space="preserve"> descuentos y bonificaciones</w:t>
      </w:r>
      <w:r>
        <w:rPr>
          <w:rFonts w:ascii="Arial" w:eastAsia="Times New Roman" w:hAnsi="Arial" w:cs="Arial"/>
          <w:sz w:val="24"/>
          <w:szCs w:val="24"/>
          <w:lang w:val="es-ES" w:eastAsia="es-ES"/>
        </w:rPr>
        <w:t xml:space="preserve"> </w:t>
      </w:r>
      <w:r w:rsidRPr="00E137DE">
        <w:rPr>
          <w:rFonts w:ascii="Arial" w:eastAsia="Times New Roman" w:hAnsi="Arial" w:cs="Arial"/>
          <w:sz w:val="24"/>
          <w:szCs w:val="24"/>
          <w:lang w:val="es-ES" w:eastAsia="es-ES"/>
        </w:rPr>
        <w:t>y las exoneraciones</w:t>
      </w:r>
      <w:r w:rsidRPr="008D4663">
        <w:rPr>
          <w:rFonts w:ascii="Arial" w:eastAsia="Times New Roman" w:hAnsi="Arial" w:cs="Arial"/>
          <w:sz w:val="24"/>
          <w:szCs w:val="24"/>
          <w:lang w:val="es-ES" w:eastAsia="es-ES"/>
        </w:rPr>
        <w:t xml:space="preserve"> en la contribución rural exceden la potestad tributaria del Gobierno Departamental por cuanto el citado impuesto tiene origen legal de regulación nacional.</w:t>
      </w:r>
    </w:p>
    <w:p w:rsidR="00812D48" w:rsidRPr="008D4663" w:rsidRDefault="00812D48" w:rsidP="00FF63B7">
      <w:pPr>
        <w:widowControl w:val="0"/>
        <w:autoSpaceDE w:val="0"/>
        <w:autoSpaceDN w:val="0"/>
        <w:adjustRightInd w:val="0"/>
        <w:spacing w:after="0" w:line="360" w:lineRule="auto"/>
        <w:jc w:val="both"/>
        <w:rPr>
          <w:rFonts w:ascii="Arial" w:eastAsia="Times New Roman" w:hAnsi="Arial" w:cs="Arial"/>
          <w:sz w:val="24"/>
          <w:szCs w:val="24"/>
          <w:lang w:val="es-ES" w:eastAsia="es-ES"/>
        </w:rPr>
      </w:pPr>
    </w:p>
    <w:p w:rsidR="00812D48" w:rsidRPr="008D4663" w:rsidRDefault="00812D48" w:rsidP="00FF63B7">
      <w:pPr>
        <w:widowControl w:val="0"/>
        <w:autoSpaceDE w:val="0"/>
        <w:autoSpaceDN w:val="0"/>
        <w:adjustRightInd w:val="0"/>
        <w:spacing w:after="0" w:line="360" w:lineRule="auto"/>
        <w:jc w:val="both"/>
        <w:rPr>
          <w:rFonts w:ascii="Arial" w:eastAsia="Times New Roman" w:hAnsi="Arial" w:cs="Arial"/>
          <w:kern w:val="18"/>
          <w:sz w:val="24"/>
          <w:szCs w:val="24"/>
          <w:lang w:val="es-ES_tradnl" w:eastAsia="es-ES"/>
        </w:rPr>
      </w:pPr>
      <w:r>
        <w:rPr>
          <w:rFonts w:ascii="Arial" w:eastAsia="Times New Roman" w:hAnsi="Arial" w:cs="Arial"/>
          <w:b/>
          <w:sz w:val="24"/>
          <w:szCs w:val="24"/>
          <w:lang w:val="es-ES" w:eastAsia="es-ES"/>
        </w:rPr>
        <w:t>3</w:t>
      </w:r>
      <w:r w:rsidRPr="008D4663">
        <w:rPr>
          <w:rFonts w:ascii="Arial" w:eastAsia="Times New Roman" w:hAnsi="Arial" w:cs="Arial"/>
          <w:b/>
          <w:sz w:val="24"/>
          <w:szCs w:val="24"/>
          <w:lang w:val="es-ES" w:eastAsia="es-ES"/>
        </w:rPr>
        <w:t>. Artículo 4 del TOCAF:</w:t>
      </w:r>
      <w:r w:rsidRPr="008D4663">
        <w:rPr>
          <w:rFonts w:ascii="Arial" w:eastAsia="Times New Roman" w:hAnsi="Arial" w:cs="Arial"/>
          <w:sz w:val="24"/>
          <w:szCs w:val="24"/>
          <w:lang w:val="es-ES" w:eastAsia="es-ES"/>
        </w:rPr>
        <w:t xml:space="preserve"> </w:t>
      </w:r>
      <w:r w:rsidRPr="008D4663">
        <w:rPr>
          <w:rFonts w:ascii="Arial" w:eastAsia="Times New Roman" w:hAnsi="Arial" w:cs="Arial"/>
          <w:kern w:val="18"/>
          <w:sz w:val="24"/>
          <w:szCs w:val="24"/>
          <w:lang w:val="es-ES_tradnl" w:eastAsia="es-ES"/>
        </w:rPr>
        <w:t>En algunas Juntas Locales no se deposita el total de la recaudación tal como lo establece esta norma.</w:t>
      </w:r>
    </w:p>
    <w:p w:rsidR="00812D48" w:rsidRPr="008D4663" w:rsidRDefault="00812D48" w:rsidP="00FF63B7">
      <w:pPr>
        <w:widowControl w:val="0"/>
        <w:autoSpaceDE w:val="0"/>
        <w:autoSpaceDN w:val="0"/>
        <w:adjustRightInd w:val="0"/>
        <w:spacing w:after="0" w:line="360" w:lineRule="auto"/>
        <w:jc w:val="both"/>
        <w:rPr>
          <w:rFonts w:ascii="Arial" w:eastAsia="Times New Roman" w:hAnsi="Arial" w:cs="Arial"/>
          <w:kern w:val="18"/>
          <w:sz w:val="24"/>
          <w:szCs w:val="24"/>
          <w:lang w:val="es-ES_tradnl" w:eastAsia="es-ES"/>
        </w:rPr>
      </w:pPr>
    </w:p>
    <w:p w:rsidR="00812D48" w:rsidRDefault="00812D48" w:rsidP="00FF63B7">
      <w:pPr>
        <w:widowControl w:val="0"/>
        <w:autoSpaceDE w:val="0"/>
        <w:autoSpaceDN w:val="0"/>
        <w:adjustRightInd w:val="0"/>
        <w:spacing w:after="0" w:line="360" w:lineRule="auto"/>
        <w:jc w:val="both"/>
        <w:rPr>
          <w:rFonts w:ascii="Arial" w:eastAsia="Times New Roman" w:hAnsi="Arial" w:cs="Arial"/>
          <w:kern w:val="18"/>
          <w:sz w:val="24"/>
          <w:szCs w:val="24"/>
          <w:lang w:val="es-ES_tradnl" w:eastAsia="es-ES"/>
        </w:rPr>
      </w:pPr>
      <w:r>
        <w:rPr>
          <w:rFonts w:ascii="Arial" w:eastAsia="Times New Roman" w:hAnsi="Arial" w:cs="Arial"/>
          <w:b/>
          <w:kern w:val="18"/>
          <w:sz w:val="24"/>
          <w:szCs w:val="24"/>
          <w:lang w:val="es-ES_tradnl" w:eastAsia="es-ES"/>
        </w:rPr>
        <w:t>4</w:t>
      </w:r>
      <w:r w:rsidRPr="008D4663">
        <w:rPr>
          <w:rFonts w:ascii="Arial" w:eastAsia="Times New Roman" w:hAnsi="Arial" w:cs="Arial"/>
          <w:b/>
          <w:kern w:val="18"/>
          <w:sz w:val="24"/>
          <w:szCs w:val="24"/>
          <w:lang w:val="es-ES_tradnl" w:eastAsia="es-ES"/>
        </w:rPr>
        <w:t>. Artículo 15 del TOCAF</w:t>
      </w:r>
      <w:r w:rsidRPr="00FF63B7">
        <w:rPr>
          <w:rFonts w:ascii="Arial" w:eastAsia="Times New Roman" w:hAnsi="Arial" w:cs="Arial"/>
          <w:b/>
          <w:kern w:val="18"/>
          <w:sz w:val="24"/>
          <w:szCs w:val="24"/>
          <w:lang w:val="es-ES_tradnl" w:eastAsia="es-ES"/>
        </w:rPr>
        <w:t>:</w:t>
      </w:r>
      <w:r w:rsidRPr="008D4663">
        <w:rPr>
          <w:rFonts w:ascii="Arial" w:eastAsia="Times New Roman" w:hAnsi="Arial" w:cs="Arial"/>
          <w:kern w:val="18"/>
          <w:sz w:val="24"/>
          <w:szCs w:val="24"/>
          <w:lang w:val="es-ES_tradnl" w:eastAsia="es-ES"/>
        </w:rPr>
        <w:t xml:space="preserve"> Se ejecutaron obras sin estar debidamente aprobada</w:t>
      </w:r>
      <w:r w:rsidR="00FF63B7">
        <w:rPr>
          <w:rFonts w:ascii="Arial" w:eastAsia="Times New Roman" w:hAnsi="Arial" w:cs="Arial"/>
          <w:kern w:val="18"/>
          <w:sz w:val="24"/>
          <w:szCs w:val="24"/>
          <w:lang w:val="es-ES_tradnl" w:eastAsia="es-ES"/>
        </w:rPr>
        <w:t>s en la instancia presupuestal.</w:t>
      </w:r>
    </w:p>
    <w:p w:rsidR="00812D48" w:rsidRDefault="00812D48" w:rsidP="00FF63B7">
      <w:pPr>
        <w:widowControl w:val="0"/>
        <w:autoSpaceDE w:val="0"/>
        <w:autoSpaceDN w:val="0"/>
        <w:adjustRightInd w:val="0"/>
        <w:spacing w:after="0" w:line="360" w:lineRule="auto"/>
        <w:jc w:val="both"/>
        <w:rPr>
          <w:rFonts w:ascii="Arial" w:eastAsia="Times New Roman" w:hAnsi="Arial" w:cs="Arial"/>
          <w:kern w:val="18"/>
          <w:sz w:val="24"/>
          <w:szCs w:val="24"/>
          <w:lang w:val="es-ES_tradnl" w:eastAsia="es-ES"/>
        </w:rPr>
      </w:pPr>
    </w:p>
    <w:p w:rsidR="00812D48" w:rsidRPr="005A41D1" w:rsidRDefault="00812D48" w:rsidP="00FF63B7">
      <w:pPr>
        <w:widowControl w:val="0"/>
        <w:spacing w:line="360" w:lineRule="auto"/>
        <w:jc w:val="both"/>
        <w:rPr>
          <w:rFonts w:ascii="Arial" w:eastAsia="Times New Roman" w:hAnsi="Arial" w:cs="Arial"/>
          <w:kern w:val="18"/>
          <w:sz w:val="24"/>
          <w:szCs w:val="24"/>
          <w:lang w:val="es-ES_tradnl" w:eastAsia="es-ES"/>
        </w:rPr>
      </w:pPr>
      <w:r>
        <w:rPr>
          <w:rFonts w:ascii="Arial" w:eastAsia="Times New Roman" w:hAnsi="Arial" w:cs="Arial"/>
          <w:b/>
          <w:kern w:val="18"/>
          <w:sz w:val="24"/>
          <w:szCs w:val="24"/>
          <w:lang w:val="es-ES_tradnl" w:eastAsia="es-ES"/>
        </w:rPr>
        <w:t>5</w:t>
      </w:r>
      <w:r w:rsidRPr="001E5F9C">
        <w:rPr>
          <w:rFonts w:ascii="Arial" w:eastAsia="Times New Roman" w:hAnsi="Arial" w:cs="Arial"/>
          <w:b/>
          <w:kern w:val="18"/>
          <w:sz w:val="24"/>
          <w:szCs w:val="24"/>
          <w:lang w:val="es-ES_tradnl" w:eastAsia="es-ES"/>
        </w:rPr>
        <w:t>. Artículo 21 del TOCAF:</w:t>
      </w:r>
      <w:r w:rsidRPr="001E5F9C">
        <w:rPr>
          <w:rFonts w:ascii="Arial" w:eastAsia="Times New Roman" w:hAnsi="Arial" w:cs="Arial"/>
          <w:kern w:val="18"/>
          <w:sz w:val="24"/>
          <w:szCs w:val="24"/>
          <w:lang w:val="es-ES_tradnl" w:eastAsia="es-ES"/>
        </w:rPr>
        <w:t xml:space="preserve"> Se constataron pagos a artistas qu</w:t>
      </w:r>
      <w:r>
        <w:rPr>
          <w:rFonts w:ascii="Arial" w:eastAsia="Times New Roman" w:hAnsi="Arial" w:cs="Arial"/>
          <w:kern w:val="18"/>
          <w:sz w:val="24"/>
          <w:szCs w:val="24"/>
          <w:lang w:val="es-ES_tradnl" w:eastAsia="es-ES"/>
        </w:rPr>
        <w:t>e</w:t>
      </w:r>
      <w:r w:rsidRPr="001E5F9C">
        <w:rPr>
          <w:rFonts w:ascii="Arial" w:eastAsia="Times New Roman" w:hAnsi="Arial" w:cs="Arial"/>
          <w:kern w:val="18"/>
          <w:sz w:val="24"/>
          <w:szCs w:val="24"/>
          <w:lang w:val="es-ES_tradnl" w:eastAsia="es-ES"/>
        </w:rPr>
        <w:t xml:space="preserve"> no contaban con el correspondiente contrato artístico.</w:t>
      </w:r>
    </w:p>
    <w:p w:rsidR="00812D48" w:rsidRPr="008D4663" w:rsidRDefault="00812D48" w:rsidP="00FF63B7">
      <w:pPr>
        <w:widowControl w:val="0"/>
        <w:autoSpaceDE w:val="0"/>
        <w:autoSpaceDN w:val="0"/>
        <w:adjustRightInd w:val="0"/>
        <w:spacing w:after="0" w:line="360" w:lineRule="auto"/>
        <w:jc w:val="both"/>
        <w:rPr>
          <w:rFonts w:ascii="Arial" w:eastAsia="Times New Roman" w:hAnsi="Arial" w:cs="Arial"/>
          <w:kern w:val="18"/>
          <w:sz w:val="24"/>
          <w:szCs w:val="24"/>
          <w:lang w:val="es-ES_tradnl" w:eastAsia="es-ES"/>
        </w:rPr>
      </w:pPr>
      <w:r>
        <w:rPr>
          <w:rFonts w:ascii="Arial" w:eastAsia="Times New Roman" w:hAnsi="Arial" w:cs="Arial"/>
          <w:b/>
          <w:sz w:val="24"/>
          <w:szCs w:val="24"/>
          <w:lang w:val="es-ES" w:eastAsia="es-ES"/>
        </w:rPr>
        <w:t>6</w:t>
      </w:r>
      <w:r w:rsidRPr="008D4663">
        <w:rPr>
          <w:rFonts w:ascii="Arial" w:eastAsia="Times New Roman" w:hAnsi="Arial" w:cs="Arial"/>
          <w:b/>
          <w:sz w:val="24"/>
          <w:szCs w:val="24"/>
          <w:lang w:val="es-ES" w:eastAsia="es-ES"/>
        </w:rPr>
        <w:t>. Artículo 33 del TOCAF y Artículos 28 y 29 del Estatuto Municipal</w:t>
      </w:r>
      <w:r w:rsidRPr="008D4663">
        <w:rPr>
          <w:rFonts w:ascii="Arial" w:eastAsia="Times New Roman" w:hAnsi="Arial" w:cs="Arial"/>
          <w:kern w:val="18"/>
          <w:sz w:val="24"/>
          <w:szCs w:val="24"/>
          <w:lang w:val="es-ES_tradnl" w:eastAsia="es-ES"/>
        </w:rPr>
        <w:t>: La Intendencia no realizó concursos para la contratación de algunos  funcionarios.</w:t>
      </w:r>
    </w:p>
    <w:p w:rsidR="00812D48" w:rsidRPr="008D4663" w:rsidRDefault="00812D48" w:rsidP="00FF63B7">
      <w:pPr>
        <w:widowControl w:val="0"/>
        <w:autoSpaceDE w:val="0"/>
        <w:autoSpaceDN w:val="0"/>
        <w:adjustRightInd w:val="0"/>
        <w:spacing w:after="0" w:line="360" w:lineRule="auto"/>
        <w:jc w:val="both"/>
        <w:rPr>
          <w:rFonts w:ascii="Arial" w:hAnsi="Arial" w:cs="Arial"/>
          <w:sz w:val="24"/>
          <w:szCs w:val="24"/>
          <w:lang w:val="es-ES"/>
        </w:rPr>
      </w:pPr>
    </w:p>
    <w:p w:rsidR="00812D48" w:rsidRDefault="00812D48" w:rsidP="00FF63B7">
      <w:pPr>
        <w:spacing w:line="360" w:lineRule="auto"/>
        <w:jc w:val="both"/>
        <w:rPr>
          <w:rFonts w:ascii="Arial" w:eastAsia="Times New Roman" w:hAnsi="Arial" w:cs="Arial"/>
          <w:kern w:val="18"/>
          <w:sz w:val="24"/>
          <w:szCs w:val="24"/>
          <w:lang w:val="es-ES_tradnl" w:eastAsia="es-ES"/>
        </w:rPr>
      </w:pPr>
      <w:r>
        <w:rPr>
          <w:rFonts w:ascii="Arial" w:eastAsia="Times New Roman" w:hAnsi="Arial" w:cs="Arial"/>
          <w:b/>
          <w:kern w:val="18"/>
          <w:sz w:val="24"/>
          <w:szCs w:val="24"/>
          <w:lang w:val="es-ES_tradnl" w:eastAsia="es-ES"/>
        </w:rPr>
        <w:t>7</w:t>
      </w:r>
      <w:r w:rsidRPr="00341805">
        <w:rPr>
          <w:rFonts w:ascii="Arial" w:eastAsia="Times New Roman" w:hAnsi="Arial" w:cs="Arial"/>
          <w:b/>
          <w:kern w:val="18"/>
          <w:sz w:val="24"/>
          <w:szCs w:val="24"/>
          <w:lang w:val="es-ES_tradnl" w:eastAsia="es-ES"/>
        </w:rPr>
        <w:t>. Articulo 84 y 97 del TOCAF</w:t>
      </w:r>
      <w:r w:rsidRPr="00341805">
        <w:rPr>
          <w:rFonts w:ascii="Arial" w:eastAsia="Times New Roman" w:hAnsi="Arial" w:cs="Arial"/>
          <w:kern w:val="18"/>
          <w:sz w:val="24"/>
          <w:szCs w:val="24"/>
          <w:lang w:val="es-ES_tradnl" w:eastAsia="es-ES"/>
        </w:rPr>
        <w:t>. El inventario de bienes inmuebles de la Intendencia no está actualizado. Asimismo, el sistema contable no registra las existencias ni los movimientos del mismo</w:t>
      </w:r>
      <w:r w:rsidR="00FF63B7">
        <w:rPr>
          <w:rFonts w:ascii="Arial" w:eastAsia="Times New Roman" w:hAnsi="Arial" w:cs="Arial"/>
          <w:kern w:val="18"/>
          <w:sz w:val="24"/>
          <w:szCs w:val="24"/>
          <w:lang w:val="es-ES_tradnl" w:eastAsia="es-ES"/>
        </w:rPr>
        <w:t>.</w:t>
      </w:r>
    </w:p>
    <w:p w:rsidR="00812D48" w:rsidRDefault="00812D48" w:rsidP="00FF63B7">
      <w:pPr>
        <w:spacing w:after="0" w:line="360" w:lineRule="auto"/>
        <w:jc w:val="both"/>
        <w:rPr>
          <w:rFonts w:ascii="Arial" w:eastAsia="Times New Roman" w:hAnsi="Arial" w:cs="Arial"/>
          <w:snapToGrid w:val="0"/>
          <w:sz w:val="24"/>
          <w:szCs w:val="24"/>
          <w:lang w:val="es-ES_tradnl" w:eastAsia="es-ES"/>
        </w:rPr>
      </w:pPr>
      <w:r>
        <w:rPr>
          <w:rFonts w:ascii="Arial" w:eastAsia="Times New Roman" w:hAnsi="Arial" w:cs="Arial"/>
          <w:b/>
          <w:bCs/>
          <w:sz w:val="24"/>
          <w:szCs w:val="24"/>
          <w:lang w:val="es-ES" w:eastAsia="es-ES"/>
        </w:rPr>
        <w:t>8</w:t>
      </w:r>
      <w:r w:rsidRPr="008D4663">
        <w:rPr>
          <w:rFonts w:ascii="Arial" w:eastAsia="Times New Roman" w:hAnsi="Arial" w:cs="Arial"/>
          <w:b/>
          <w:bCs/>
          <w:sz w:val="24"/>
          <w:szCs w:val="24"/>
          <w:lang w:val="es-ES" w:eastAsia="es-ES"/>
        </w:rPr>
        <w:t>.</w:t>
      </w:r>
      <w:r w:rsidRPr="008D4663">
        <w:rPr>
          <w:rFonts w:ascii="Arial" w:eastAsia="Times New Roman" w:hAnsi="Arial" w:cs="Arial"/>
          <w:sz w:val="24"/>
          <w:szCs w:val="24"/>
          <w:lang w:val="es-ES" w:eastAsia="es-ES"/>
        </w:rPr>
        <w:t xml:space="preserve"> </w:t>
      </w:r>
      <w:r w:rsidRPr="008D4663">
        <w:rPr>
          <w:rFonts w:ascii="Arial" w:eastAsia="Times New Roman" w:hAnsi="Arial" w:cs="Arial"/>
          <w:b/>
          <w:snapToGrid w:val="0"/>
          <w:sz w:val="24"/>
          <w:szCs w:val="24"/>
          <w:lang w:val="es-ES_tradnl" w:eastAsia="es-ES"/>
        </w:rPr>
        <w:t xml:space="preserve">Artículo 90 del TOCAF. </w:t>
      </w:r>
      <w:r w:rsidRPr="008D4663">
        <w:rPr>
          <w:rFonts w:ascii="Arial" w:eastAsia="Times New Roman" w:hAnsi="Arial" w:cs="Arial"/>
          <w:snapToGrid w:val="0"/>
          <w:sz w:val="24"/>
          <w:szCs w:val="24"/>
          <w:lang w:val="es-ES_tradnl" w:eastAsia="es-ES"/>
        </w:rPr>
        <w:t>Se utilizaron fondos de cajas chicas para efectuar gastos que no son de menor cuantía ni</w:t>
      </w:r>
      <w:r w:rsidRPr="008D4663">
        <w:rPr>
          <w:rFonts w:ascii="Arial" w:eastAsia="Times New Roman" w:hAnsi="Arial" w:cs="Arial"/>
          <w:i/>
          <w:snapToGrid w:val="0"/>
          <w:sz w:val="24"/>
          <w:szCs w:val="24"/>
          <w:lang w:eastAsia="es-ES"/>
        </w:rPr>
        <w:t xml:space="preserve"> </w:t>
      </w:r>
      <w:r w:rsidRPr="008D4663">
        <w:rPr>
          <w:rFonts w:ascii="Arial" w:eastAsia="Times New Roman" w:hAnsi="Arial" w:cs="Arial"/>
          <w:snapToGrid w:val="0"/>
          <w:sz w:val="24"/>
          <w:szCs w:val="24"/>
          <w:lang w:val="es-ES_tradnl" w:eastAsia="es-ES"/>
        </w:rPr>
        <w:t>para solucionar necesidades momentáneas del servicio, o para adquirir elementos de escaso valor.</w:t>
      </w:r>
    </w:p>
    <w:p w:rsidR="00812D48" w:rsidRDefault="00812D48" w:rsidP="00FF63B7">
      <w:pPr>
        <w:spacing w:after="0" w:line="360" w:lineRule="auto"/>
        <w:jc w:val="both"/>
        <w:rPr>
          <w:rFonts w:ascii="Arial" w:eastAsia="Times New Roman" w:hAnsi="Arial" w:cs="Arial"/>
          <w:snapToGrid w:val="0"/>
          <w:sz w:val="24"/>
          <w:szCs w:val="24"/>
          <w:lang w:val="es-ES_tradnl" w:eastAsia="es-ES"/>
        </w:rPr>
      </w:pPr>
    </w:p>
    <w:p w:rsidR="00812D48" w:rsidRDefault="00812D48" w:rsidP="00FF63B7">
      <w:pPr>
        <w:spacing w:after="0" w:line="360" w:lineRule="auto"/>
        <w:jc w:val="both"/>
        <w:rPr>
          <w:rFonts w:ascii="Arial" w:eastAsia="Times New Roman" w:hAnsi="Arial" w:cs="Arial"/>
          <w:snapToGrid w:val="0"/>
          <w:sz w:val="24"/>
          <w:szCs w:val="24"/>
          <w:lang w:val="es-ES_tradnl" w:eastAsia="es-ES"/>
        </w:rPr>
      </w:pPr>
      <w:r>
        <w:rPr>
          <w:rFonts w:ascii="Arial" w:eastAsia="Times New Roman" w:hAnsi="Arial" w:cs="Arial"/>
          <w:b/>
          <w:bCs/>
          <w:sz w:val="24"/>
          <w:szCs w:val="24"/>
          <w:lang w:eastAsia="es-ES"/>
        </w:rPr>
        <w:t xml:space="preserve">9. </w:t>
      </w:r>
      <w:r w:rsidRPr="008D4663">
        <w:rPr>
          <w:rFonts w:ascii="Arial" w:eastAsia="Times New Roman" w:hAnsi="Arial" w:cs="Arial"/>
          <w:b/>
          <w:bCs/>
          <w:sz w:val="24"/>
          <w:szCs w:val="24"/>
          <w:lang w:eastAsia="es-ES"/>
        </w:rPr>
        <w:t xml:space="preserve">Artículos 90 y 154 del TOCAF: </w:t>
      </w:r>
      <w:r w:rsidRPr="008D4663">
        <w:rPr>
          <w:rFonts w:ascii="Arial" w:eastAsia="Times New Roman" w:hAnsi="Arial" w:cs="Arial"/>
          <w:sz w:val="24"/>
          <w:szCs w:val="24"/>
          <w:lang w:eastAsia="es-ES"/>
        </w:rPr>
        <w:t>La Administración no ha efectuado contrato de fianza o seguro de caución de fidelidad respecto a la totalidad de los funcionarios que custodian fondos o valores.</w:t>
      </w:r>
    </w:p>
    <w:p w:rsidR="00812D48" w:rsidRPr="008D4663" w:rsidRDefault="00812D48" w:rsidP="00FF63B7">
      <w:pPr>
        <w:spacing w:after="0" w:line="360" w:lineRule="auto"/>
        <w:jc w:val="both"/>
        <w:rPr>
          <w:rFonts w:ascii="Arial" w:eastAsia="Times New Roman" w:hAnsi="Arial" w:cs="Arial"/>
          <w:snapToGrid w:val="0"/>
          <w:sz w:val="24"/>
          <w:szCs w:val="24"/>
          <w:lang w:val="es-ES_tradnl" w:eastAsia="es-ES"/>
        </w:rPr>
      </w:pPr>
    </w:p>
    <w:p w:rsidR="00812D48" w:rsidRPr="008D4663" w:rsidRDefault="00812D48" w:rsidP="00FF63B7">
      <w:pPr>
        <w:spacing w:after="0" w:line="360" w:lineRule="auto"/>
        <w:jc w:val="both"/>
        <w:rPr>
          <w:rFonts w:ascii="Arial" w:eastAsia="Times New Roman" w:hAnsi="Arial" w:cs="Arial"/>
          <w:sz w:val="24"/>
          <w:szCs w:val="24"/>
          <w:lang w:val="es-ES" w:eastAsia="es-ES"/>
        </w:rPr>
      </w:pPr>
      <w:r>
        <w:rPr>
          <w:rFonts w:ascii="Arial" w:eastAsia="Times New Roman" w:hAnsi="Arial" w:cs="Arial"/>
          <w:b/>
          <w:kern w:val="18"/>
          <w:sz w:val="24"/>
          <w:szCs w:val="24"/>
          <w:lang w:val="es-ES_tradnl" w:eastAsia="es-ES"/>
        </w:rPr>
        <w:t>10.</w:t>
      </w:r>
      <w:r w:rsidRPr="008D4663">
        <w:rPr>
          <w:rFonts w:ascii="Arial" w:eastAsia="Times New Roman" w:hAnsi="Arial" w:cs="Arial"/>
          <w:b/>
          <w:kern w:val="18"/>
          <w:sz w:val="24"/>
          <w:szCs w:val="24"/>
          <w:lang w:val="es-ES_tradnl" w:eastAsia="es-ES"/>
        </w:rPr>
        <w:t xml:space="preserve"> Artículo 94 del TOCAF y Ordenanza No. 81 de este Tribunal:</w:t>
      </w:r>
      <w:r w:rsidRPr="008D4663">
        <w:rPr>
          <w:rFonts w:ascii="Arial" w:eastAsia="Times New Roman" w:hAnsi="Arial" w:cs="Arial"/>
          <w:sz w:val="24"/>
          <w:szCs w:val="24"/>
          <w:lang w:val="es-ES" w:eastAsia="es-ES"/>
        </w:rPr>
        <w:t xml:space="preserve"> No se ha implementado totalmente en la Intendencia un sistema de contabilidad patrimonial que permita cumplir con lo establecido en estas normas.</w:t>
      </w:r>
    </w:p>
    <w:p w:rsidR="00812D48" w:rsidRPr="008D4663" w:rsidRDefault="00812D48" w:rsidP="00FF63B7">
      <w:pPr>
        <w:spacing w:after="0" w:line="360" w:lineRule="auto"/>
        <w:jc w:val="both"/>
        <w:rPr>
          <w:rFonts w:ascii="Arial" w:eastAsia="Times New Roman" w:hAnsi="Arial" w:cs="Arial"/>
          <w:sz w:val="24"/>
          <w:szCs w:val="24"/>
          <w:lang w:val="es-ES" w:eastAsia="es-ES"/>
        </w:rPr>
      </w:pPr>
    </w:p>
    <w:p w:rsidR="00812D48" w:rsidRPr="008D4663" w:rsidRDefault="00812D48" w:rsidP="00FF63B7">
      <w:pPr>
        <w:widowControl w:val="0"/>
        <w:autoSpaceDE w:val="0"/>
        <w:autoSpaceDN w:val="0"/>
        <w:adjustRightInd w:val="0"/>
        <w:spacing w:after="0" w:line="360" w:lineRule="auto"/>
        <w:jc w:val="both"/>
        <w:rPr>
          <w:rFonts w:ascii="Arial" w:eastAsia="Times New Roman" w:hAnsi="Arial" w:cs="Arial"/>
          <w:kern w:val="18"/>
          <w:sz w:val="24"/>
          <w:szCs w:val="24"/>
          <w:lang w:val="es-ES_tradnl" w:eastAsia="es-ES"/>
        </w:rPr>
      </w:pPr>
      <w:r w:rsidRPr="008D4663">
        <w:rPr>
          <w:rFonts w:ascii="Arial" w:eastAsia="Times New Roman" w:hAnsi="Arial" w:cs="Arial"/>
          <w:b/>
          <w:kern w:val="18"/>
          <w:sz w:val="24"/>
          <w:szCs w:val="24"/>
          <w:lang w:val="es-ES_tradnl" w:eastAsia="es-ES"/>
        </w:rPr>
        <w:t>1</w:t>
      </w:r>
      <w:r>
        <w:rPr>
          <w:rFonts w:ascii="Arial" w:eastAsia="Times New Roman" w:hAnsi="Arial" w:cs="Arial"/>
          <w:b/>
          <w:kern w:val="18"/>
          <w:sz w:val="24"/>
          <w:szCs w:val="24"/>
          <w:lang w:val="es-ES_tradnl" w:eastAsia="es-ES"/>
        </w:rPr>
        <w:t>1</w:t>
      </w:r>
      <w:r w:rsidRPr="008D4663">
        <w:rPr>
          <w:rFonts w:ascii="Arial" w:eastAsia="Times New Roman" w:hAnsi="Arial" w:cs="Arial"/>
          <w:b/>
          <w:kern w:val="18"/>
          <w:sz w:val="24"/>
          <w:szCs w:val="24"/>
          <w:lang w:val="es-ES_tradnl" w:eastAsia="es-ES"/>
        </w:rPr>
        <w:t>. Artículo 99 del TOCAF:</w:t>
      </w:r>
      <w:r w:rsidRPr="008D4663">
        <w:rPr>
          <w:rFonts w:ascii="Arial" w:eastAsia="Times New Roman" w:hAnsi="Arial" w:cs="Arial"/>
          <w:kern w:val="18"/>
          <w:sz w:val="24"/>
          <w:szCs w:val="24"/>
          <w:lang w:val="es-ES_tradnl" w:eastAsia="es-ES"/>
        </w:rPr>
        <w:t xml:space="preserve"> No se ha implementado un registro de fondos y valores respecto de los cuales deban rendirse cuenta, así como de los bienes en guarda o custodia con los datos de</w:t>
      </w:r>
      <w:r w:rsidR="00FF63B7">
        <w:rPr>
          <w:rFonts w:ascii="Arial" w:eastAsia="Times New Roman" w:hAnsi="Arial" w:cs="Arial"/>
          <w:kern w:val="18"/>
          <w:sz w:val="24"/>
          <w:szCs w:val="24"/>
          <w:lang w:val="es-ES_tradnl" w:eastAsia="es-ES"/>
        </w:rPr>
        <w:t xml:space="preserve"> los funcionarios responsables.</w:t>
      </w:r>
    </w:p>
    <w:p w:rsidR="00812D48" w:rsidRPr="008D4663" w:rsidRDefault="00812D48" w:rsidP="00FF63B7">
      <w:pPr>
        <w:widowControl w:val="0"/>
        <w:autoSpaceDE w:val="0"/>
        <w:autoSpaceDN w:val="0"/>
        <w:adjustRightInd w:val="0"/>
        <w:spacing w:after="0" w:line="360" w:lineRule="auto"/>
        <w:jc w:val="both"/>
        <w:rPr>
          <w:rFonts w:ascii="Arial" w:eastAsia="Times New Roman" w:hAnsi="Arial" w:cs="Arial"/>
          <w:kern w:val="18"/>
          <w:sz w:val="24"/>
          <w:szCs w:val="24"/>
          <w:lang w:val="es-ES_tradnl" w:eastAsia="es-ES"/>
        </w:rPr>
      </w:pPr>
    </w:p>
    <w:p w:rsidR="00812D48" w:rsidRDefault="00812D48" w:rsidP="00FF63B7">
      <w:pPr>
        <w:widowControl w:val="0"/>
        <w:autoSpaceDE w:val="0"/>
        <w:autoSpaceDN w:val="0"/>
        <w:adjustRightInd w:val="0"/>
        <w:spacing w:after="0" w:line="360" w:lineRule="auto"/>
        <w:jc w:val="both"/>
        <w:rPr>
          <w:rFonts w:ascii="Arial" w:eastAsia="Times New Roman" w:hAnsi="Arial" w:cs="Arial"/>
          <w:snapToGrid w:val="0"/>
          <w:sz w:val="24"/>
          <w:szCs w:val="24"/>
          <w:lang w:val="es-ES" w:eastAsia="es-ES"/>
        </w:rPr>
      </w:pPr>
      <w:r w:rsidRPr="008D4663">
        <w:rPr>
          <w:rFonts w:ascii="Arial" w:eastAsia="Times New Roman" w:hAnsi="Arial" w:cs="Arial"/>
          <w:b/>
          <w:snapToGrid w:val="0"/>
          <w:sz w:val="24"/>
          <w:szCs w:val="24"/>
          <w:lang w:val="es-ES" w:eastAsia="es-ES"/>
        </w:rPr>
        <w:t>1</w:t>
      </w:r>
      <w:r>
        <w:rPr>
          <w:rFonts w:ascii="Arial" w:eastAsia="Times New Roman" w:hAnsi="Arial" w:cs="Arial"/>
          <w:b/>
          <w:snapToGrid w:val="0"/>
          <w:sz w:val="24"/>
          <w:szCs w:val="24"/>
          <w:lang w:val="es-ES" w:eastAsia="es-ES"/>
        </w:rPr>
        <w:t>2</w:t>
      </w:r>
      <w:r w:rsidRPr="008D4663">
        <w:rPr>
          <w:rFonts w:ascii="Arial" w:eastAsia="Times New Roman" w:hAnsi="Arial" w:cs="Arial"/>
          <w:b/>
          <w:snapToGrid w:val="0"/>
          <w:sz w:val="24"/>
          <w:szCs w:val="24"/>
          <w:lang w:val="es-ES" w:eastAsia="es-ES"/>
        </w:rPr>
        <w:t>. Articulo 102 Numeral 3) del TOCAF.</w:t>
      </w:r>
      <w:r w:rsidRPr="008D4663">
        <w:rPr>
          <w:rFonts w:ascii="Arial" w:eastAsia="Times New Roman" w:hAnsi="Arial" w:cs="Arial"/>
          <w:snapToGrid w:val="0"/>
          <w:sz w:val="24"/>
          <w:szCs w:val="24"/>
          <w:lang w:val="es-ES" w:eastAsia="es-ES"/>
        </w:rPr>
        <w:t xml:space="preserve"> En algunas ocasiones, el sistema contable determina erróneamente la disponibilidad del crédito para el objeto del gasto.</w:t>
      </w:r>
    </w:p>
    <w:p w:rsidR="00812D48" w:rsidRDefault="00812D48" w:rsidP="00FF63B7">
      <w:pPr>
        <w:widowControl w:val="0"/>
        <w:autoSpaceDE w:val="0"/>
        <w:autoSpaceDN w:val="0"/>
        <w:adjustRightInd w:val="0"/>
        <w:spacing w:after="0" w:line="360" w:lineRule="auto"/>
        <w:jc w:val="both"/>
        <w:rPr>
          <w:rFonts w:ascii="Arial" w:eastAsia="Times New Roman" w:hAnsi="Arial" w:cs="Arial"/>
          <w:snapToGrid w:val="0"/>
          <w:sz w:val="24"/>
          <w:szCs w:val="24"/>
          <w:lang w:val="es-ES" w:eastAsia="es-ES"/>
        </w:rPr>
      </w:pPr>
    </w:p>
    <w:p w:rsidR="00812D48" w:rsidRDefault="00812D48" w:rsidP="00FF63B7">
      <w:pPr>
        <w:widowControl w:val="0"/>
        <w:autoSpaceDE w:val="0"/>
        <w:autoSpaceDN w:val="0"/>
        <w:adjustRightInd w:val="0"/>
        <w:spacing w:after="0" w:line="360" w:lineRule="auto"/>
        <w:jc w:val="both"/>
        <w:rPr>
          <w:rFonts w:ascii="Arial" w:eastAsia="Times New Roman" w:hAnsi="Arial" w:cs="Arial"/>
          <w:snapToGrid w:val="0"/>
          <w:sz w:val="24"/>
          <w:szCs w:val="24"/>
          <w:lang w:val="es-ES" w:eastAsia="es-ES"/>
        </w:rPr>
      </w:pPr>
      <w:r w:rsidRPr="00065E27">
        <w:rPr>
          <w:rFonts w:ascii="Arial" w:eastAsia="Times New Roman" w:hAnsi="Arial" w:cs="Arial"/>
          <w:b/>
          <w:snapToGrid w:val="0"/>
          <w:sz w:val="24"/>
          <w:szCs w:val="24"/>
          <w:lang w:val="es-ES" w:eastAsia="es-ES"/>
        </w:rPr>
        <w:t>1</w:t>
      </w:r>
      <w:r>
        <w:rPr>
          <w:rFonts w:ascii="Arial" w:eastAsia="Times New Roman" w:hAnsi="Arial" w:cs="Arial"/>
          <w:b/>
          <w:snapToGrid w:val="0"/>
          <w:sz w:val="24"/>
          <w:szCs w:val="24"/>
          <w:lang w:val="es-ES" w:eastAsia="es-ES"/>
        </w:rPr>
        <w:t>3</w:t>
      </w:r>
      <w:r w:rsidRPr="00065E27">
        <w:rPr>
          <w:rFonts w:ascii="Arial" w:eastAsia="Times New Roman" w:hAnsi="Arial" w:cs="Arial"/>
          <w:b/>
          <w:snapToGrid w:val="0"/>
          <w:sz w:val="24"/>
          <w:szCs w:val="24"/>
          <w:lang w:val="es-ES" w:eastAsia="es-ES"/>
        </w:rPr>
        <w:t>. Artículos 102 y 119 del TOCAF</w:t>
      </w:r>
      <w:r w:rsidRPr="004C4AD8">
        <w:rPr>
          <w:rFonts w:ascii="Arial" w:eastAsia="Times New Roman" w:hAnsi="Arial" w:cs="Arial"/>
          <w:b/>
          <w:snapToGrid w:val="0"/>
          <w:sz w:val="24"/>
          <w:szCs w:val="24"/>
          <w:lang w:val="es-ES" w:eastAsia="es-ES"/>
        </w:rPr>
        <w:t>:</w:t>
      </w:r>
      <w:r w:rsidRPr="00065E27">
        <w:rPr>
          <w:rFonts w:ascii="Arial" w:eastAsia="Times New Roman" w:hAnsi="Arial" w:cs="Arial"/>
          <w:snapToGrid w:val="0"/>
          <w:sz w:val="24"/>
          <w:szCs w:val="24"/>
          <w:lang w:val="es-ES" w:eastAsia="es-ES"/>
        </w:rPr>
        <w:t xml:space="preserve"> No se efectuaron arqueos en forma periódica,</w:t>
      </w:r>
      <w:r w:rsidRPr="00065E27">
        <w:rPr>
          <w:rFonts w:cs="Arial"/>
          <w:szCs w:val="24"/>
        </w:rPr>
        <w:t xml:space="preserve"> </w:t>
      </w:r>
      <w:r w:rsidRPr="00065E27">
        <w:rPr>
          <w:rFonts w:ascii="Arial" w:eastAsia="Times New Roman" w:hAnsi="Arial" w:cs="Arial"/>
          <w:snapToGrid w:val="0"/>
          <w:sz w:val="24"/>
          <w:szCs w:val="24"/>
          <w:lang w:val="es-ES" w:eastAsia="es-ES"/>
        </w:rPr>
        <w:t>incumpliéndose con lo establecido en las mencionadas normas.</w:t>
      </w:r>
    </w:p>
    <w:p w:rsidR="00812D48" w:rsidRDefault="00812D48" w:rsidP="00FF63B7">
      <w:pPr>
        <w:widowControl w:val="0"/>
        <w:autoSpaceDE w:val="0"/>
        <w:autoSpaceDN w:val="0"/>
        <w:adjustRightInd w:val="0"/>
        <w:spacing w:after="0" w:line="360" w:lineRule="auto"/>
        <w:jc w:val="both"/>
        <w:rPr>
          <w:rFonts w:ascii="Arial" w:eastAsia="Times New Roman" w:hAnsi="Arial" w:cs="Arial"/>
          <w:snapToGrid w:val="0"/>
          <w:sz w:val="24"/>
          <w:szCs w:val="24"/>
          <w:lang w:val="es-ES" w:eastAsia="es-ES"/>
        </w:rPr>
      </w:pPr>
    </w:p>
    <w:p w:rsidR="00812D48" w:rsidRDefault="00812D48" w:rsidP="00FF63B7">
      <w:pPr>
        <w:widowControl w:val="0"/>
        <w:autoSpaceDE w:val="0"/>
        <w:autoSpaceDN w:val="0"/>
        <w:adjustRightInd w:val="0"/>
        <w:spacing w:after="0" w:line="360" w:lineRule="auto"/>
        <w:jc w:val="both"/>
        <w:rPr>
          <w:rFonts w:ascii="Arial" w:eastAsia="Times New Roman" w:hAnsi="Arial" w:cs="Arial"/>
          <w:snapToGrid w:val="0"/>
          <w:sz w:val="24"/>
          <w:szCs w:val="24"/>
          <w:lang w:val="es-ES" w:eastAsia="es-ES"/>
        </w:rPr>
      </w:pPr>
      <w:r w:rsidRPr="00C9557E">
        <w:rPr>
          <w:rFonts w:ascii="Arial" w:eastAsia="Times New Roman" w:hAnsi="Arial" w:cs="Arial"/>
          <w:b/>
          <w:snapToGrid w:val="0"/>
          <w:sz w:val="24"/>
          <w:szCs w:val="24"/>
          <w:lang w:val="es-ES" w:eastAsia="es-ES"/>
        </w:rPr>
        <w:t>1</w:t>
      </w:r>
      <w:r>
        <w:rPr>
          <w:rFonts w:ascii="Arial" w:eastAsia="Times New Roman" w:hAnsi="Arial" w:cs="Arial"/>
          <w:b/>
          <w:snapToGrid w:val="0"/>
          <w:sz w:val="24"/>
          <w:szCs w:val="24"/>
          <w:lang w:val="es-ES" w:eastAsia="es-ES"/>
        </w:rPr>
        <w:t>4</w:t>
      </w:r>
      <w:r w:rsidRPr="00C9557E">
        <w:rPr>
          <w:rFonts w:ascii="Arial" w:eastAsia="Times New Roman" w:hAnsi="Arial" w:cs="Arial"/>
          <w:b/>
          <w:snapToGrid w:val="0"/>
          <w:sz w:val="24"/>
          <w:szCs w:val="24"/>
          <w:lang w:val="es-ES" w:eastAsia="es-ES"/>
        </w:rPr>
        <w:t>. Artículo 124 de la Ley Nº 17.738.</w:t>
      </w:r>
      <w:r w:rsidRPr="00C9557E">
        <w:rPr>
          <w:rFonts w:ascii="Arial" w:eastAsia="Times New Roman" w:hAnsi="Arial" w:cs="Arial"/>
          <w:snapToGrid w:val="0"/>
          <w:sz w:val="24"/>
          <w:szCs w:val="24"/>
          <w:lang w:val="es-ES" w:eastAsia="es-ES"/>
        </w:rPr>
        <w:t xml:space="preserve"> La intendencia no solicitó los certificados de estar al día con la Caja de Profesionales Universitarios.</w:t>
      </w:r>
    </w:p>
    <w:p w:rsidR="00812D48" w:rsidRDefault="00812D48" w:rsidP="00FF63B7">
      <w:pPr>
        <w:widowControl w:val="0"/>
        <w:autoSpaceDE w:val="0"/>
        <w:autoSpaceDN w:val="0"/>
        <w:adjustRightInd w:val="0"/>
        <w:spacing w:after="0" w:line="360" w:lineRule="auto"/>
        <w:jc w:val="both"/>
        <w:rPr>
          <w:rFonts w:ascii="Arial" w:eastAsia="Times New Roman" w:hAnsi="Arial" w:cs="Arial"/>
          <w:snapToGrid w:val="0"/>
          <w:sz w:val="24"/>
          <w:szCs w:val="24"/>
          <w:lang w:val="es-ES" w:eastAsia="es-ES"/>
        </w:rPr>
      </w:pPr>
    </w:p>
    <w:p w:rsidR="00812D48" w:rsidRDefault="00812D48" w:rsidP="00FF63B7">
      <w:pPr>
        <w:widowControl w:val="0"/>
        <w:suppressAutoHyphens/>
        <w:overflowPunct w:val="0"/>
        <w:autoSpaceDE w:val="0"/>
        <w:autoSpaceDN w:val="0"/>
        <w:adjustRightInd w:val="0"/>
        <w:spacing w:after="0" w:line="360" w:lineRule="auto"/>
        <w:jc w:val="both"/>
        <w:rPr>
          <w:rFonts w:ascii="Arial" w:eastAsia="Times New Roman" w:hAnsi="Arial" w:cs="Arial"/>
          <w:bCs/>
          <w:snapToGrid w:val="0"/>
          <w:sz w:val="24"/>
          <w:szCs w:val="24"/>
          <w:lang w:val="es-ES" w:eastAsia="es-ES"/>
        </w:rPr>
      </w:pPr>
      <w:r w:rsidRPr="005E07F2">
        <w:rPr>
          <w:rFonts w:ascii="Arial" w:eastAsia="Times New Roman" w:hAnsi="Arial" w:cs="Arial"/>
          <w:b/>
          <w:bCs/>
          <w:snapToGrid w:val="0"/>
          <w:sz w:val="24"/>
          <w:szCs w:val="24"/>
          <w:lang w:val="es-ES" w:eastAsia="es-ES"/>
        </w:rPr>
        <w:t>1</w:t>
      </w:r>
      <w:r>
        <w:rPr>
          <w:rFonts w:ascii="Arial" w:eastAsia="Times New Roman" w:hAnsi="Arial" w:cs="Arial"/>
          <w:b/>
          <w:bCs/>
          <w:snapToGrid w:val="0"/>
          <w:sz w:val="24"/>
          <w:szCs w:val="24"/>
          <w:lang w:val="es-ES" w:eastAsia="es-ES"/>
        </w:rPr>
        <w:t>5</w:t>
      </w:r>
      <w:r w:rsidRPr="005E07F2">
        <w:rPr>
          <w:rFonts w:ascii="Arial" w:eastAsia="Times New Roman" w:hAnsi="Arial" w:cs="Arial"/>
          <w:b/>
          <w:bCs/>
          <w:snapToGrid w:val="0"/>
          <w:sz w:val="24"/>
          <w:szCs w:val="24"/>
          <w:lang w:val="es-ES" w:eastAsia="es-ES"/>
        </w:rPr>
        <w:t>. Decreto Nº 2181 de</w:t>
      </w:r>
      <w:r>
        <w:rPr>
          <w:rFonts w:ascii="Arial" w:eastAsia="Times New Roman" w:hAnsi="Arial" w:cs="Arial"/>
          <w:b/>
          <w:bCs/>
          <w:snapToGrid w:val="0"/>
          <w:sz w:val="24"/>
          <w:szCs w:val="24"/>
          <w:lang w:val="es-ES" w:eastAsia="es-ES"/>
        </w:rPr>
        <w:t>l 15/07/11</w:t>
      </w:r>
      <w:r w:rsidRPr="005E07F2">
        <w:rPr>
          <w:rFonts w:ascii="Arial" w:eastAsia="Times New Roman" w:hAnsi="Arial" w:cs="Arial"/>
          <w:bCs/>
          <w:snapToGrid w:val="0"/>
          <w:sz w:val="24"/>
          <w:szCs w:val="24"/>
          <w:lang w:val="es-ES" w:eastAsia="es-ES"/>
        </w:rPr>
        <w:t xml:space="preserve">. </w:t>
      </w:r>
      <w:r>
        <w:rPr>
          <w:rFonts w:ascii="Arial" w:eastAsia="Times New Roman" w:hAnsi="Arial" w:cs="Arial"/>
          <w:bCs/>
          <w:snapToGrid w:val="0"/>
          <w:sz w:val="24"/>
          <w:szCs w:val="24"/>
          <w:lang w:val="es-ES" w:eastAsia="es-ES"/>
        </w:rPr>
        <w:t>L</w:t>
      </w:r>
      <w:r w:rsidRPr="005E07F2">
        <w:rPr>
          <w:rFonts w:ascii="Arial" w:eastAsia="Times New Roman" w:hAnsi="Arial" w:cs="Arial"/>
          <w:bCs/>
          <w:snapToGrid w:val="0"/>
          <w:sz w:val="24"/>
          <w:szCs w:val="24"/>
          <w:lang w:val="es-ES" w:eastAsia="es-ES"/>
        </w:rPr>
        <w:t>os padrones rurales</w:t>
      </w:r>
      <w:r>
        <w:rPr>
          <w:rFonts w:ascii="Arial" w:eastAsia="Times New Roman" w:hAnsi="Arial" w:cs="Arial"/>
          <w:bCs/>
          <w:snapToGrid w:val="0"/>
          <w:sz w:val="24"/>
          <w:szCs w:val="24"/>
          <w:lang w:val="es-ES" w:eastAsia="es-ES"/>
        </w:rPr>
        <w:t xml:space="preserve"> mencionados en el Capítulo III del presente decreto, no fueron categorizados como p</w:t>
      </w:r>
      <w:r w:rsidR="004C4AD8">
        <w:rPr>
          <w:rFonts w:ascii="Arial" w:eastAsia="Times New Roman" w:hAnsi="Arial" w:cs="Arial"/>
          <w:bCs/>
          <w:snapToGrid w:val="0"/>
          <w:sz w:val="24"/>
          <w:szCs w:val="24"/>
          <w:lang w:val="es-ES" w:eastAsia="es-ES"/>
        </w:rPr>
        <w:t>adrones urbanos o sub urbanos.</w:t>
      </w:r>
    </w:p>
    <w:p w:rsidR="00812D48" w:rsidRPr="008D4663" w:rsidRDefault="00812D48" w:rsidP="00FF63B7">
      <w:pPr>
        <w:spacing w:after="0" w:line="360" w:lineRule="auto"/>
        <w:jc w:val="both"/>
        <w:rPr>
          <w:rFonts w:ascii="Arial" w:eastAsia="Times New Roman" w:hAnsi="Arial" w:cs="Arial"/>
          <w:snapToGrid w:val="0"/>
          <w:sz w:val="24"/>
          <w:szCs w:val="24"/>
          <w:lang w:val="es-ES" w:eastAsia="es-ES"/>
        </w:rPr>
      </w:pPr>
      <w:r w:rsidRPr="008D4663">
        <w:rPr>
          <w:rFonts w:ascii="Arial" w:eastAsia="Times New Roman" w:hAnsi="Arial" w:cs="Arial"/>
          <w:b/>
          <w:snapToGrid w:val="0"/>
          <w:sz w:val="24"/>
          <w:szCs w:val="24"/>
          <w:lang w:val="es-ES" w:eastAsia="es-ES"/>
        </w:rPr>
        <w:t>1</w:t>
      </w:r>
      <w:r>
        <w:rPr>
          <w:rFonts w:ascii="Arial" w:eastAsia="Times New Roman" w:hAnsi="Arial" w:cs="Arial"/>
          <w:b/>
          <w:snapToGrid w:val="0"/>
          <w:sz w:val="24"/>
          <w:szCs w:val="24"/>
          <w:lang w:val="es-ES" w:eastAsia="es-ES"/>
        </w:rPr>
        <w:t>6</w:t>
      </w:r>
      <w:r w:rsidRPr="008D4663">
        <w:rPr>
          <w:rFonts w:ascii="Arial" w:eastAsia="Times New Roman" w:hAnsi="Arial" w:cs="Arial"/>
          <w:b/>
          <w:snapToGrid w:val="0"/>
          <w:sz w:val="24"/>
          <w:szCs w:val="24"/>
          <w:lang w:val="es-ES" w:eastAsia="es-ES"/>
        </w:rPr>
        <w:t>.</w:t>
      </w:r>
      <w:r w:rsidRPr="008D4663">
        <w:rPr>
          <w:rFonts w:ascii="Arial" w:eastAsia="Times New Roman" w:hAnsi="Arial" w:cs="Arial"/>
          <w:kern w:val="18"/>
          <w:sz w:val="24"/>
          <w:szCs w:val="24"/>
          <w:lang w:val="es-ES_tradnl" w:eastAsia="es-ES"/>
        </w:rPr>
        <w:t xml:space="preserve"> </w:t>
      </w:r>
      <w:r w:rsidRPr="008D4663">
        <w:rPr>
          <w:rFonts w:ascii="Arial" w:eastAsia="Times New Roman" w:hAnsi="Arial" w:cs="Arial"/>
          <w:b/>
          <w:sz w:val="24"/>
          <w:szCs w:val="24"/>
          <w:lang w:val="es-ES" w:eastAsia="es-ES"/>
        </w:rPr>
        <w:t xml:space="preserve">Artículo 94 del Código Tributario y </w:t>
      </w:r>
      <w:r w:rsidRPr="008D4663">
        <w:rPr>
          <w:rFonts w:ascii="Arial" w:eastAsia="Times New Roman" w:hAnsi="Arial" w:cs="Arial"/>
          <w:b/>
          <w:bCs/>
          <w:snapToGrid w:val="0"/>
          <w:sz w:val="24"/>
          <w:szCs w:val="24"/>
          <w:lang w:val="es-ES" w:eastAsia="es-ES"/>
        </w:rPr>
        <w:t>Decreto Nº 598 de 11/01/2011</w:t>
      </w:r>
      <w:r w:rsidRPr="008D4663">
        <w:rPr>
          <w:rFonts w:ascii="Arial" w:eastAsia="Times New Roman" w:hAnsi="Arial" w:cs="Arial"/>
          <w:b/>
          <w:sz w:val="24"/>
          <w:szCs w:val="24"/>
          <w:lang w:val="es-ES" w:eastAsia="es-ES"/>
        </w:rPr>
        <w:t xml:space="preserve">: </w:t>
      </w:r>
      <w:r w:rsidRPr="008D4663">
        <w:rPr>
          <w:rFonts w:ascii="Arial" w:eastAsia="Times New Roman" w:hAnsi="Arial" w:cs="Arial"/>
          <w:snapToGrid w:val="0"/>
          <w:sz w:val="24"/>
          <w:szCs w:val="24"/>
          <w:lang w:val="es-ES" w:eastAsia="es-ES"/>
        </w:rPr>
        <w:t>La Intendencia no cumplió con los términos de caducidad dispuestos en los convenios que se realizaron con los contribuyentes. Asimismo,</w:t>
      </w:r>
      <w:r w:rsidRPr="008D4663">
        <w:rPr>
          <w:rFonts w:ascii="Arial" w:eastAsia="Times New Roman" w:hAnsi="Arial" w:cs="Arial"/>
          <w:snapToGrid w:val="0"/>
          <w:color w:val="FF0000"/>
          <w:sz w:val="24"/>
          <w:szCs w:val="24"/>
          <w:lang w:val="es-ES" w:eastAsia="es-ES"/>
        </w:rPr>
        <w:t xml:space="preserve"> </w:t>
      </w:r>
      <w:r w:rsidRPr="008D4663">
        <w:rPr>
          <w:rFonts w:ascii="Arial" w:eastAsia="Times New Roman" w:hAnsi="Arial" w:cs="Arial"/>
          <w:snapToGrid w:val="0"/>
          <w:sz w:val="24"/>
          <w:szCs w:val="24"/>
          <w:lang w:val="es-ES" w:eastAsia="es-ES"/>
        </w:rPr>
        <w:t>en algunos casos de cobro de contribución rural, no se cobraron las multas y recargos correspondientes.</w:t>
      </w:r>
    </w:p>
    <w:p w:rsidR="00812D48" w:rsidRDefault="00812D48" w:rsidP="00FF63B7">
      <w:pPr>
        <w:spacing w:after="0" w:line="360" w:lineRule="auto"/>
        <w:jc w:val="both"/>
        <w:rPr>
          <w:rFonts w:ascii="Arial" w:eastAsia="Times New Roman" w:hAnsi="Arial" w:cs="Arial"/>
          <w:b/>
          <w:bCs/>
          <w:sz w:val="24"/>
          <w:szCs w:val="24"/>
          <w:lang w:val="es-ES" w:eastAsia="es-ES"/>
        </w:rPr>
      </w:pPr>
    </w:p>
    <w:p w:rsidR="00812D48" w:rsidRDefault="00812D48" w:rsidP="00FF63B7">
      <w:pPr>
        <w:spacing w:after="0" w:line="360" w:lineRule="auto"/>
        <w:jc w:val="both"/>
        <w:rPr>
          <w:rFonts w:ascii="Arial" w:eastAsia="Times New Roman" w:hAnsi="Arial" w:cs="Arial"/>
          <w:sz w:val="24"/>
          <w:szCs w:val="24"/>
          <w:lang w:val="es-ES" w:eastAsia="es-ES"/>
        </w:rPr>
      </w:pPr>
      <w:r w:rsidRPr="008D4663">
        <w:rPr>
          <w:rFonts w:ascii="Arial" w:eastAsia="Times New Roman" w:hAnsi="Arial" w:cs="Arial"/>
          <w:b/>
          <w:bCs/>
          <w:sz w:val="24"/>
          <w:szCs w:val="24"/>
          <w:lang w:val="es-ES" w:eastAsia="es-ES"/>
        </w:rPr>
        <w:t>1</w:t>
      </w:r>
      <w:r>
        <w:rPr>
          <w:rFonts w:ascii="Arial" w:eastAsia="Times New Roman" w:hAnsi="Arial" w:cs="Arial"/>
          <w:b/>
          <w:bCs/>
          <w:sz w:val="24"/>
          <w:szCs w:val="24"/>
          <w:lang w:val="es-ES" w:eastAsia="es-ES"/>
        </w:rPr>
        <w:t>7</w:t>
      </w:r>
      <w:r w:rsidRPr="008D4663">
        <w:rPr>
          <w:rFonts w:ascii="Arial" w:eastAsia="Times New Roman" w:hAnsi="Arial" w:cs="Arial"/>
          <w:b/>
          <w:bCs/>
          <w:sz w:val="24"/>
          <w:szCs w:val="24"/>
          <w:lang w:val="es-ES" w:eastAsia="es-ES"/>
        </w:rPr>
        <w:t>. Convenio Nº 30 de la OIT:</w:t>
      </w:r>
      <w:r w:rsidRPr="008D4663">
        <w:rPr>
          <w:rFonts w:ascii="Arial" w:eastAsia="Times New Roman" w:hAnsi="Arial" w:cs="Arial"/>
          <w:sz w:val="24"/>
          <w:szCs w:val="24"/>
          <w:lang w:val="es-ES" w:eastAsia="es-ES"/>
        </w:rPr>
        <w:t xml:space="preserve"> Las liquidaciones de horas extras realizadas en el </w:t>
      </w:r>
      <w:r>
        <w:rPr>
          <w:rFonts w:ascii="Arial" w:eastAsia="Times New Roman" w:hAnsi="Arial" w:cs="Arial"/>
          <w:sz w:val="24"/>
          <w:szCs w:val="24"/>
          <w:lang w:val="es-ES" w:eastAsia="es-ES"/>
        </w:rPr>
        <w:t>E</w:t>
      </w:r>
      <w:r w:rsidRPr="00BF2826">
        <w:rPr>
          <w:rFonts w:ascii="Arial" w:eastAsia="Times New Roman" w:hAnsi="Arial" w:cs="Arial"/>
          <w:sz w:val="24"/>
          <w:szCs w:val="24"/>
          <w:lang w:val="es-ES" w:eastAsia="es-ES"/>
        </w:rPr>
        <w:t>jercicio 2014</w:t>
      </w:r>
      <w:r w:rsidRPr="008D4663">
        <w:rPr>
          <w:rFonts w:ascii="Arial" w:eastAsia="Times New Roman" w:hAnsi="Arial" w:cs="Arial"/>
          <w:sz w:val="24"/>
          <w:szCs w:val="24"/>
          <w:lang w:val="es-ES" w:eastAsia="es-ES"/>
        </w:rPr>
        <w:t>, en algunos casos han superado los límite</w:t>
      </w:r>
      <w:r>
        <w:rPr>
          <w:rFonts w:ascii="Arial" w:eastAsia="Times New Roman" w:hAnsi="Arial" w:cs="Arial"/>
          <w:sz w:val="24"/>
          <w:szCs w:val="24"/>
          <w:lang w:val="es-ES" w:eastAsia="es-ES"/>
        </w:rPr>
        <w:t>s</w:t>
      </w:r>
      <w:r w:rsidR="004C4AD8">
        <w:rPr>
          <w:rFonts w:ascii="Arial" w:eastAsia="Times New Roman" w:hAnsi="Arial" w:cs="Arial"/>
          <w:sz w:val="24"/>
          <w:szCs w:val="24"/>
          <w:lang w:val="es-ES" w:eastAsia="es-ES"/>
        </w:rPr>
        <w:t xml:space="preserve"> establecidos en este convenio.</w:t>
      </w:r>
    </w:p>
    <w:p w:rsidR="00812D48" w:rsidRPr="00E40D5A" w:rsidRDefault="00812D48" w:rsidP="00FF63B7">
      <w:pPr>
        <w:spacing w:after="0" w:line="360" w:lineRule="auto"/>
        <w:jc w:val="both"/>
        <w:rPr>
          <w:rFonts w:ascii="Arial" w:eastAsia="Times New Roman" w:hAnsi="Arial" w:cs="Arial"/>
          <w:b/>
          <w:i/>
          <w:sz w:val="24"/>
          <w:szCs w:val="24"/>
          <w:lang w:val="es-ES" w:eastAsia="es-ES"/>
        </w:rPr>
      </w:pPr>
    </w:p>
    <w:p w:rsidR="00812D48" w:rsidRDefault="00812D48" w:rsidP="00FF63B7">
      <w:pPr>
        <w:pStyle w:val="Textoindependiente"/>
        <w:autoSpaceDE w:val="0"/>
        <w:autoSpaceDN w:val="0"/>
        <w:adjustRightInd w:val="0"/>
        <w:spacing w:after="0"/>
      </w:pPr>
      <w:r>
        <w:rPr>
          <w:rFonts w:cs="Arial"/>
          <w:b/>
          <w:szCs w:val="24"/>
          <w:lang w:val="es-ES" w:eastAsia="ar-SA"/>
        </w:rPr>
        <w:t>18</w:t>
      </w:r>
      <w:r w:rsidRPr="00BA3DB1">
        <w:rPr>
          <w:rFonts w:cs="Arial"/>
          <w:b/>
          <w:szCs w:val="24"/>
          <w:lang w:val="es-ES" w:eastAsia="ar-SA"/>
        </w:rPr>
        <w:t xml:space="preserve"> </w:t>
      </w:r>
      <w:r w:rsidRPr="00BA3DB1">
        <w:rPr>
          <w:b/>
        </w:rPr>
        <w:t>Ordenanza N° 62 del Tribunal de Cuentas:</w:t>
      </w:r>
      <w:r w:rsidRPr="00BA3DB1">
        <w:t xml:space="preserve"> No se dio cumplimiento a esta norma dado que se aplicaron exoneraciones aprobadas por la Junta Departamental, que no fueron remitidas a este Tribunal.</w:t>
      </w:r>
    </w:p>
    <w:p w:rsidR="00812D48" w:rsidRPr="00621CA5" w:rsidRDefault="00812D48" w:rsidP="00FF63B7">
      <w:pPr>
        <w:spacing w:after="0" w:line="360" w:lineRule="auto"/>
        <w:jc w:val="both"/>
        <w:rPr>
          <w:rFonts w:ascii="Arial" w:eastAsia="Times New Roman" w:hAnsi="Arial" w:cs="Arial"/>
          <w:sz w:val="24"/>
          <w:szCs w:val="24"/>
          <w:lang w:val="es-ES_tradnl" w:eastAsia="ar-SA"/>
        </w:rPr>
      </w:pPr>
    </w:p>
    <w:p w:rsidR="00812D48" w:rsidRPr="008D4663" w:rsidRDefault="00812D48" w:rsidP="00FF63B7">
      <w:pPr>
        <w:spacing w:after="0" w:line="360" w:lineRule="auto"/>
        <w:jc w:val="both"/>
        <w:rPr>
          <w:rFonts w:ascii="Arial" w:eastAsia="Times New Roman" w:hAnsi="Arial" w:cs="Arial"/>
          <w:snapToGrid w:val="0"/>
          <w:sz w:val="24"/>
          <w:szCs w:val="24"/>
          <w:lang w:val="es-ES" w:eastAsia="es-ES"/>
        </w:rPr>
      </w:pPr>
      <w:r>
        <w:rPr>
          <w:rFonts w:ascii="Arial" w:eastAsia="Times New Roman" w:hAnsi="Arial" w:cs="Arial"/>
          <w:b/>
          <w:snapToGrid w:val="0"/>
          <w:sz w:val="24"/>
          <w:szCs w:val="24"/>
          <w:lang w:val="es-ES" w:eastAsia="es-ES"/>
        </w:rPr>
        <w:t>19</w:t>
      </w:r>
      <w:r w:rsidRPr="008D4663">
        <w:rPr>
          <w:rFonts w:ascii="Arial" w:eastAsia="Times New Roman" w:hAnsi="Arial" w:cs="Arial"/>
          <w:b/>
          <w:snapToGrid w:val="0"/>
          <w:sz w:val="24"/>
          <w:szCs w:val="24"/>
          <w:lang w:val="es-ES" w:eastAsia="es-ES"/>
        </w:rPr>
        <w:t>.</w:t>
      </w:r>
      <w:r>
        <w:rPr>
          <w:rFonts w:ascii="Arial" w:eastAsia="Times New Roman" w:hAnsi="Arial" w:cs="Arial"/>
          <w:b/>
          <w:snapToGrid w:val="0"/>
          <w:sz w:val="24"/>
          <w:szCs w:val="24"/>
          <w:lang w:val="es-ES" w:eastAsia="es-ES"/>
        </w:rPr>
        <w:t xml:space="preserve"> Artículo 4 del Decreto 1663/ 01 y artículo 5 de la </w:t>
      </w:r>
      <w:r w:rsidRPr="008D4663">
        <w:rPr>
          <w:rFonts w:ascii="Arial" w:eastAsia="Times New Roman" w:hAnsi="Arial" w:cs="Arial"/>
          <w:b/>
          <w:snapToGrid w:val="0"/>
          <w:sz w:val="24"/>
          <w:szCs w:val="24"/>
          <w:lang w:val="es-ES" w:eastAsia="es-ES"/>
        </w:rPr>
        <w:t xml:space="preserve">Resolución </w:t>
      </w:r>
      <w:r>
        <w:rPr>
          <w:rFonts w:ascii="Arial" w:eastAsia="Times New Roman" w:hAnsi="Arial" w:cs="Arial"/>
          <w:b/>
          <w:snapToGrid w:val="0"/>
          <w:sz w:val="24"/>
          <w:szCs w:val="24"/>
          <w:lang w:val="es-ES" w:eastAsia="es-ES"/>
        </w:rPr>
        <w:t xml:space="preserve">                           </w:t>
      </w:r>
      <w:r w:rsidRPr="008D4663">
        <w:rPr>
          <w:rFonts w:ascii="Arial" w:eastAsia="Times New Roman" w:hAnsi="Arial" w:cs="Arial"/>
          <w:b/>
          <w:snapToGrid w:val="0"/>
          <w:sz w:val="24"/>
          <w:szCs w:val="24"/>
          <w:lang w:val="es-ES" w:eastAsia="es-ES"/>
        </w:rPr>
        <w:t xml:space="preserve">Nº </w:t>
      </w:r>
      <w:r>
        <w:rPr>
          <w:rFonts w:ascii="Arial" w:eastAsia="Times New Roman" w:hAnsi="Arial" w:cs="Arial"/>
          <w:b/>
          <w:snapToGrid w:val="0"/>
          <w:sz w:val="24"/>
          <w:szCs w:val="24"/>
          <w:lang w:val="es-ES" w:eastAsia="es-ES"/>
        </w:rPr>
        <w:t>126</w:t>
      </w:r>
      <w:r w:rsidRPr="008D4663">
        <w:rPr>
          <w:rFonts w:ascii="Arial" w:eastAsia="Times New Roman" w:hAnsi="Arial" w:cs="Arial"/>
          <w:b/>
          <w:snapToGrid w:val="0"/>
          <w:sz w:val="24"/>
          <w:szCs w:val="24"/>
          <w:lang w:val="es-ES" w:eastAsia="es-ES"/>
        </w:rPr>
        <w:t>/201</w:t>
      </w:r>
      <w:r>
        <w:rPr>
          <w:rFonts w:ascii="Arial" w:eastAsia="Times New Roman" w:hAnsi="Arial" w:cs="Arial"/>
          <w:b/>
          <w:snapToGrid w:val="0"/>
          <w:sz w:val="24"/>
          <w:szCs w:val="24"/>
          <w:lang w:val="es-ES" w:eastAsia="es-ES"/>
        </w:rPr>
        <w:t>4</w:t>
      </w:r>
      <w:r w:rsidRPr="008D4663">
        <w:rPr>
          <w:rFonts w:ascii="Arial" w:eastAsia="Times New Roman" w:hAnsi="Arial" w:cs="Arial"/>
          <w:b/>
          <w:snapToGrid w:val="0"/>
          <w:sz w:val="24"/>
          <w:szCs w:val="24"/>
          <w:lang w:val="es-ES" w:eastAsia="es-ES"/>
        </w:rPr>
        <w:t xml:space="preserve">: </w:t>
      </w:r>
      <w:r w:rsidRPr="008D4663">
        <w:rPr>
          <w:rFonts w:ascii="Arial" w:eastAsia="Times New Roman" w:hAnsi="Arial" w:cs="Arial"/>
          <w:snapToGrid w:val="0"/>
          <w:sz w:val="24"/>
          <w:szCs w:val="24"/>
          <w:lang w:val="es-ES" w:eastAsia="es-ES"/>
        </w:rPr>
        <w:t>Se constató que en algunas ocasiones, se calculó erróneamente  el impuesto al baldío determinando un monto diferente a lo que señala la normativa.</w:t>
      </w:r>
    </w:p>
    <w:p w:rsidR="00812D48" w:rsidRDefault="00812D48" w:rsidP="00FF63B7">
      <w:pPr>
        <w:widowControl w:val="0"/>
        <w:suppressAutoHyphens/>
        <w:overflowPunct w:val="0"/>
        <w:autoSpaceDE w:val="0"/>
        <w:autoSpaceDN w:val="0"/>
        <w:adjustRightInd w:val="0"/>
        <w:spacing w:after="0" w:line="360" w:lineRule="auto"/>
        <w:jc w:val="both"/>
        <w:rPr>
          <w:rFonts w:ascii="Arial" w:eastAsia="Times New Roman" w:hAnsi="Arial" w:cs="Arial"/>
          <w:bCs/>
          <w:snapToGrid w:val="0"/>
          <w:sz w:val="24"/>
          <w:szCs w:val="24"/>
          <w:lang w:val="es-ES" w:eastAsia="es-ES"/>
        </w:rPr>
      </w:pPr>
      <w:r>
        <w:rPr>
          <w:rFonts w:ascii="Arial" w:eastAsia="Times New Roman" w:hAnsi="Arial" w:cs="Arial"/>
          <w:bCs/>
          <w:snapToGrid w:val="0"/>
          <w:sz w:val="24"/>
          <w:szCs w:val="24"/>
          <w:lang w:val="es-ES" w:eastAsia="es-ES"/>
        </w:rPr>
        <w:t xml:space="preserve"> </w:t>
      </w:r>
    </w:p>
    <w:p w:rsidR="00812D48" w:rsidRPr="00506BE3" w:rsidRDefault="00812D48" w:rsidP="00FF63B7">
      <w:pPr>
        <w:spacing w:after="0" w:line="360" w:lineRule="auto"/>
        <w:jc w:val="both"/>
        <w:rPr>
          <w:rFonts w:ascii="Arial" w:hAnsi="Arial" w:cs="Arial"/>
          <w:sz w:val="24"/>
          <w:szCs w:val="24"/>
        </w:rPr>
      </w:pPr>
      <w:r w:rsidRPr="00506BE3">
        <w:rPr>
          <w:rFonts w:ascii="Arial" w:hAnsi="Arial" w:cs="Arial"/>
          <w:sz w:val="24"/>
          <w:szCs w:val="24"/>
        </w:rPr>
        <w:t>Asimismo, durante el ejercicio, el Contador Delegado observó gastos por incumplimiento de lo establecido en el Artículo 15 del TOCAF, Artículo 662 Ley 16.170 y Artículo 667 Ley 15.809, los que fueron reiterad</w:t>
      </w:r>
      <w:r w:rsidR="008C2E9F">
        <w:rPr>
          <w:rFonts w:ascii="Arial" w:hAnsi="Arial" w:cs="Arial"/>
          <w:sz w:val="24"/>
          <w:szCs w:val="24"/>
        </w:rPr>
        <w:t>os por el Ordenador respectivo.</w:t>
      </w:r>
    </w:p>
    <w:p w:rsidR="00812D48" w:rsidRDefault="00812D48" w:rsidP="00FF63B7">
      <w:pPr>
        <w:spacing w:after="0" w:line="360" w:lineRule="auto"/>
        <w:jc w:val="right"/>
        <w:rPr>
          <w:rFonts w:ascii="Arial" w:hAnsi="Arial" w:cs="Arial"/>
          <w:sz w:val="24"/>
          <w:szCs w:val="24"/>
        </w:rPr>
      </w:pPr>
      <w:r w:rsidRPr="00EE129E">
        <w:rPr>
          <w:rFonts w:ascii="Arial" w:hAnsi="Arial" w:cs="Arial"/>
          <w:sz w:val="24"/>
          <w:szCs w:val="24"/>
        </w:rPr>
        <w:t xml:space="preserve">Montevideo, </w:t>
      </w:r>
      <w:r>
        <w:rPr>
          <w:rFonts w:ascii="Arial" w:hAnsi="Arial" w:cs="Arial"/>
          <w:sz w:val="24"/>
          <w:szCs w:val="24"/>
        </w:rPr>
        <w:t>4</w:t>
      </w:r>
      <w:r w:rsidRPr="00EE129E">
        <w:rPr>
          <w:rFonts w:ascii="Arial" w:hAnsi="Arial" w:cs="Arial"/>
          <w:sz w:val="24"/>
          <w:szCs w:val="24"/>
        </w:rPr>
        <w:t xml:space="preserve"> de diciembre de 2015</w:t>
      </w:r>
    </w:p>
    <w:p w:rsidR="00812D48" w:rsidRDefault="00812D48" w:rsidP="0077264F">
      <w:pPr>
        <w:suppressAutoHyphens/>
        <w:spacing w:after="0" w:line="360" w:lineRule="auto"/>
        <w:jc w:val="both"/>
        <w:rPr>
          <w:rFonts w:ascii="Arial" w:eastAsia="Times New Roman" w:hAnsi="Arial"/>
          <w:kern w:val="1"/>
          <w:sz w:val="18"/>
          <w:szCs w:val="18"/>
          <w:lang w:val="es-ES_tradnl" w:eastAsia="ar-SA"/>
        </w:rPr>
      </w:pPr>
    </w:p>
    <w:p w:rsidR="00812D48" w:rsidRDefault="00812D48" w:rsidP="0077264F">
      <w:pPr>
        <w:suppressAutoHyphens/>
        <w:spacing w:after="0" w:line="360" w:lineRule="auto"/>
        <w:jc w:val="both"/>
        <w:rPr>
          <w:rFonts w:ascii="Arial" w:eastAsia="Times New Roman" w:hAnsi="Arial"/>
          <w:kern w:val="1"/>
          <w:sz w:val="18"/>
          <w:szCs w:val="18"/>
          <w:lang w:val="es-ES_tradnl" w:eastAsia="ar-SA"/>
        </w:rPr>
      </w:pPr>
    </w:p>
    <w:p w:rsidR="00812D48" w:rsidRDefault="00812D48" w:rsidP="0077264F">
      <w:pPr>
        <w:suppressAutoHyphens/>
        <w:spacing w:after="0" w:line="360" w:lineRule="auto"/>
        <w:jc w:val="both"/>
        <w:rPr>
          <w:rFonts w:ascii="Arial" w:eastAsia="Times New Roman" w:hAnsi="Arial"/>
          <w:kern w:val="1"/>
          <w:sz w:val="18"/>
          <w:szCs w:val="18"/>
          <w:lang w:val="es-ES_tradnl" w:eastAsia="ar-SA"/>
        </w:rPr>
      </w:pPr>
    </w:p>
    <w:p w:rsidR="00812D48" w:rsidRDefault="00812D48" w:rsidP="0077264F">
      <w:pPr>
        <w:suppressAutoHyphens/>
        <w:spacing w:after="0" w:line="360" w:lineRule="auto"/>
        <w:jc w:val="both"/>
        <w:rPr>
          <w:rFonts w:ascii="Arial" w:eastAsia="Times New Roman" w:hAnsi="Arial"/>
          <w:kern w:val="1"/>
          <w:sz w:val="18"/>
          <w:szCs w:val="18"/>
          <w:lang w:val="es-ES_tradnl" w:eastAsia="ar-SA"/>
        </w:rPr>
      </w:pPr>
    </w:p>
    <w:p w:rsidR="00812D48" w:rsidRDefault="00812D48" w:rsidP="0077264F">
      <w:pPr>
        <w:suppressAutoHyphens/>
        <w:spacing w:after="0" w:line="360" w:lineRule="auto"/>
        <w:jc w:val="both"/>
        <w:rPr>
          <w:rFonts w:ascii="Arial" w:eastAsia="Times New Roman" w:hAnsi="Arial"/>
          <w:kern w:val="1"/>
          <w:sz w:val="18"/>
          <w:szCs w:val="18"/>
          <w:lang w:val="es-ES_tradnl" w:eastAsia="ar-SA"/>
        </w:rPr>
      </w:pPr>
    </w:p>
    <w:p w:rsidR="008C2E9F" w:rsidRDefault="008C2E9F" w:rsidP="0077264F">
      <w:pPr>
        <w:suppressAutoHyphens/>
        <w:spacing w:after="0" w:line="360" w:lineRule="auto"/>
        <w:jc w:val="both"/>
        <w:rPr>
          <w:rFonts w:ascii="Arial" w:eastAsia="Times New Roman" w:hAnsi="Arial"/>
          <w:kern w:val="1"/>
          <w:sz w:val="18"/>
          <w:szCs w:val="18"/>
          <w:lang w:val="es-ES_tradnl" w:eastAsia="ar-SA"/>
        </w:rPr>
      </w:pPr>
    </w:p>
    <w:p w:rsidR="00812D48" w:rsidRDefault="00812D48" w:rsidP="0077264F">
      <w:pPr>
        <w:suppressAutoHyphens/>
        <w:spacing w:after="0" w:line="360" w:lineRule="auto"/>
        <w:jc w:val="both"/>
        <w:rPr>
          <w:rFonts w:ascii="Arial" w:eastAsia="Times New Roman" w:hAnsi="Arial"/>
          <w:kern w:val="1"/>
          <w:sz w:val="18"/>
          <w:szCs w:val="18"/>
          <w:lang w:val="es-ES_tradnl" w:eastAsia="ar-SA"/>
        </w:rPr>
      </w:pPr>
    </w:p>
    <w:p w:rsidR="00812D48" w:rsidRDefault="00812D48" w:rsidP="00FF63B7">
      <w:pPr>
        <w:pStyle w:val="Ttulo1"/>
        <w:spacing w:after="0"/>
        <w:jc w:val="center"/>
        <w:rPr>
          <w:rFonts w:cs="Arial"/>
          <w:caps w:val="0"/>
          <w:kern w:val="0"/>
          <w:szCs w:val="24"/>
        </w:rPr>
      </w:pPr>
      <w:bookmarkStart w:id="2" w:name="_Toc402960812"/>
      <w:r w:rsidRPr="00546D38">
        <w:rPr>
          <w:rFonts w:cs="Arial"/>
          <w:caps w:val="0"/>
          <w:kern w:val="0"/>
          <w:szCs w:val="24"/>
        </w:rPr>
        <w:t>INFORME A LA ADMINISTRACIÓN</w:t>
      </w:r>
      <w:bookmarkEnd w:id="2"/>
    </w:p>
    <w:p w:rsidR="00812D48" w:rsidRPr="00C91416" w:rsidRDefault="00812D48" w:rsidP="00FF63B7">
      <w:pPr>
        <w:rPr>
          <w:lang w:val="es-ES" w:eastAsia="es-ES"/>
        </w:rPr>
      </w:pPr>
    </w:p>
    <w:p w:rsidR="00812D48" w:rsidRDefault="00812D48" w:rsidP="00FF63B7">
      <w:pPr>
        <w:pStyle w:val="Textoindependiente2"/>
        <w:spacing w:after="0" w:line="360" w:lineRule="auto"/>
        <w:rPr>
          <w:rFonts w:cs="Arial"/>
        </w:rPr>
      </w:pPr>
      <w:r>
        <w:rPr>
          <w:rFonts w:cs="Arial"/>
        </w:rPr>
        <w:t xml:space="preserve">El Tribunal de Cuentas ha examinado la Rendición de Cuentas y Balance de Ejecución Presupuestal correspondiente al </w:t>
      </w:r>
      <w:r w:rsidRPr="00781E52">
        <w:rPr>
          <w:rFonts w:cs="Arial"/>
        </w:rPr>
        <w:t>Ejercicio 2014</w:t>
      </w:r>
      <w:r>
        <w:rPr>
          <w:rFonts w:cs="Arial"/>
        </w:rPr>
        <w:t xml:space="preserve"> y ha emitido su correspondiente Dictamen.</w:t>
      </w:r>
    </w:p>
    <w:p w:rsidR="00812D48" w:rsidRDefault="00812D48" w:rsidP="00FF63B7">
      <w:pPr>
        <w:pStyle w:val="Textoindependiente2"/>
        <w:spacing w:after="0" w:line="360" w:lineRule="auto"/>
        <w:rPr>
          <w:rFonts w:cs="Arial"/>
        </w:rPr>
      </w:pPr>
      <w:r>
        <w:rPr>
          <w:rFonts w:cs="Arial"/>
        </w:rPr>
        <w:t>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la forma de cumplimiento de las recomendaciones presentadas en el informe de auditoría correspondiente al ejercicio anterior.</w:t>
      </w:r>
    </w:p>
    <w:p w:rsidR="00812D48" w:rsidRDefault="00812D48" w:rsidP="00FF63B7">
      <w:pPr>
        <w:pStyle w:val="Textoindependiente2"/>
        <w:spacing w:after="0" w:line="360" w:lineRule="auto"/>
        <w:rPr>
          <w:rFonts w:cs="Arial"/>
        </w:rPr>
      </w:pPr>
    </w:p>
    <w:p w:rsidR="00812D48" w:rsidRPr="0019339D" w:rsidRDefault="00812D48" w:rsidP="00FF63B7">
      <w:pPr>
        <w:pStyle w:val="Ttulo2"/>
        <w:spacing w:before="0" w:line="360" w:lineRule="auto"/>
        <w:rPr>
          <w:rFonts w:ascii="Arial" w:hAnsi="Arial" w:cs="Arial"/>
          <w:snapToGrid w:val="0"/>
          <w:color w:val="auto"/>
          <w:sz w:val="24"/>
          <w:szCs w:val="24"/>
          <w:lang w:val="es-ES" w:eastAsia="es-ES"/>
        </w:rPr>
      </w:pPr>
      <w:bookmarkStart w:id="3" w:name="_Toc367364155"/>
      <w:bookmarkStart w:id="4" w:name="_Toc402960813"/>
      <w:r w:rsidRPr="0019339D">
        <w:rPr>
          <w:rFonts w:ascii="Arial" w:hAnsi="Arial" w:cs="Arial"/>
          <w:snapToGrid w:val="0"/>
          <w:color w:val="auto"/>
          <w:sz w:val="24"/>
          <w:szCs w:val="24"/>
          <w:lang w:val="es-ES" w:eastAsia="es-ES"/>
        </w:rPr>
        <w:t>1 C</w:t>
      </w:r>
      <w:r>
        <w:rPr>
          <w:rFonts w:ascii="Arial" w:hAnsi="Arial" w:cs="Arial"/>
          <w:snapToGrid w:val="0"/>
          <w:color w:val="auto"/>
          <w:sz w:val="24"/>
          <w:szCs w:val="24"/>
          <w:lang w:val="es-ES" w:eastAsia="es-ES"/>
        </w:rPr>
        <w:t>onstataciones que no afectan la opinión.</w:t>
      </w:r>
      <w:bookmarkEnd w:id="3"/>
      <w:bookmarkEnd w:id="4"/>
    </w:p>
    <w:p w:rsidR="00812D48" w:rsidRPr="00D9386E" w:rsidRDefault="00812D48" w:rsidP="00FF63B7">
      <w:pPr>
        <w:spacing w:after="0" w:line="360" w:lineRule="auto"/>
        <w:rPr>
          <w:lang w:val="es-ES" w:eastAsia="es-ES"/>
        </w:rPr>
      </w:pPr>
    </w:p>
    <w:p w:rsidR="00812D48" w:rsidRPr="0017338B" w:rsidRDefault="00812D48" w:rsidP="00FF63B7">
      <w:pPr>
        <w:pStyle w:val="Ttulo2"/>
        <w:spacing w:before="0" w:line="360" w:lineRule="auto"/>
        <w:rPr>
          <w:rFonts w:ascii="Arial" w:hAnsi="Arial" w:cs="Arial"/>
          <w:snapToGrid w:val="0"/>
          <w:color w:val="auto"/>
          <w:sz w:val="24"/>
          <w:szCs w:val="24"/>
          <w:lang w:val="es-ES" w:eastAsia="es-ES"/>
        </w:rPr>
      </w:pPr>
      <w:bookmarkStart w:id="5" w:name="_Toc367364156"/>
      <w:bookmarkStart w:id="6" w:name="_Toc402960814"/>
      <w:r w:rsidRPr="0017338B">
        <w:rPr>
          <w:rFonts w:ascii="Arial" w:hAnsi="Arial" w:cs="Arial"/>
          <w:snapToGrid w:val="0"/>
          <w:color w:val="auto"/>
          <w:sz w:val="24"/>
          <w:szCs w:val="24"/>
          <w:lang w:val="es-ES" w:eastAsia="es-ES"/>
        </w:rPr>
        <w:t xml:space="preserve">1.1 </w:t>
      </w:r>
      <w:bookmarkEnd w:id="5"/>
      <w:r w:rsidRPr="0017338B">
        <w:rPr>
          <w:rFonts w:ascii="Arial" w:hAnsi="Arial" w:cs="Arial"/>
          <w:snapToGrid w:val="0"/>
          <w:color w:val="auto"/>
          <w:sz w:val="24"/>
          <w:szCs w:val="24"/>
          <w:lang w:val="es-ES" w:eastAsia="es-ES"/>
        </w:rPr>
        <w:t>Saldo de la Junta Departamental a favor de la Intendencia</w:t>
      </w:r>
      <w:bookmarkEnd w:id="6"/>
    </w:p>
    <w:p w:rsidR="00812D48" w:rsidRPr="0017338B" w:rsidRDefault="00812D48" w:rsidP="00FF63B7">
      <w:pPr>
        <w:spacing w:after="0" w:line="360" w:lineRule="auto"/>
        <w:jc w:val="both"/>
        <w:rPr>
          <w:rFonts w:ascii="Arial" w:eastAsia="Times New Roman" w:hAnsi="Arial" w:cs="Arial"/>
          <w:kern w:val="18"/>
          <w:sz w:val="24"/>
          <w:szCs w:val="24"/>
          <w:lang w:val="es-ES_tradnl" w:eastAsia="es-ES"/>
        </w:rPr>
      </w:pPr>
      <w:bookmarkStart w:id="7" w:name="_Toc367364157"/>
      <w:r w:rsidRPr="0017338B">
        <w:rPr>
          <w:rFonts w:ascii="Arial" w:eastAsia="Times New Roman" w:hAnsi="Arial" w:cs="Arial"/>
          <w:kern w:val="18"/>
          <w:sz w:val="24"/>
          <w:szCs w:val="24"/>
          <w:lang w:val="es-ES_tradnl" w:eastAsia="es-ES"/>
        </w:rPr>
        <w:t>La Intendencia expone $ 1:912.945 como Economía de la Junta Departamental. De acuerdo a la Rendición de Cuentas correspondiente al Ejercicio 2014 del Legislativo Comunal, ya dictaminada por este Tribunal, dicho monto ascendió a $ 1:929.172, presentándose una diferencia de $ 16.227, que corresponde ser ajustada.</w:t>
      </w:r>
    </w:p>
    <w:p w:rsidR="00812D48" w:rsidRPr="0017338B" w:rsidRDefault="00812D48" w:rsidP="00FF63B7">
      <w:pPr>
        <w:spacing w:after="0" w:line="360" w:lineRule="auto"/>
        <w:jc w:val="both"/>
        <w:rPr>
          <w:rFonts w:ascii="Arial" w:eastAsia="Times New Roman" w:hAnsi="Arial" w:cs="Arial"/>
          <w:kern w:val="18"/>
          <w:sz w:val="24"/>
          <w:szCs w:val="24"/>
          <w:lang w:val="es-ES_tradnl" w:eastAsia="es-ES"/>
        </w:rPr>
      </w:pPr>
    </w:p>
    <w:p w:rsidR="00812D48" w:rsidRPr="0017338B" w:rsidRDefault="00812D48" w:rsidP="00FF63B7">
      <w:pPr>
        <w:pStyle w:val="Ttulo2"/>
        <w:spacing w:before="0" w:line="360" w:lineRule="auto"/>
        <w:rPr>
          <w:rFonts w:ascii="Arial" w:hAnsi="Arial" w:cs="Arial"/>
          <w:snapToGrid w:val="0"/>
          <w:color w:val="auto"/>
          <w:sz w:val="24"/>
          <w:szCs w:val="24"/>
          <w:lang w:val="es-ES" w:eastAsia="es-ES"/>
        </w:rPr>
      </w:pPr>
      <w:r w:rsidRPr="0017338B">
        <w:rPr>
          <w:rFonts w:ascii="Arial" w:hAnsi="Arial" w:cs="Arial"/>
          <w:snapToGrid w:val="0"/>
          <w:color w:val="auto"/>
          <w:sz w:val="24"/>
          <w:szCs w:val="24"/>
          <w:lang w:val="es-ES" w:eastAsia="es-ES"/>
        </w:rPr>
        <w:t>1.2 Obligaciones presupuestales impagas</w:t>
      </w:r>
    </w:p>
    <w:p w:rsidR="00812D48" w:rsidRDefault="00812D48" w:rsidP="00FF63B7">
      <w:pPr>
        <w:spacing w:line="360" w:lineRule="auto"/>
        <w:rPr>
          <w:rFonts w:ascii="Arial" w:hAnsi="Arial" w:cs="Arial"/>
          <w:sz w:val="24"/>
          <w:szCs w:val="24"/>
          <w:lang w:val="es-ES" w:eastAsia="es-ES"/>
        </w:rPr>
      </w:pPr>
      <w:r w:rsidRPr="0017338B">
        <w:rPr>
          <w:rFonts w:ascii="Arial" w:hAnsi="Arial" w:cs="Arial"/>
          <w:sz w:val="24"/>
          <w:szCs w:val="24"/>
          <w:lang w:val="es-ES" w:eastAsia="es-ES"/>
        </w:rPr>
        <w:t>Existen varias órdenes de pago contabilizadas erróneamente, correspondientes a obligaciones presupuestales impagas por un importe de $ 1:855.548.</w:t>
      </w:r>
    </w:p>
    <w:p w:rsidR="00812D48" w:rsidRPr="0017338B" w:rsidRDefault="00812D48" w:rsidP="00FF63B7">
      <w:pPr>
        <w:spacing w:line="360" w:lineRule="auto"/>
        <w:rPr>
          <w:rFonts w:ascii="Arial" w:hAnsi="Arial" w:cs="Arial"/>
          <w:sz w:val="24"/>
          <w:szCs w:val="24"/>
          <w:lang w:val="es-ES" w:eastAsia="es-ES"/>
        </w:rPr>
      </w:pPr>
    </w:p>
    <w:p w:rsidR="00812D48" w:rsidRPr="0017338B" w:rsidRDefault="00812D48" w:rsidP="00FF63B7">
      <w:pPr>
        <w:pStyle w:val="Ttulo2"/>
        <w:spacing w:before="0" w:line="360" w:lineRule="auto"/>
        <w:rPr>
          <w:rFonts w:ascii="Arial" w:hAnsi="Arial" w:cs="Arial"/>
          <w:snapToGrid w:val="0"/>
          <w:color w:val="auto"/>
          <w:sz w:val="24"/>
          <w:szCs w:val="24"/>
          <w:lang w:val="es-ES" w:eastAsia="es-ES"/>
        </w:rPr>
      </w:pPr>
      <w:bookmarkStart w:id="8" w:name="_Toc402960815"/>
      <w:r w:rsidRPr="0017338B">
        <w:rPr>
          <w:rFonts w:ascii="Arial" w:hAnsi="Arial" w:cs="Arial"/>
          <w:snapToGrid w:val="0"/>
          <w:color w:val="auto"/>
          <w:sz w:val="24"/>
          <w:szCs w:val="24"/>
          <w:lang w:val="es-ES" w:eastAsia="es-ES"/>
        </w:rPr>
        <w:t>1.3 A</w:t>
      </w:r>
      <w:bookmarkEnd w:id="7"/>
      <w:r w:rsidRPr="0017338B">
        <w:rPr>
          <w:rFonts w:ascii="Arial" w:hAnsi="Arial" w:cs="Arial"/>
          <w:snapToGrid w:val="0"/>
          <w:color w:val="auto"/>
          <w:sz w:val="24"/>
          <w:szCs w:val="24"/>
          <w:lang w:val="es-ES" w:eastAsia="es-ES"/>
        </w:rPr>
        <w:t>justes al resultado del ejercicio y resultado acumulado</w:t>
      </w:r>
      <w:bookmarkEnd w:id="8"/>
    </w:p>
    <w:p w:rsidR="00812D48" w:rsidRPr="0017338B" w:rsidRDefault="00812D48" w:rsidP="00FF63B7">
      <w:pPr>
        <w:pStyle w:val="Textoindependiente"/>
        <w:spacing w:after="0"/>
        <w:rPr>
          <w:rFonts w:cs="Arial"/>
          <w:kern w:val="0"/>
          <w:szCs w:val="24"/>
          <w:lang w:val="es-UY"/>
        </w:rPr>
      </w:pPr>
      <w:r w:rsidRPr="0017338B">
        <w:rPr>
          <w:rFonts w:cs="Arial"/>
          <w:kern w:val="0"/>
          <w:szCs w:val="24"/>
          <w:lang w:val="es-UY"/>
        </w:rPr>
        <w:t xml:space="preserve">De acuerdo a lo expresado en los </w:t>
      </w:r>
      <w:r>
        <w:rPr>
          <w:rFonts w:cs="Arial"/>
          <w:kern w:val="0"/>
          <w:szCs w:val="24"/>
          <w:lang w:val="es-UY"/>
        </w:rPr>
        <w:t>N</w:t>
      </w:r>
      <w:r w:rsidRPr="0017338B">
        <w:rPr>
          <w:rFonts w:cs="Arial"/>
          <w:kern w:val="0"/>
          <w:szCs w:val="24"/>
          <w:lang w:val="es-UY"/>
        </w:rPr>
        <w:t>umerales 3.11 y 3.12, el resultado del ejercicio ajustado es de $ 19:563.166, de acuerdo al siguiente detalle (en pesos uruguayos):</w:t>
      </w:r>
    </w:p>
    <w:p w:rsidR="00812D48" w:rsidRPr="004979F6" w:rsidRDefault="00812D48" w:rsidP="00FF63B7">
      <w:pPr>
        <w:pStyle w:val="Textoindependiente"/>
        <w:spacing w:after="0"/>
        <w:rPr>
          <w:rFonts w:cs="Arial"/>
          <w:kern w:val="0"/>
          <w:szCs w:val="24"/>
          <w:lang w:val="es-UY"/>
        </w:rPr>
      </w:pPr>
    </w:p>
    <w:p w:rsidR="00812D48" w:rsidRDefault="00812D48" w:rsidP="00FF63B7">
      <w:pPr>
        <w:spacing w:line="240" w:lineRule="auto"/>
        <w:rPr>
          <w:rFonts w:ascii="Arial" w:hAnsi="Arial" w:cs="Arial"/>
          <w:sz w:val="24"/>
          <w:szCs w:val="24"/>
        </w:rPr>
      </w:pPr>
      <w:r>
        <w:rPr>
          <w:rFonts w:ascii="Arial" w:hAnsi="Arial" w:cs="Arial"/>
          <w:sz w:val="24"/>
          <w:szCs w:val="24"/>
        </w:rPr>
        <w:t xml:space="preserve">Resultado del ejercicio </w:t>
      </w:r>
    </w:p>
    <w:p w:rsidR="00812D48" w:rsidRDefault="00812D48" w:rsidP="00FF63B7">
      <w:pPr>
        <w:spacing w:line="240" w:lineRule="auto"/>
        <w:rPr>
          <w:rFonts w:ascii="Arial" w:hAnsi="Arial" w:cs="Arial"/>
          <w:sz w:val="24"/>
          <w:szCs w:val="24"/>
        </w:rPr>
      </w:pPr>
      <w:r>
        <w:rPr>
          <w:rFonts w:ascii="Arial" w:hAnsi="Arial" w:cs="Arial"/>
          <w:sz w:val="24"/>
          <w:szCs w:val="24"/>
        </w:rPr>
        <w:t>Según documento presentado                              17:691.391</w:t>
      </w:r>
    </w:p>
    <w:p w:rsidR="00812D48" w:rsidRDefault="00812D48" w:rsidP="00FF63B7">
      <w:pPr>
        <w:spacing w:line="240" w:lineRule="auto"/>
        <w:rPr>
          <w:rFonts w:ascii="Arial" w:hAnsi="Arial" w:cs="Arial"/>
          <w:sz w:val="24"/>
          <w:szCs w:val="24"/>
        </w:rPr>
      </w:pPr>
      <w:r>
        <w:rPr>
          <w:rFonts w:ascii="Arial" w:hAnsi="Arial" w:cs="Arial"/>
          <w:sz w:val="24"/>
          <w:szCs w:val="24"/>
        </w:rPr>
        <w:t>Obligaciones presupuestales impagas y</w:t>
      </w:r>
    </w:p>
    <w:p w:rsidR="00812D48" w:rsidRDefault="00812D48" w:rsidP="00FF63B7">
      <w:pPr>
        <w:spacing w:line="240" w:lineRule="auto"/>
        <w:rPr>
          <w:rFonts w:ascii="Arial" w:hAnsi="Arial" w:cs="Arial"/>
          <w:sz w:val="24"/>
          <w:szCs w:val="24"/>
        </w:rPr>
      </w:pPr>
      <w:r>
        <w:rPr>
          <w:rFonts w:ascii="Arial" w:hAnsi="Arial" w:cs="Arial"/>
          <w:sz w:val="24"/>
          <w:szCs w:val="24"/>
        </w:rPr>
        <w:t xml:space="preserve">Contabilizadas                                                         1:855.548  </w:t>
      </w:r>
    </w:p>
    <w:p w:rsidR="00812D48" w:rsidRDefault="00812D48" w:rsidP="00FF63B7">
      <w:pPr>
        <w:rPr>
          <w:rFonts w:ascii="Arial" w:hAnsi="Arial" w:cs="Arial"/>
          <w:sz w:val="24"/>
          <w:szCs w:val="24"/>
        </w:rPr>
      </w:pPr>
      <w:r>
        <w:rPr>
          <w:rFonts w:ascii="Arial" w:hAnsi="Arial" w:cs="Arial"/>
          <w:sz w:val="24"/>
          <w:szCs w:val="24"/>
        </w:rPr>
        <w:t>Ajuste economía Junta Departamental                        16.227</w:t>
      </w:r>
    </w:p>
    <w:p w:rsidR="00812D48" w:rsidRDefault="00812D48" w:rsidP="00FF63B7">
      <w:pPr>
        <w:rPr>
          <w:rFonts w:ascii="Arial" w:eastAsia="Times New Roman" w:hAnsi="Arial" w:cs="Arial"/>
          <w:sz w:val="24"/>
          <w:szCs w:val="24"/>
          <w:lang w:val="es-ES" w:eastAsia="es-ES"/>
        </w:rPr>
      </w:pPr>
      <w:r>
        <w:rPr>
          <w:rFonts w:ascii="Arial" w:hAnsi="Arial" w:cs="Arial"/>
          <w:sz w:val="24"/>
          <w:szCs w:val="24"/>
        </w:rPr>
        <w:t xml:space="preserve">Resultado ejercicio ajustado                                  19:563.166                       </w:t>
      </w:r>
    </w:p>
    <w:p w:rsidR="00812D48" w:rsidRDefault="00812D48" w:rsidP="00FF63B7">
      <w:pPr>
        <w:rPr>
          <w:rFonts w:ascii="Arial" w:eastAsia="Times New Roman" w:hAnsi="Arial" w:cs="Arial"/>
          <w:sz w:val="24"/>
          <w:szCs w:val="24"/>
          <w:lang w:val="es-ES" w:eastAsia="es-ES"/>
        </w:rPr>
      </w:pPr>
    </w:p>
    <w:p w:rsidR="00812D48" w:rsidRDefault="00812D48" w:rsidP="00FF63B7">
      <w:pPr>
        <w:spacing w:after="0" w:line="36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Por lo señalado precedentemente, el resultado acumulado al 31/12/2014 ajustado asciende a $ 94:279.745 de acuerdo al siguiente detalle:</w:t>
      </w:r>
    </w:p>
    <w:p w:rsidR="00812D48" w:rsidRDefault="00812D48" w:rsidP="00FF63B7">
      <w:pPr>
        <w:spacing w:after="0" w:line="360" w:lineRule="auto"/>
        <w:jc w:val="both"/>
        <w:rPr>
          <w:rFonts w:ascii="Arial" w:eastAsia="Times New Roman" w:hAnsi="Arial" w:cs="Arial"/>
          <w:sz w:val="24"/>
          <w:szCs w:val="24"/>
          <w:lang w:val="es-ES" w:eastAsia="es-ES"/>
        </w:rPr>
      </w:pPr>
    </w:p>
    <w:p w:rsidR="00812D48" w:rsidRDefault="00812D48" w:rsidP="00FF63B7">
      <w:pPr>
        <w:rPr>
          <w:rFonts w:ascii="Arial" w:eastAsia="Times New Roman" w:hAnsi="Arial" w:cs="Arial"/>
          <w:sz w:val="24"/>
          <w:szCs w:val="24"/>
          <w:lang w:val="es-ES" w:eastAsia="es-ES"/>
        </w:rPr>
      </w:pPr>
      <w:r w:rsidRPr="007C200D">
        <w:rPr>
          <w:rFonts w:ascii="Arial" w:eastAsia="Times New Roman" w:hAnsi="Arial" w:cs="Arial"/>
          <w:sz w:val="24"/>
          <w:szCs w:val="24"/>
          <w:lang w:val="es-ES" w:eastAsia="es-ES"/>
        </w:rPr>
        <w:t>Resultado acumulado</w:t>
      </w:r>
      <w:r>
        <w:rPr>
          <w:rFonts w:ascii="Arial" w:eastAsia="Times New Roman" w:hAnsi="Arial" w:cs="Arial"/>
          <w:sz w:val="24"/>
          <w:szCs w:val="24"/>
          <w:lang w:val="es-ES" w:eastAsia="es-ES"/>
        </w:rPr>
        <w:t xml:space="preserve"> </w:t>
      </w:r>
    </w:p>
    <w:p w:rsidR="00812D48" w:rsidRDefault="00812D48" w:rsidP="00FF63B7">
      <w:pPr>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Según documento presentado                                 92:407.970                               </w:t>
      </w:r>
    </w:p>
    <w:p w:rsidR="00812D48" w:rsidRDefault="00812D48" w:rsidP="00FF63B7">
      <w:pPr>
        <w:rPr>
          <w:rFonts w:ascii="Arial" w:eastAsia="Times New Roman" w:hAnsi="Arial" w:cs="Arial"/>
          <w:sz w:val="24"/>
          <w:szCs w:val="24"/>
          <w:lang w:val="es-ES" w:eastAsia="es-ES"/>
        </w:rPr>
      </w:pPr>
      <w:r>
        <w:rPr>
          <w:rFonts w:ascii="Arial" w:eastAsia="Times New Roman" w:hAnsi="Arial" w:cs="Arial"/>
          <w:sz w:val="24"/>
          <w:szCs w:val="24"/>
          <w:lang w:val="es-ES" w:eastAsia="es-ES"/>
        </w:rPr>
        <w:t>Ajustes año 2014                                                       1:871.775</w:t>
      </w:r>
    </w:p>
    <w:p w:rsidR="00812D48" w:rsidRPr="007C200D" w:rsidRDefault="00812D48" w:rsidP="00FF63B7">
      <w:pPr>
        <w:rPr>
          <w:rFonts w:ascii="Arial" w:eastAsia="Times New Roman" w:hAnsi="Arial" w:cs="Arial"/>
          <w:sz w:val="24"/>
          <w:szCs w:val="24"/>
          <w:lang w:val="es-ES" w:eastAsia="es-ES"/>
        </w:rPr>
      </w:pPr>
      <w:r>
        <w:rPr>
          <w:rFonts w:ascii="Arial" w:eastAsia="Times New Roman" w:hAnsi="Arial" w:cs="Arial"/>
          <w:sz w:val="24"/>
          <w:szCs w:val="24"/>
          <w:lang w:val="es-ES" w:eastAsia="es-ES"/>
        </w:rPr>
        <w:t>Resultado acumulado ajustado                                94:279.745</w:t>
      </w:r>
    </w:p>
    <w:p w:rsidR="00812D48" w:rsidRPr="009170B4" w:rsidRDefault="00812D48" w:rsidP="00FF63B7">
      <w:pPr>
        <w:rPr>
          <w:rFonts w:ascii="Arial" w:eastAsia="Times New Roman" w:hAnsi="Arial" w:cs="Arial"/>
          <w:sz w:val="24"/>
          <w:szCs w:val="24"/>
          <w:highlight w:val="yellow"/>
          <w:lang w:val="es-ES" w:eastAsia="es-ES"/>
        </w:rPr>
      </w:pPr>
    </w:p>
    <w:p w:rsidR="00812D48" w:rsidRDefault="00812D48" w:rsidP="00FF63B7">
      <w:pPr>
        <w:pStyle w:val="Textoindependiente2"/>
        <w:widowControl w:val="0"/>
        <w:spacing w:line="360" w:lineRule="auto"/>
        <w:rPr>
          <w:rStyle w:val="Nmerodepgina"/>
          <w:rFonts w:cs="Arial"/>
          <w:b/>
        </w:rPr>
      </w:pPr>
      <w:r w:rsidRPr="00D308D8">
        <w:rPr>
          <w:rStyle w:val="Nmerodepgina"/>
          <w:rFonts w:cs="Arial"/>
          <w:b/>
        </w:rPr>
        <w:t>1.</w:t>
      </w:r>
      <w:r>
        <w:rPr>
          <w:rStyle w:val="Nmerodepgina"/>
          <w:rFonts w:cs="Arial"/>
          <w:b/>
        </w:rPr>
        <w:t>4</w:t>
      </w:r>
      <w:r w:rsidRPr="00D308D8">
        <w:rPr>
          <w:rStyle w:val="Nmerodepgina"/>
          <w:rFonts w:cs="Arial"/>
          <w:b/>
        </w:rPr>
        <w:t xml:space="preserve"> Partidas Conciliatorias</w:t>
      </w:r>
    </w:p>
    <w:p w:rsidR="00812D48" w:rsidRDefault="00812D48" w:rsidP="00FF63B7">
      <w:pPr>
        <w:pStyle w:val="Textoindependiente"/>
        <w:spacing w:after="0"/>
        <w:rPr>
          <w:kern w:val="0"/>
          <w:szCs w:val="24"/>
          <w:lang w:val="es-ES"/>
        </w:rPr>
      </w:pPr>
      <w:r>
        <w:rPr>
          <w:kern w:val="0"/>
          <w:szCs w:val="24"/>
          <w:lang w:val="es-ES"/>
        </w:rPr>
        <w:t>En la cuenta bancaria caja de ahorros 13/34255, existen partidas conciliatorias con una antigüedad de dos meses por $ 903.546 sin identificar.</w:t>
      </w:r>
    </w:p>
    <w:p w:rsidR="00812D48" w:rsidRDefault="00812D48" w:rsidP="00FF63B7">
      <w:pPr>
        <w:pStyle w:val="Ttulo2"/>
        <w:spacing w:before="0" w:line="360" w:lineRule="auto"/>
        <w:rPr>
          <w:rFonts w:ascii="Arial" w:hAnsi="Arial" w:cs="Arial"/>
          <w:snapToGrid w:val="0"/>
          <w:color w:val="auto"/>
          <w:sz w:val="24"/>
          <w:szCs w:val="24"/>
          <w:lang w:val="es-ES" w:eastAsia="es-ES"/>
        </w:rPr>
      </w:pPr>
      <w:bookmarkStart w:id="9" w:name="_Toc398817653"/>
      <w:bookmarkStart w:id="10" w:name="_Toc402960816"/>
    </w:p>
    <w:p w:rsidR="004979F6" w:rsidRPr="004979F6" w:rsidRDefault="004979F6" w:rsidP="004979F6">
      <w:pPr>
        <w:rPr>
          <w:lang w:val="es-ES" w:eastAsia="es-ES"/>
        </w:rPr>
      </w:pPr>
    </w:p>
    <w:p w:rsidR="00812D48" w:rsidRPr="00C75568" w:rsidRDefault="00812D48" w:rsidP="00FF63B7">
      <w:pPr>
        <w:pStyle w:val="Ttulo2"/>
        <w:spacing w:before="0" w:line="360" w:lineRule="auto"/>
        <w:rPr>
          <w:rFonts w:ascii="Arial" w:hAnsi="Arial" w:cs="Arial"/>
          <w:snapToGrid w:val="0"/>
          <w:color w:val="auto"/>
          <w:sz w:val="24"/>
          <w:szCs w:val="24"/>
          <w:lang w:val="es-ES" w:eastAsia="es-ES"/>
        </w:rPr>
      </w:pPr>
      <w:r w:rsidRPr="00C75568">
        <w:rPr>
          <w:rFonts w:ascii="Arial" w:hAnsi="Arial" w:cs="Arial"/>
          <w:snapToGrid w:val="0"/>
          <w:color w:val="auto"/>
          <w:sz w:val="24"/>
          <w:szCs w:val="24"/>
          <w:lang w:val="es-ES" w:eastAsia="es-ES"/>
        </w:rPr>
        <w:t>1.</w:t>
      </w:r>
      <w:r>
        <w:rPr>
          <w:rFonts w:ascii="Arial" w:hAnsi="Arial" w:cs="Arial"/>
          <w:snapToGrid w:val="0"/>
          <w:color w:val="auto"/>
          <w:sz w:val="24"/>
          <w:szCs w:val="24"/>
          <w:lang w:val="es-ES" w:eastAsia="es-ES"/>
        </w:rPr>
        <w:t>5</w:t>
      </w:r>
      <w:r w:rsidRPr="00C75568">
        <w:rPr>
          <w:rFonts w:ascii="Arial" w:hAnsi="Arial" w:cs="Arial"/>
          <w:snapToGrid w:val="0"/>
          <w:color w:val="auto"/>
          <w:sz w:val="24"/>
          <w:szCs w:val="24"/>
          <w:lang w:val="es-ES" w:eastAsia="es-ES"/>
        </w:rPr>
        <w:t xml:space="preserve"> </w:t>
      </w:r>
      <w:bookmarkEnd w:id="9"/>
      <w:r w:rsidRPr="00C75568">
        <w:rPr>
          <w:rFonts w:ascii="Arial" w:hAnsi="Arial" w:cs="Arial"/>
          <w:snapToGrid w:val="0"/>
          <w:color w:val="auto"/>
          <w:sz w:val="24"/>
          <w:szCs w:val="24"/>
          <w:lang w:val="es-ES" w:eastAsia="es-ES"/>
        </w:rPr>
        <w:t>J</w:t>
      </w:r>
      <w:r>
        <w:rPr>
          <w:rFonts w:ascii="Arial" w:hAnsi="Arial" w:cs="Arial"/>
          <w:snapToGrid w:val="0"/>
          <w:color w:val="auto"/>
          <w:sz w:val="24"/>
          <w:szCs w:val="24"/>
          <w:lang w:val="es-ES" w:eastAsia="es-ES"/>
        </w:rPr>
        <w:t>uicios contra la Intendencia</w:t>
      </w:r>
      <w:bookmarkEnd w:id="10"/>
    </w:p>
    <w:p w:rsidR="00812D48" w:rsidRDefault="00812D48" w:rsidP="00FF63B7">
      <w:pPr>
        <w:suppressAutoHyphens/>
        <w:spacing w:after="0" w:line="360" w:lineRule="auto"/>
        <w:jc w:val="both"/>
        <w:rPr>
          <w:rFonts w:ascii="Arial" w:eastAsia="Times New Roman" w:hAnsi="Arial" w:cs="Arial"/>
          <w:kern w:val="1"/>
          <w:sz w:val="24"/>
          <w:szCs w:val="24"/>
          <w:lang w:val="es-ES" w:eastAsia="ar-SA"/>
        </w:rPr>
      </w:pPr>
      <w:r w:rsidRPr="008D4663">
        <w:rPr>
          <w:rFonts w:ascii="Arial" w:eastAsia="Times New Roman" w:hAnsi="Arial" w:cs="Arial"/>
          <w:kern w:val="1"/>
          <w:sz w:val="24"/>
          <w:szCs w:val="24"/>
          <w:lang w:val="es-ES" w:eastAsia="ar-SA"/>
        </w:rPr>
        <w:t>El déficit acumulado al 31/12</w:t>
      </w:r>
      <w:r>
        <w:rPr>
          <w:rFonts w:ascii="Arial" w:eastAsia="Times New Roman" w:hAnsi="Arial" w:cs="Arial"/>
          <w:kern w:val="1"/>
          <w:sz w:val="24"/>
          <w:szCs w:val="24"/>
          <w:lang w:val="es-ES" w:eastAsia="ar-SA"/>
        </w:rPr>
        <w:t>/2014</w:t>
      </w:r>
      <w:r w:rsidRPr="008D4663">
        <w:rPr>
          <w:rFonts w:ascii="Arial" w:eastAsia="Times New Roman" w:hAnsi="Arial" w:cs="Arial"/>
          <w:kern w:val="1"/>
          <w:sz w:val="24"/>
          <w:szCs w:val="24"/>
          <w:lang w:val="es-ES" w:eastAsia="ar-SA"/>
        </w:rPr>
        <w:t xml:space="preserve"> podría ser modificado por las eventuales erogaciones que puedan resultar de los juicios en trámite, en los que se reclaman montos que, de acuerdo a la información proporcionada por la Comuna, ascienden a </w:t>
      </w:r>
      <w:r w:rsidRPr="005A41D1">
        <w:rPr>
          <w:rFonts w:ascii="Arial" w:eastAsia="Times New Roman" w:hAnsi="Arial" w:cs="Arial"/>
          <w:kern w:val="1"/>
          <w:sz w:val="24"/>
          <w:szCs w:val="24"/>
          <w:lang w:val="es-ES" w:eastAsia="ar-SA"/>
        </w:rPr>
        <w:t>$ 2:300.000 y U$S 427.000.</w:t>
      </w:r>
    </w:p>
    <w:p w:rsidR="00812D48" w:rsidRDefault="00812D48" w:rsidP="00FF63B7">
      <w:pPr>
        <w:suppressAutoHyphens/>
        <w:spacing w:after="0" w:line="360" w:lineRule="auto"/>
        <w:jc w:val="both"/>
        <w:rPr>
          <w:rFonts w:ascii="Arial" w:eastAsia="Times New Roman" w:hAnsi="Arial" w:cs="Arial"/>
          <w:kern w:val="1"/>
          <w:sz w:val="24"/>
          <w:szCs w:val="24"/>
          <w:lang w:val="es-ES" w:eastAsia="ar-SA"/>
        </w:rPr>
      </w:pPr>
    </w:p>
    <w:p w:rsidR="00812D48" w:rsidRPr="00830026" w:rsidRDefault="00812D48" w:rsidP="00FF63B7">
      <w:pPr>
        <w:pStyle w:val="Ttulo2"/>
        <w:spacing w:before="0" w:line="360" w:lineRule="auto"/>
        <w:rPr>
          <w:rFonts w:ascii="Arial" w:hAnsi="Arial" w:cs="Arial"/>
          <w:snapToGrid w:val="0"/>
          <w:color w:val="auto"/>
          <w:sz w:val="24"/>
          <w:szCs w:val="24"/>
          <w:lang w:val="es-ES" w:eastAsia="es-ES"/>
        </w:rPr>
      </w:pPr>
      <w:r w:rsidRPr="00830026">
        <w:rPr>
          <w:rFonts w:ascii="Arial" w:hAnsi="Arial" w:cs="Arial"/>
          <w:snapToGrid w:val="0"/>
          <w:color w:val="auto"/>
          <w:sz w:val="24"/>
          <w:szCs w:val="24"/>
          <w:lang w:val="es-ES" w:eastAsia="es-ES"/>
        </w:rPr>
        <w:t>1.</w:t>
      </w:r>
      <w:r>
        <w:rPr>
          <w:rFonts w:ascii="Arial" w:hAnsi="Arial" w:cs="Arial"/>
          <w:snapToGrid w:val="0"/>
          <w:color w:val="auto"/>
          <w:sz w:val="24"/>
          <w:szCs w:val="24"/>
          <w:lang w:val="es-ES" w:eastAsia="es-ES"/>
        </w:rPr>
        <w:t>6</w:t>
      </w:r>
      <w:r w:rsidRPr="00830026">
        <w:rPr>
          <w:rFonts w:ascii="Arial" w:hAnsi="Arial" w:cs="Arial"/>
          <w:snapToGrid w:val="0"/>
          <w:color w:val="auto"/>
          <w:sz w:val="24"/>
          <w:szCs w:val="24"/>
          <w:lang w:val="es-ES" w:eastAsia="es-ES"/>
        </w:rPr>
        <w:t xml:space="preserve"> Cotización del dólar al cierre del ejercicio</w:t>
      </w:r>
    </w:p>
    <w:p w:rsidR="00812D48" w:rsidRPr="008D4663" w:rsidRDefault="00812D48" w:rsidP="00FF63B7">
      <w:pPr>
        <w:suppressAutoHyphens/>
        <w:spacing w:after="0" w:line="360" w:lineRule="auto"/>
        <w:jc w:val="both"/>
        <w:rPr>
          <w:rFonts w:ascii="Arial" w:hAnsi="Arial" w:cs="Arial"/>
          <w:sz w:val="24"/>
          <w:szCs w:val="24"/>
          <w:lang w:val="es-ES" w:eastAsia="es-ES"/>
        </w:rPr>
      </w:pPr>
      <w:r>
        <w:rPr>
          <w:rFonts w:ascii="Arial" w:hAnsi="Arial" w:cs="Arial"/>
          <w:sz w:val="24"/>
          <w:szCs w:val="24"/>
          <w:lang w:val="es-ES" w:eastAsia="es-ES"/>
        </w:rPr>
        <w:t>El tipo de cambio utilizado fue de U$S 1 - $ 24,05, no coincidiendo con la cotización de cierre del ejercicio.</w:t>
      </w:r>
    </w:p>
    <w:p w:rsidR="00812D48" w:rsidRPr="004979F6" w:rsidRDefault="00812D48" w:rsidP="00FF63B7">
      <w:pPr>
        <w:pStyle w:val="Prrafodelista"/>
        <w:spacing w:after="0" w:line="360" w:lineRule="auto"/>
        <w:ind w:left="0"/>
        <w:rPr>
          <w:rFonts w:cs="Arial"/>
          <w:szCs w:val="24"/>
          <w:lang w:val="es-ES" w:eastAsia="es-ES"/>
        </w:rPr>
      </w:pPr>
    </w:p>
    <w:p w:rsidR="00812D48" w:rsidRPr="008D4663" w:rsidRDefault="00812D48" w:rsidP="00FF63B7">
      <w:pPr>
        <w:pStyle w:val="Ttulo2"/>
        <w:spacing w:before="0" w:line="360" w:lineRule="auto"/>
        <w:rPr>
          <w:rFonts w:ascii="Arial" w:hAnsi="Arial" w:cs="Arial"/>
          <w:bCs w:val="0"/>
          <w:color w:val="auto"/>
          <w:kern w:val="18"/>
          <w:sz w:val="24"/>
          <w:szCs w:val="24"/>
          <w:lang w:val="es-ES_tradnl" w:eastAsia="es-ES"/>
        </w:rPr>
      </w:pPr>
      <w:bookmarkStart w:id="11" w:name="_Toc367364158"/>
      <w:bookmarkStart w:id="12" w:name="_Toc402960817"/>
      <w:r w:rsidRPr="008D4663">
        <w:rPr>
          <w:rFonts w:ascii="Arial" w:hAnsi="Arial" w:cs="Arial"/>
          <w:bCs w:val="0"/>
          <w:color w:val="auto"/>
          <w:kern w:val="18"/>
          <w:sz w:val="24"/>
          <w:szCs w:val="24"/>
          <w:lang w:val="es-ES_tradnl" w:eastAsia="es-ES"/>
        </w:rPr>
        <w:t>2  Incumplimiento de normas</w:t>
      </w:r>
      <w:bookmarkEnd w:id="11"/>
      <w:bookmarkEnd w:id="12"/>
    </w:p>
    <w:p w:rsidR="00812D48" w:rsidRPr="008D4663" w:rsidRDefault="00812D48" w:rsidP="00FF63B7">
      <w:pPr>
        <w:pStyle w:val="Ttulo2"/>
        <w:spacing w:before="0" w:line="360" w:lineRule="auto"/>
        <w:rPr>
          <w:rFonts w:ascii="Arial" w:hAnsi="Arial" w:cs="Arial"/>
          <w:bCs w:val="0"/>
          <w:caps/>
          <w:color w:val="auto"/>
          <w:kern w:val="18"/>
          <w:sz w:val="24"/>
          <w:szCs w:val="24"/>
          <w:lang w:val="es-ES_tradnl" w:eastAsia="es-ES"/>
        </w:rPr>
      </w:pPr>
      <w:r w:rsidRPr="008D4663">
        <w:rPr>
          <w:rFonts w:ascii="Arial" w:hAnsi="Arial" w:cs="Arial"/>
          <w:bCs w:val="0"/>
          <w:caps/>
          <w:color w:val="auto"/>
          <w:kern w:val="18"/>
          <w:sz w:val="24"/>
          <w:szCs w:val="24"/>
          <w:lang w:val="es-ES_tradnl" w:eastAsia="es-ES"/>
        </w:rPr>
        <w:t xml:space="preserve"> </w:t>
      </w:r>
    </w:p>
    <w:p w:rsidR="00812D48" w:rsidRDefault="00812D48" w:rsidP="00FF63B7">
      <w:pPr>
        <w:spacing w:after="0" w:line="360" w:lineRule="auto"/>
        <w:jc w:val="both"/>
        <w:rPr>
          <w:rFonts w:ascii="Arial" w:hAnsi="Arial" w:cs="Arial"/>
          <w:sz w:val="24"/>
          <w:szCs w:val="24"/>
          <w:lang w:val="es-ES_tradnl"/>
        </w:rPr>
      </w:pPr>
      <w:r w:rsidRPr="008D4663">
        <w:rPr>
          <w:rFonts w:ascii="Arial" w:hAnsi="Arial" w:cs="Arial"/>
          <w:sz w:val="24"/>
          <w:szCs w:val="24"/>
          <w:lang w:val="es-ES_tradnl"/>
        </w:rPr>
        <w:t>Con referencia al incumplimiento de las disposiciones vigentes, corresponde realizar las siguientes consideraciones:</w:t>
      </w:r>
    </w:p>
    <w:p w:rsidR="00812D48" w:rsidRPr="008D4663" w:rsidRDefault="00812D48" w:rsidP="00FF63B7">
      <w:pPr>
        <w:spacing w:after="0" w:line="360" w:lineRule="auto"/>
        <w:jc w:val="both"/>
        <w:rPr>
          <w:rFonts w:ascii="Arial" w:hAnsi="Arial" w:cs="Arial"/>
          <w:sz w:val="24"/>
          <w:szCs w:val="24"/>
          <w:lang w:val="es-ES_tradnl"/>
        </w:rPr>
      </w:pPr>
    </w:p>
    <w:p w:rsidR="00812D48" w:rsidRPr="008D4663" w:rsidRDefault="00812D48" w:rsidP="00FF63B7">
      <w:pPr>
        <w:pStyle w:val="Ttulo2"/>
        <w:spacing w:before="0" w:line="360" w:lineRule="auto"/>
        <w:rPr>
          <w:rFonts w:ascii="Arial" w:hAnsi="Arial" w:cs="Arial"/>
          <w:bCs w:val="0"/>
          <w:color w:val="auto"/>
          <w:kern w:val="18"/>
          <w:sz w:val="24"/>
          <w:szCs w:val="24"/>
          <w:lang w:val="es-ES_tradnl" w:eastAsia="es-ES"/>
        </w:rPr>
      </w:pPr>
      <w:bookmarkStart w:id="13" w:name="_Toc367364160"/>
      <w:bookmarkStart w:id="14" w:name="_Toc402960818"/>
      <w:r w:rsidRPr="008D4663">
        <w:rPr>
          <w:rFonts w:ascii="Arial" w:hAnsi="Arial" w:cs="Arial"/>
          <w:bCs w:val="0"/>
          <w:color w:val="auto"/>
          <w:kern w:val="18"/>
          <w:sz w:val="24"/>
          <w:szCs w:val="24"/>
          <w:lang w:val="es-ES_tradnl" w:eastAsia="es-ES"/>
        </w:rPr>
        <w:t>2.1 Contribución inmobiliaria rural</w:t>
      </w:r>
      <w:bookmarkEnd w:id="13"/>
      <w:bookmarkEnd w:id="14"/>
    </w:p>
    <w:p w:rsidR="00812D48" w:rsidRPr="008D4663" w:rsidRDefault="00812D48" w:rsidP="00FF63B7">
      <w:pPr>
        <w:spacing w:after="0" w:line="360" w:lineRule="auto"/>
        <w:jc w:val="both"/>
        <w:outlineLvl w:val="1"/>
        <w:rPr>
          <w:rFonts w:ascii="Arial" w:hAnsi="Arial" w:cs="Arial"/>
          <w:sz w:val="24"/>
          <w:szCs w:val="24"/>
        </w:rPr>
      </w:pPr>
      <w:r w:rsidRPr="008D4663">
        <w:rPr>
          <w:rFonts w:ascii="Arial" w:hAnsi="Arial" w:cs="Arial"/>
          <w:bCs/>
          <w:kern w:val="18"/>
          <w:sz w:val="24"/>
          <w:szCs w:val="24"/>
          <w:lang w:val="es-ES_tradnl"/>
        </w:rPr>
        <w:t>La Intendencia efectúa descuentos en la contribución inmobiliaria rural a contribuyentes que se encuentran al día en los tributo</w:t>
      </w:r>
      <w:r>
        <w:rPr>
          <w:rFonts w:ascii="Arial" w:hAnsi="Arial" w:cs="Arial"/>
          <w:bCs/>
          <w:kern w:val="18"/>
          <w:sz w:val="24"/>
          <w:szCs w:val="24"/>
          <w:lang w:val="es-ES_tradnl"/>
        </w:rPr>
        <w:t xml:space="preserve">s devengados en el año anterior. </w:t>
      </w:r>
      <w:r w:rsidRPr="008D4663">
        <w:rPr>
          <w:rFonts w:ascii="Arial" w:hAnsi="Arial" w:cs="Arial"/>
          <w:sz w:val="24"/>
          <w:szCs w:val="24"/>
        </w:rPr>
        <w:t>Los descuentos exceden la potestad tributaria del Gobierno Departamental, siendo competencia del Gobierno Nacional el establecimiento de tales bonificaciones y descuentos, por lo que la Intendencia de Durazno incumplió lo establecido por el Artículo 297 de la Constitución de la República.</w:t>
      </w:r>
    </w:p>
    <w:p w:rsidR="00812D48" w:rsidRDefault="00812D48" w:rsidP="00FF63B7">
      <w:pPr>
        <w:pStyle w:val="Ttulo2"/>
        <w:spacing w:before="0" w:line="360" w:lineRule="auto"/>
        <w:rPr>
          <w:rFonts w:ascii="Arial" w:hAnsi="Arial" w:cs="Arial"/>
          <w:bCs w:val="0"/>
          <w:color w:val="auto"/>
          <w:kern w:val="18"/>
          <w:sz w:val="24"/>
          <w:szCs w:val="24"/>
          <w:lang w:val="es-ES_tradnl" w:eastAsia="es-ES"/>
        </w:rPr>
      </w:pPr>
      <w:bookmarkStart w:id="15" w:name="_Toc367364163"/>
      <w:bookmarkStart w:id="16" w:name="_Toc402960819"/>
    </w:p>
    <w:p w:rsidR="00812D48" w:rsidRPr="008D4663" w:rsidRDefault="00812D48" w:rsidP="00FF63B7">
      <w:pPr>
        <w:pStyle w:val="Ttulo2"/>
        <w:spacing w:before="0" w:line="360" w:lineRule="auto"/>
        <w:rPr>
          <w:rFonts w:ascii="Arial" w:hAnsi="Arial" w:cs="Arial"/>
          <w:bCs w:val="0"/>
          <w:color w:val="auto"/>
          <w:kern w:val="18"/>
          <w:sz w:val="24"/>
          <w:szCs w:val="24"/>
          <w:lang w:val="es-ES_tradnl" w:eastAsia="es-ES"/>
        </w:rPr>
      </w:pPr>
      <w:r w:rsidRPr="008D4663">
        <w:rPr>
          <w:rFonts w:ascii="Arial" w:hAnsi="Arial" w:cs="Arial"/>
          <w:bCs w:val="0"/>
          <w:color w:val="auto"/>
          <w:kern w:val="18"/>
          <w:sz w:val="24"/>
          <w:szCs w:val="24"/>
          <w:lang w:val="es-ES_tradnl" w:eastAsia="es-ES"/>
        </w:rPr>
        <w:t>2.2 Determinación de disponibilidad por parte del sistema contable</w:t>
      </w:r>
      <w:bookmarkEnd w:id="15"/>
      <w:bookmarkEnd w:id="16"/>
    </w:p>
    <w:p w:rsidR="00812D48" w:rsidRDefault="00812D48" w:rsidP="00FF63B7">
      <w:pPr>
        <w:spacing w:after="0" w:line="360" w:lineRule="auto"/>
        <w:jc w:val="both"/>
        <w:outlineLvl w:val="1"/>
        <w:rPr>
          <w:rFonts w:ascii="Arial" w:hAnsi="Arial" w:cs="Arial"/>
          <w:sz w:val="24"/>
          <w:szCs w:val="24"/>
        </w:rPr>
      </w:pPr>
      <w:r w:rsidRPr="008D4663">
        <w:rPr>
          <w:rFonts w:ascii="Arial" w:hAnsi="Arial" w:cs="Arial"/>
          <w:sz w:val="24"/>
          <w:szCs w:val="24"/>
        </w:rPr>
        <w:t>El sistema contable, en algunas ocasiones, al informar respecto a la disponibilidad de un objeto, no lo hace en forma correcta, lo que no permite tener la certeza de la asignación presupuestal disponible para el objeto del gasto</w:t>
      </w:r>
      <w:r w:rsidR="004979F6">
        <w:rPr>
          <w:rFonts w:ascii="Arial" w:hAnsi="Arial" w:cs="Arial"/>
          <w:sz w:val="24"/>
          <w:szCs w:val="24"/>
        </w:rPr>
        <w:t>.</w:t>
      </w:r>
    </w:p>
    <w:p w:rsidR="00812D48" w:rsidRPr="004979F6" w:rsidRDefault="00812D48" w:rsidP="00FF63B7">
      <w:pPr>
        <w:widowControl w:val="0"/>
        <w:spacing w:after="0" w:line="360" w:lineRule="auto"/>
        <w:jc w:val="both"/>
        <w:rPr>
          <w:rFonts w:ascii="Arial" w:eastAsia="Times New Roman" w:hAnsi="Arial" w:cs="Arial"/>
          <w:b/>
          <w:kern w:val="18"/>
          <w:sz w:val="24"/>
          <w:szCs w:val="24"/>
          <w:lang w:eastAsia="es-ES"/>
        </w:rPr>
      </w:pPr>
    </w:p>
    <w:p w:rsidR="00812D48" w:rsidRPr="008D4663" w:rsidRDefault="00812D48" w:rsidP="00FF63B7">
      <w:pPr>
        <w:pStyle w:val="Ttulo2"/>
        <w:keepNext w:val="0"/>
        <w:numPr>
          <w:ilvl w:val="1"/>
          <w:numId w:val="0"/>
        </w:numPr>
        <w:tabs>
          <w:tab w:val="num" w:pos="450"/>
        </w:tabs>
        <w:spacing w:before="0" w:line="360" w:lineRule="auto"/>
        <w:ind w:hanging="450"/>
        <w:rPr>
          <w:rFonts w:ascii="Arial" w:hAnsi="Arial" w:cs="Arial"/>
          <w:bCs w:val="0"/>
          <w:color w:val="auto"/>
          <w:kern w:val="18"/>
          <w:sz w:val="24"/>
          <w:szCs w:val="24"/>
          <w:lang w:val="es-ES_tradnl" w:eastAsia="es-ES"/>
        </w:rPr>
      </w:pPr>
      <w:bookmarkStart w:id="17" w:name="_Toc367364165"/>
      <w:bookmarkStart w:id="18" w:name="_Toc402960822"/>
      <w:r w:rsidRPr="008D4663">
        <w:rPr>
          <w:rFonts w:ascii="Arial" w:hAnsi="Arial" w:cs="Arial"/>
          <w:bCs w:val="0"/>
          <w:color w:val="auto"/>
          <w:kern w:val="18"/>
          <w:sz w:val="24"/>
          <w:szCs w:val="24"/>
          <w:lang w:val="es-ES_tradnl" w:eastAsia="es-ES"/>
        </w:rPr>
        <w:tab/>
        <w:t>3 D</w:t>
      </w:r>
      <w:bookmarkEnd w:id="17"/>
      <w:r w:rsidRPr="008D4663">
        <w:rPr>
          <w:rFonts w:ascii="Arial" w:hAnsi="Arial" w:cs="Arial"/>
          <w:bCs w:val="0"/>
          <w:color w:val="auto"/>
          <w:kern w:val="18"/>
          <w:sz w:val="24"/>
          <w:szCs w:val="24"/>
          <w:lang w:val="es-ES_tradnl" w:eastAsia="es-ES"/>
        </w:rPr>
        <w:t>ebilidades de control interno</w:t>
      </w:r>
      <w:bookmarkEnd w:id="18"/>
    </w:p>
    <w:p w:rsidR="00812D48" w:rsidRPr="008D4663" w:rsidRDefault="00812D48" w:rsidP="00FF63B7">
      <w:pPr>
        <w:spacing w:after="0"/>
        <w:jc w:val="both"/>
        <w:rPr>
          <w:rFonts w:ascii="Arial" w:hAnsi="Arial" w:cs="Arial"/>
          <w:sz w:val="24"/>
          <w:szCs w:val="24"/>
          <w:lang w:val="es-ES_tradnl" w:eastAsia="es-ES"/>
        </w:rPr>
      </w:pPr>
    </w:p>
    <w:p w:rsidR="00812D48" w:rsidRPr="008D4663" w:rsidRDefault="00812D48" w:rsidP="00FF63B7">
      <w:pPr>
        <w:pStyle w:val="Ttulo2"/>
        <w:spacing w:before="0" w:line="360" w:lineRule="auto"/>
        <w:rPr>
          <w:rFonts w:ascii="Arial" w:hAnsi="Arial" w:cs="Arial"/>
          <w:bCs w:val="0"/>
          <w:color w:val="auto"/>
          <w:kern w:val="18"/>
          <w:sz w:val="24"/>
          <w:szCs w:val="24"/>
          <w:lang w:val="es-ES_tradnl" w:eastAsia="es-ES"/>
        </w:rPr>
      </w:pPr>
      <w:bookmarkStart w:id="19" w:name="_Toc367364166"/>
      <w:bookmarkStart w:id="20" w:name="_Toc402960823"/>
      <w:r w:rsidRPr="008D4663">
        <w:rPr>
          <w:rFonts w:ascii="Arial" w:hAnsi="Arial" w:cs="Arial"/>
          <w:bCs w:val="0"/>
          <w:color w:val="auto"/>
          <w:kern w:val="18"/>
          <w:sz w:val="24"/>
          <w:szCs w:val="24"/>
          <w:lang w:val="es-ES_tradnl" w:eastAsia="es-ES"/>
        </w:rPr>
        <w:t>3.1 R</w:t>
      </w:r>
      <w:bookmarkEnd w:id="19"/>
      <w:r w:rsidRPr="008D4663">
        <w:rPr>
          <w:rFonts w:ascii="Arial" w:hAnsi="Arial" w:cs="Arial"/>
          <w:bCs w:val="0"/>
          <w:color w:val="auto"/>
          <w:kern w:val="18"/>
          <w:sz w:val="24"/>
          <w:szCs w:val="24"/>
          <w:lang w:val="es-ES_tradnl" w:eastAsia="es-ES"/>
        </w:rPr>
        <w:t>especto a recursos o manejo de fondos</w:t>
      </w:r>
      <w:bookmarkEnd w:id="20"/>
    </w:p>
    <w:p w:rsidR="00812D48" w:rsidRDefault="00812D48" w:rsidP="00FF63B7">
      <w:pPr>
        <w:autoSpaceDE w:val="0"/>
        <w:autoSpaceDN w:val="0"/>
        <w:adjustRightInd w:val="0"/>
        <w:spacing w:after="0" w:line="360" w:lineRule="auto"/>
        <w:jc w:val="both"/>
        <w:rPr>
          <w:rFonts w:ascii="Arial" w:hAnsi="Arial" w:cs="Arial"/>
          <w:sz w:val="24"/>
          <w:szCs w:val="24"/>
        </w:rPr>
      </w:pPr>
      <w:r>
        <w:rPr>
          <w:rFonts w:ascii="Arial" w:hAnsi="Arial" w:cs="Arial"/>
          <w:sz w:val="24"/>
          <w:szCs w:val="24"/>
          <w:lang w:val="es-ES_tradnl" w:eastAsia="es-ES"/>
        </w:rPr>
        <w:t>-</w:t>
      </w:r>
      <w:r w:rsidRPr="000C33F6">
        <w:rPr>
          <w:rFonts w:ascii="Arial" w:hAnsi="Arial" w:cs="Arial"/>
          <w:sz w:val="24"/>
          <w:szCs w:val="24"/>
        </w:rPr>
        <w:t xml:space="preserve">  No existen manuales de procedimientos ni protocolos referente</w:t>
      </w:r>
      <w:r>
        <w:rPr>
          <w:rFonts w:ascii="Arial" w:hAnsi="Arial" w:cs="Arial"/>
          <w:sz w:val="24"/>
          <w:szCs w:val="24"/>
        </w:rPr>
        <w:t>s</w:t>
      </w:r>
      <w:r w:rsidRPr="000C33F6">
        <w:rPr>
          <w:rFonts w:ascii="Arial" w:hAnsi="Arial" w:cs="Arial"/>
          <w:sz w:val="24"/>
          <w:szCs w:val="24"/>
        </w:rPr>
        <w:t xml:space="preserve"> al proceso de recaudación.</w:t>
      </w:r>
    </w:p>
    <w:p w:rsidR="00812D48" w:rsidRPr="000C33F6" w:rsidRDefault="00812D48" w:rsidP="00FF63B7">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No existe políticas de contraseñas en los programas informáticos de recaudación.</w:t>
      </w:r>
    </w:p>
    <w:p w:rsidR="00812D48" w:rsidRPr="008D4663" w:rsidRDefault="00812D48" w:rsidP="00FF63B7">
      <w:pPr>
        <w:autoSpaceDE w:val="0"/>
        <w:autoSpaceDN w:val="0"/>
        <w:adjustRightInd w:val="0"/>
        <w:spacing w:after="0" w:line="360" w:lineRule="auto"/>
        <w:jc w:val="both"/>
        <w:rPr>
          <w:rFonts w:ascii="Arial" w:hAnsi="Arial" w:cs="Arial"/>
          <w:sz w:val="24"/>
          <w:szCs w:val="24"/>
        </w:rPr>
      </w:pPr>
      <w:r w:rsidRPr="008D4663">
        <w:rPr>
          <w:rFonts w:ascii="Arial" w:hAnsi="Arial" w:cs="Arial"/>
          <w:sz w:val="24"/>
          <w:szCs w:val="24"/>
          <w:lang w:val="es-ES_tradnl"/>
        </w:rPr>
        <w:t xml:space="preserve">- </w:t>
      </w:r>
      <w:r w:rsidRPr="008D4663">
        <w:rPr>
          <w:rFonts w:ascii="Arial" w:hAnsi="Arial" w:cs="Arial"/>
          <w:sz w:val="24"/>
          <w:szCs w:val="24"/>
        </w:rPr>
        <w:t>No se mantiene un compendio actualizado de todas las normas tributarias aplicadas por la Intendencia.</w:t>
      </w:r>
    </w:p>
    <w:p w:rsidR="00812D48" w:rsidRDefault="00812D48" w:rsidP="00FF63B7">
      <w:pPr>
        <w:autoSpaceDE w:val="0"/>
        <w:autoSpaceDN w:val="0"/>
        <w:adjustRightInd w:val="0"/>
        <w:spacing w:after="0" w:line="360" w:lineRule="auto"/>
        <w:jc w:val="both"/>
        <w:rPr>
          <w:rFonts w:ascii="Arial" w:hAnsi="Arial" w:cs="Arial"/>
          <w:sz w:val="24"/>
          <w:szCs w:val="24"/>
        </w:rPr>
      </w:pPr>
      <w:r w:rsidRPr="008D4663">
        <w:rPr>
          <w:rFonts w:ascii="Arial" w:hAnsi="Arial" w:cs="Arial"/>
          <w:sz w:val="24"/>
          <w:szCs w:val="24"/>
        </w:rPr>
        <w:t>- Se mantienen como partidas conciliatorias depósitos realizados en cuentas del BROU, de las que no se han identificado el contribuyente ni el tributo abonado.</w:t>
      </w:r>
    </w:p>
    <w:p w:rsidR="00812D48" w:rsidRDefault="00812D48" w:rsidP="00FF63B7">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w:t>
      </w:r>
      <w:r w:rsidRPr="001356C4">
        <w:rPr>
          <w:rFonts w:ascii="Arial" w:hAnsi="Arial" w:cs="Arial"/>
          <w:sz w:val="24"/>
          <w:szCs w:val="24"/>
        </w:rPr>
        <w:t>Se detectaron interrupciones de la correlatividad</w:t>
      </w:r>
      <w:r>
        <w:rPr>
          <w:rFonts w:ascii="Arial" w:hAnsi="Arial" w:cs="Arial"/>
          <w:sz w:val="24"/>
          <w:szCs w:val="24"/>
        </w:rPr>
        <w:t xml:space="preserve"> a nivel del sistema informático.</w:t>
      </w:r>
    </w:p>
    <w:p w:rsidR="00812D48" w:rsidRDefault="00812D48" w:rsidP="00FF63B7">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En las exoneraciones a clubes sociales no se exigió la documentación que acredite l</w:t>
      </w:r>
      <w:r w:rsidR="004979F6">
        <w:rPr>
          <w:rFonts w:ascii="Arial" w:hAnsi="Arial" w:cs="Arial"/>
          <w:sz w:val="24"/>
          <w:szCs w:val="24"/>
        </w:rPr>
        <w:t>a representación de los mismos.</w:t>
      </w:r>
    </w:p>
    <w:p w:rsidR="00812D48" w:rsidRDefault="00812D48" w:rsidP="00FF63B7">
      <w:pPr>
        <w:autoSpaceDE w:val="0"/>
        <w:autoSpaceDN w:val="0"/>
        <w:adjustRightInd w:val="0"/>
        <w:spacing w:after="0" w:line="360" w:lineRule="auto"/>
        <w:jc w:val="both"/>
        <w:rPr>
          <w:rFonts w:ascii="Arial" w:hAnsi="Arial" w:cs="Arial"/>
          <w:sz w:val="24"/>
          <w:szCs w:val="24"/>
          <w:lang w:val="es-MX"/>
        </w:rPr>
      </w:pPr>
      <w:r w:rsidRPr="008D4663">
        <w:rPr>
          <w:rFonts w:ascii="Arial" w:hAnsi="Arial" w:cs="Arial"/>
          <w:sz w:val="24"/>
          <w:szCs w:val="24"/>
        </w:rPr>
        <w:t xml:space="preserve">- </w:t>
      </w:r>
      <w:r w:rsidRPr="008D4663">
        <w:rPr>
          <w:rFonts w:ascii="Arial" w:hAnsi="Arial" w:cs="Arial"/>
          <w:sz w:val="24"/>
          <w:szCs w:val="24"/>
          <w:lang w:val="es-MX"/>
        </w:rPr>
        <w:t>El sistema de recaudación no está programado de forma tal que se dé la baja en forma automática a los convenios por facilidades tributarias incumplidas.</w:t>
      </w:r>
    </w:p>
    <w:p w:rsidR="00812D48" w:rsidRPr="008D4663" w:rsidRDefault="00812D48" w:rsidP="00FF63B7">
      <w:pPr>
        <w:autoSpaceDE w:val="0"/>
        <w:autoSpaceDN w:val="0"/>
        <w:adjustRightInd w:val="0"/>
        <w:spacing w:after="0" w:line="360" w:lineRule="auto"/>
        <w:jc w:val="both"/>
        <w:rPr>
          <w:rFonts w:ascii="Arial" w:hAnsi="Arial" w:cs="Arial"/>
          <w:sz w:val="24"/>
          <w:szCs w:val="24"/>
        </w:rPr>
      </w:pPr>
    </w:p>
    <w:p w:rsidR="00812D48" w:rsidRDefault="00812D48" w:rsidP="00FF63B7">
      <w:pPr>
        <w:pStyle w:val="Ttulo2"/>
        <w:widowControl w:val="0"/>
        <w:spacing w:before="0" w:line="360" w:lineRule="auto"/>
        <w:rPr>
          <w:rFonts w:cs="Arial"/>
          <w:szCs w:val="24"/>
          <w:lang w:val="es-ES"/>
        </w:rPr>
      </w:pPr>
      <w:bookmarkStart w:id="21" w:name="_Toc367364167"/>
      <w:bookmarkStart w:id="22" w:name="_Toc402960824"/>
      <w:r>
        <w:rPr>
          <w:rFonts w:ascii="Arial" w:hAnsi="Arial" w:cs="Arial"/>
          <w:bCs w:val="0"/>
          <w:color w:val="auto"/>
          <w:kern w:val="18"/>
          <w:sz w:val="24"/>
          <w:szCs w:val="24"/>
          <w:lang w:val="es-ES_tradnl" w:eastAsia="es-ES"/>
        </w:rPr>
        <w:t xml:space="preserve">3.2  </w:t>
      </w:r>
      <w:r w:rsidRPr="00D873E7">
        <w:rPr>
          <w:rFonts w:ascii="Arial" w:hAnsi="Arial" w:cs="Arial"/>
          <w:bCs w:val="0"/>
          <w:color w:val="auto"/>
          <w:kern w:val="18"/>
          <w:sz w:val="24"/>
          <w:szCs w:val="24"/>
          <w:lang w:val="es-ES_tradnl" w:eastAsia="es-ES"/>
        </w:rPr>
        <w:t>R</w:t>
      </w:r>
      <w:bookmarkEnd w:id="21"/>
      <w:r w:rsidRPr="00D873E7">
        <w:rPr>
          <w:rFonts w:ascii="Arial" w:hAnsi="Arial" w:cs="Arial"/>
          <w:bCs w:val="0"/>
          <w:color w:val="auto"/>
          <w:kern w:val="18"/>
          <w:sz w:val="24"/>
          <w:szCs w:val="24"/>
          <w:lang w:val="es-ES_tradnl" w:eastAsia="es-ES"/>
        </w:rPr>
        <w:t>especto a retribuciones personales</w:t>
      </w:r>
      <w:bookmarkEnd w:id="22"/>
    </w:p>
    <w:p w:rsidR="00812D48" w:rsidRPr="00D873E7" w:rsidRDefault="00812D48" w:rsidP="00FF63B7">
      <w:pPr>
        <w:autoSpaceDE w:val="0"/>
        <w:autoSpaceDN w:val="0"/>
        <w:adjustRightInd w:val="0"/>
        <w:spacing w:after="0" w:line="360" w:lineRule="auto"/>
        <w:jc w:val="both"/>
        <w:rPr>
          <w:rFonts w:cs="Arial"/>
          <w:szCs w:val="24"/>
        </w:rPr>
      </w:pPr>
      <w:r w:rsidRPr="00D873E7">
        <w:rPr>
          <w:rFonts w:ascii="Arial" w:hAnsi="Arial" w:cs="Arial"/>
          <w:sz w:val="24"/>
          <w:szCs w:val="24"/>
        </w:rPr>
        <w:t>- No se cuenta con un compendio normativo actualizado que incluya las normas presupuestales de la totalidad de las partidas</w:t>
      </w:r>
      <w:r w:rsidR="004979F6">
        <w:rPr>
          <w:rFonts w:ascii="Arial" w:hAnsi="Arial" w:cs="Arial"/>
          <w:sz w:val="24"/>
          <w:szCs w:val="24"/>
        </w:rPr>
        <w:t xml:space="preserve"> de carácter salarial abonadas.</w:t>
      </w:r>
    </w:p>
    <w:p w:rsidR="00812D48" w:rsidRDefault="00812D48" w:rsidP="004979F6">
      <w:pPr>
        <w:pStyle w:val="Textoindependiente"/>
        <w:widowControl w:val="0"/>
        <w:spacing w:after="0"/>
        <w:rPr>
          <w:rFonts w:cs="Arial"/>
          <w:szCs w:val="24"/>
        </w:rPr>
      </w:pPr>
      <w:r w:rsidRPr="008D4663">
        <w:rPr>
          <w:rFonts w:cs="Arial"/>
          <w:kern w:val="0"/>
          <w:szCs w:val="24"/>
          <w:lang w:val="es-ES"/>
        </w:rPr>
        <w:t xml:space="preserve">  </w:t>
      </w:r>
      <w:r>
        <w:rPr>
          <w:rFonts w:cs="Arial"/>
          <w:szCs w:val="24"/>
        </w:rPr>
        <w:t>-</w:t>
      </w:r>
      <w:r w:rsidRPr="008D4663">
        <w:rPr>
          <w:rFonts w:cs="Arial"/>
          <w:szCs w:val="24"/>
        </w:rPr>
        <w:t>No se verifica el cumplimiento del Artículo 32 de la Ley N° 11.923, en relación a la no percepción de más de una remuneración con cargo a fondos públicos.</w:t>
      </w:r>
    </w:p>
    <w:p w:rsidR="00812D48" w:rsidRPr="004979F6" w:rsidRDefault="00812D48" w:rsidP="00FF63B7">
      <w:pPr>
        <w:tabs>
          <w:tab w:val="num" w:pos="720"/>
        </w:tabs>
        <w:spacing w:after="0" w:line="360" w:lineRule="auto"/>
        <w:jc w:val="both"/>
        <w:rPr>
          <w:rFonts w:ascii="Arial" w:hAnsi="Arial" w:cs="Arial"/>
          <w:sz w:val="24"/>
          <w:szCs w:val="24"/>
          <w:lang w:val="es-ES_tradnl"/>
        </w:rPr>
      </w:pPr>
    </w:p>
    <w:p w:rsidR="00812D48" w:rsidRPr="008D4663" w:rsidRDefault="00812D48" w:rsidP="00812D48">
      <w:pPr>
        <w:pStyle w:val="Ttulo2"/>
        <w:numPr>
          <w:ilvl w:val="1"/>
          <w:numId w:val="3"/>
        </w:numPr>
        <w:spacing w:before="0" w:line="360" w:lineRule="auto"/>
        <w:rPr>
          <w:rFonts w:ascii="Arial" w:hAnsi="Arial" w:cs="Arial"/>
          <w:bCs w:val="0"/>
          <w:color w:val="auto"/>
          <w:kern w:val="18"/>
          <w:sz w:val="24"/>
          <w:szCs w:val="24"/>
          <w:lang w:val="es-ES_tradnl" w:eastAsia="es-ES"/>
        </w:rPr>
      </w:pPr>
      <w:bookmarkStart w:id="23" w:name="_Toc367364168"/>
      <w:bookmarkStart w:id="24" w:name="_Toc402960825"/>
      <w:r>
        <w:rPr>
          <w:rFonts w:ascii="Arial" w:hAnsi="Arial" w:cs="Arial"/>
          <w:bCs w:val="0"/>
          <w:color w:val="auto"/>
          <w:kern w:val="18"/>
          <w:sz w:val="24"/>
          <w:szCs w:val="24"/>
          <w:lang w:val="es-ES_tradnl" w:eastAsia="es-ES"/>
        </w:rPr>
        <w:t xml:space="preserve">  </w:t>
      </w:r>
      <w:r w:rsidRPr="008D4663">
        <w:rPr>
          <w:rFonts w:ascii="Arial" w:hAnsi="Arial" w:cs="Arial"/>
          <w:bCs w:val="0"/>
          <w:color w:val="auto"/>
          <w:kern w:val="18"/>
          <w:sz w:val="24"/>
          <w:szCs w:val="24"/>
          <w:lang w:val="es-ES_tradnl" w:eastAsia="es-ES"/>
        </w:rPr>
        <w:t>R</w:t>
      </w:r>
      <w:bookmarkEnd w:id="23"/>
      <w:r w:rsidRPr="008D4663">
        <w:rPr>
          <w:rFonts w:ascii="Arial" w:hAnsi="Arial" w:cs="Arial"/>
          <w:bCs w:val="0"/>
          <w:color w:val="auto"/>
          <w:kern w:val="18"/>
          <w:sz w:val="24"/>
          <w:szCs w:val="24"/>
          <w:lang w:val="es-ES_tradnl" w:eastAsia="es-ES"/>
        </w:rPr>
        <w:t>especto al sistema de compras</w:t>
      </w:r>
      <w:bookmarkEnd w:id="24"/>
    </w:p>
    <w:p w:rsidR="00812D48" w:rsidRDefault="00812D48" w:rsidP="00FF63B7">
      <w:pPr>
        <w:tabs>
          <w:tab w:val="num" w:pos="720"/>
        </w:tabs>
        <w:spacing w:after="0" w:line="360" w:lineRule="auto"/>
        <w:jc w:val="both"/>
        <w:rPr>
          <w:rFonts w:ascii="Arial" w:hAnsi="Arial" w:cs="Arial"/>
          <w:sz w:val="24"/>
          <w:szCs w:val="24"/>
        </w:rPr>
      </w:pPr>
      <w:r w:rsidRPr="008D4663">
        <w:rPr>
          <w:rFonts w:ascii="Arial" w:hAnsi="Arial" w:cs="Arial"/>
          <w:sz w:val="24"/>
          <w:szCs w:val="24"/>
        </w:rPr>
        <w:t>- No existen manuales de procedimientos</w:t>
      </w:r>
      <w:r w:rsidR="004979F6">
        <w:rPr>
          <w:rFonts w:ascii="Arial" w:hAnsi="Arial" w:cs="Arial"/>
          <w:sz w:val="24"/>
          <w:szCs w:val="24"/>
        </w:rPr>
        <w:t xml:space="preserve"> del proceso de compras.</w:t>
      </w:r>
    </w:p>
    <w:p w:rsidR="00812D48" w:rsidRPr="008D4663" w:rsidRDefault="00812D48" w:rsidP="00FF63B7">
      <w:pPr>
        <w:tabs>
          <w:tab w:val="num" w:pos="720"/>
        </w:tabs>
        <w:spacing w:after="0" w:line="360" w:lineRule="auto"/>
        <w:jc w:val="both"/>
        <w:rPr>
          <w:rFonts w:ascii="Arial" w:hAnsi="Arial" w:cs="Arial"/>
          <w:sz w:val="24"/>
          <w:szCs w:val="24"/>
        </w:rPr>
      </w:pPr>
      <w:r>
        <w:rPr>
          <w:rFonts w:ascii="Arial" w:hAnsi="Arial" w:cs="Arial"/>
          <w:sz w:val="24"/>
          <w:szCs w:val="24"/>
        </w:rPr>
        <w:t>- No existen políticas de contraseñas.</w:t>
      </w:r>
    </w:p>
    <w:p w:rsidR="00812D48" w:rsidRDefault="00812D48" w:rsidP="00FF63B7">
      <w:pPr>
        <w:tabs>
          <w:tab w:val="num" w:pos="720"/>
        </w:tabs>
        <w:spacing w:after="0" w:line="360" w:lineRule="auto"/>
        <w:jc w:val="both"/>
        <w:rPr>
          <w:rFonts w:ascii="Arial" w:hAnsi="Arial" w:cs="Arial"/>
          <w:sz w:val="24"/>
          <w:szCs w:val="24"/>
        </w:rPr>
      </w:pPr>
      <w:r>
        <w:rPr>
          <w:rFonts w:ascii="Arial" w:hAnsi="Arial" w:cs="Arial"/>
          <w:sz w:val="24"/>
          <w:szCs w:val="24"/>
        </w:rPr>
        <w:t>- Existen diferencias entre el inventario de acuerdo al sistema informático y el recuento físico de los mismos.</w:t>
      </w:r>
    </w:p>
    <w:p w:rsidR="00812D48" w:rsidRDefault="00812D48" w:rsidP="00FF63B7">
      <w:pPr>
        <w:tabs>
          <w:tab w:val="num" w:pos="720"/>
        </w:tabs>
        <w:spacing w:after="0" w:line="360" w:lineRule="auto"/>
        <w:jc w:val="both"/>
        <w:rPr>
          <w:rFonts w:ascii="Arial" w:hAnsi="Arial" w:cs="Arial"/>
          <w:sz w:val="24"/>
          <w:szCs w:val="24"/>
        </w:rPr>
      </w:pPr>
      <w:r>
        <w:rPr>
          <w:rFonts w:ascii="Arial" w:hAnsi="Arial" w:cs="Arial"/>
          <w:sz w:val="24"/>
          <w:szCs w:val="24"/>
        </w:rPr>
        <w:t>-El sistema de compras no especifica en qué rep</w:t>
      </w:r>
      <w:r w:rsidR="004979F6">
        <w:rPr>
          <w:rFonts w:ascii="Arial" w:hAnsi="Arial" w:cs="Arial"/>
          <w:sz w:val="24"/>
          <w:szCs w:val="24"/>
        </w:rPr>
        <w:t>artición se encuentra el stock.</w:t>
      </w:r>
    </w:p>
    <w:p w:rsidR="00812D48" w:rsidRDefault="00812D48" w:rsidP="00FF63B7">
      <w:pPr>
        <w:tabs>
          <w:tab w:val="num" w:pos="720"/>
        </w:tabs>
        <w:spacing w:after="0" w:line="360" w:lineRule="auto"/>
        <w:jc w:val="both"/>
        <w:rPr>
          <w:rFonts w:ascii="Arial" w:hAnsi="Arial" w:cs="Arial"/>
          <w:sz w:val="24"/>
          <w:szCs w:val="24"/>
        </w:rPr>
      </w:pPr>
    </w:p>
    <w:p w:rsidR="00812D48" w:rsidRPr="008D4663" w:rsidRDefault="00812D48" w:rsidP="00812D48">
      <w:pPr>
        <w:pStyle w:val="Ttulo2"/>
        <w:keepNext w:val="0"/>
        <w:numPr>
          <w:ilvl w:val="0"/>
          <w:numId w:val="3"/>
        </w:numPr>
        <w:spacing w:before="0" w:line="360" w:lineRule="auto"/>
        <w:rPr>
          <w:rFonts w:ascii="Arial" w:hAnsi="Arial" w:cs="Arial"/>
          <w:bCs w:val="0"/>
          <w:color w:val="auto"/>
          <w:kern w:val="18"/>
          <w:sz w:val="24"/>
          <w:szCs w:val="24"/>
          <w:lang w:val="es-ES_tradnl" w:eastAsia="es-ES"/>
        </w:rPr>
      </w:pPr>
      <w:bookmarkStart w:id="25" w:name="_Toc367364169"/>
      <w:bookmarkStart w:id="26" w:name="_Toc402960826"/>
      <w:r w:rsidRPr="008D4663">
        <w:rPr>
          <w:rFonts w:ascii="Arial" w:hAnsi="Arial" w:cs="Arial"/>
          <w:bCs w:val="0"/>
          <w:color w:val="auto"/>
          <w:kern w:val="18"/>
          <w:sz w:val="24"/>
          <w:szCs w:val="24"/>
          <w:lang w:val="es-ES_tradnl" w:eastAsia="es-ES"/>
        </w:rPr>
        <w:t>R</w:t>
      </w:r>
      <w:bookmarkEnd w:id="25"/>
      <w:r w:rsidRPr="008D4663">
        <w:rPr>
          <w:rFonts w:ascii="Arial" w:hAnsi="Arial" w:cs="Arial"/>
          <w:bCs w:val="0"/>
          <w:color w:val="auto"/>
          <w:kern w:val="18"/>
          <w:sz w:val="24"/>
          <w:szCs w:val="24"/>
          <w:lang w:val="es-ES_tradnl" w:eastAsia="es-ES"/>
        </w:rPr>
        <w:t>ecomendaciones</w:t>
      </w:r>
      <w:bookmarkEnd w:id="26"/>
    </w:p>
    <w:p w:rsidR="00812D48" w:rsidRDefault="00812D48" w:rsidP="00FF63B7">
      <w:pPr>
        <w:pStyle w:val="Ttulo2"/>
        <w:spacing w:before="0" w:line="360" w:lineRule="auto"/>
        <w:rPr>
          <w:rFonts w:ascii="Arial" w:hAnsi="Arial" w:cs="Arial"/>
          <w:bCs w:val="0"/>
          <w:color w:val="auto"/>
          <w:kern w:val="18"/>
          <w:sz w:val="24"/>
          <w:szCs w:val="24"/>
          <w:lang w:val="es-ES_tradnl" w:eastAsia="es-ES"/>
        </w:rPr>
      </w:pPr>
      <w:bookmarkStart w:id="27" w:name="_Toc367364170"/>
      <w:bookmarkStart w:id="28" w:name="_Toc402960827"/>
    </w:p>
    <w:p w:rsidR="00812D48" w:rsidRPr="008D4663" w:rsidRDefault="00812D48" w:rsidP="00FF63B7">
      <w:pPr>
        <w:pStyle w:val="Ttulo2"/>
        <w:spacing w:before="0" w:line="360" w:lineRule="auto"/>
        <w:rPr>
          <w:rFonts w:ascii="Arial" w:hAnsi="Arial" w:cs="Arial"/>
          <w:bCs w:val="0"/>
          <w:color w:val="auto"/>
          <w:kern w:val="18"/>
          <w:sz w:val="24"/>
          <w:szCs w:val="24"/>
          <w:lang w:val="es-ES_tradnl" w:eastAsia="es-ES"/>
        </w:rPr>
      </w:pPr>
      <w:r w:rsidRPr="008D4663">
        <w:rPr>
          <w:rFonts w:ascii="Arial" w:hAnsi="Arial" w:cs="Arial"/>
          <w:bCs w:val="0"/>
          <w:color w:val="auto"/>
          <w:kern w:val="18"/>
          <w:sz w:val="24"/>
          <w:szCs w:val="24"/>
          <w:lang w:val="es-ES_tradnl" w:eastAsia="es-ES"/>
        </w:rPr>
        <w:t>4.1 R</w:t>
      </w:r>
      <w:bookmarkEnd w:id="27"/>
      <w:r w:rsidRPr="008D4663">
        <w:rPr>
          <w:rFonts w:ascii="Arial" w:hAnsi="Arial" w:cs="Arial"/>
          <w:bCs w:val="0"/>
          <w:color w:val="auto"/>
          <w:kern w:val="18"/>
          <w:sz w:val="24"/>
          <w:szCs w:val="24"/>
          <w:lang w:val="es-ES_tradnl" w:eastAsia="es-ES"/>
        </w:rPr>
        <w:t>ecomendaciones del ejercicio anterior cumplidas</w:t>
      </w:r>
      <w:bookmarkEnd w:id="28"/>
    </w:p>
    <w:p w:rsidR="00812D48" w:rsidRDefault="00812D48" w:rsidP="00FF63B7">
      <w:pPr>
        <w:spacing w:after="0" w:line="360" w:lineRule="auto"/>
        <w:rPr>
          <w:rFonts w:ascii="Arial" w:hAnsi="Arial" w:cs="Arial"/>
          <w:bCs/>
          <w:kern w:val="18"/>
          <w:sz w:val="24"/>
          <w:szCs w:val="24"/>
          <w:lang w:val="es-ES_tradnl" w:eastAsia="es-ES"/>
        </w:rPr>
      </w:pPr>
      <w:bookmarkStart w:id="29" w:name="_Toc367364171"/>
      <w:bookmarkStart w:id="30" w:name="_Toc402960828"/>
      <w:r w:rsidRPr="00DB3660">
        <w:rPr>
          <w:rFonts w:ascii="Arial" w:hAnsi="Arial" w:cs="Arial"/>
          <w:b/>
          <w:kern w:val="18"/>
          <w:sz w:val="24"/>
          <w:szCs w:val="24"/>
          <w:lang w:val="es-ES_tradnl" w:eastAsia="es-ES"/>
        </w:rPr>
        <w:t>4.1.1</w:t>
      </w:r>
      <w:bookmarkStart w:id="31" w:name="_Toc367364172"/>
      <w:bookmarkEnd w:id="29"/>
      <w:bookmarkEnd w:id="30"/>
      <w:r w:rsidRPr="00DB3660">
        <w:rPr>
          <w:rFonts w:ascii="Arial" w:hAnsi="Arial" w:cs="Arial"/>
          <w:b/>
          <w:bCs/>
          <w:kern w:val="18"/>
          <w:sz w:val="24"/>
          <w:szCs w:val="24"/>
          <w:lang w:val="es-ES_tradnl" w:eastAsia="es-ES"/>
        </w:rPr>
        <w:t xml:space="preserve"> Criterio de ponderación </w:t>
      </w:r>
      <w:r>
        <w:rPr>
          <w:rFonts w:ascii="Arial" w:hAnsi="Arial" w:cs="Arial"/>
          <w:b/>
          <w:bCs/>
          <w:kern w:val="18"/>
          <w:sz w:val="24"/>
          <w:szCs w:val="24"/>
          <w:lang w:val="es-ES_tradnl" w:eastAsia="es-ES"/>
        </w:rPr>
        <w:t>de factores en l</w:t>
      </w:r>
      <w:r w:rsidRPr="00DB3660">
        <w:rPr>
          <w:rFonts w:ascii="Arial" w:hAnsi="Arial" w:cs="Arial"/>
          <w:b/>
          <w:bCs/>
          <w:kern w:val="18"/>
          <w:sz w:val="24"/>
          <w:szCs w:val="24"/>
          <w:lang w:val="es-ES_tradnl" w:eastAsia="es-ES"/>
        </w:rPr>
        <w:t>as Licitaciones Abreviadas</w:t>
      </w:r>
      <w:r>
        <w:rPr>
          <w:rFonts w:ascii="Arial" w:hAnsi="Arial" w:cs="Arial"/>
          <w:bCs/>
          <w:kern w:val="18"/>
          <w:sz w:val="24"/>
          <w:szCs w:val="24"/>
          <w:lang w:val="es-ES_tradnl" w:eastAsia="es-ES"/>
        </w:rPr>
        <w:t>.</w:t>
      </w:r>
    </w:p>
    <w:p w:rsidR="00812D48" w:rsidRDefault="00812D48" w:rsidP="00FF63B7">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S</w:t>
      </w:r>
      <w:r w:rsidRPr="008D4663">
        <w:rPr>
          <w:rFonts w:ascii="Arial" w:eastAsia="Times New Roman" w:hAnsi="Arial" w:cs="Arial"/>
          <w:sz w:val="24"/>
          <w:szCs w:val="24"/>
          <w:lang w:eastAsia="es-ES"/>
        </w:rPr>
        <w:t>e cumplió con la citada norma en la medida que se establece</w:t>
      </w:r>
      <w:r>
        <w:rPr>
          <w:rFonts w:ascii="Arial" w:eastAsia="Times New Roman" w:hAnsi="Arial" w:cs="Arial"/>
          <w:sz w:val="24"/>
          <w:szCs w:val="24"/>
          <w:lang w:eastAsia="es-ES"/>
        </w:rPr>
        <w:t>n</w:t>
      </w:r>
      <w:r w:rsidRPr="008D4663">
        <w:rPr>
          <w:rFonts w:ascii="Arial" w:eastAsia="Times New Roman" w:hAnsi="Arial" w:cs="Arial"/>
          <w:sz w:val="24"/>
          <w:szCs w:val="24"/>
          <w:lang w:eastAsia="es-ES"/>
        </w:rPr>
        <w:t xml:space="preserve"> los factores de ponderación para evaluar las ofertas en los procedimientos de licitación.</w:t>
      </w:r>
    </w:p>
    <w:p w:rsidR="00812D48" w:rsidRDefault="00812D48" w:rsidP="00FF63B7">
      <w:pPr>
        <w:spacing w:after="0" w:line="360" w:lineRule="auto"/>
        <w:jc w:val="both"/>
        <w:rPr>
          <w:rFonts w:ascii="Arial" w:eastAsia="Times New Roman" w:hAnsi="Arial" w:cs="Arial"/>
          <w:sz w:val="24"/>
          <w:szCs w:val="24"/>
          <w:lang w:eastAsia="es-ES"/>
        </w:rPr>
      </w:pPr>
    </w:p>
    <w:p w:rsidR="00812D48" w:rsidRDefault="00812D48" w:rsidP="00FF63B7">
      <w:pPr>
        <w:spacing w:after="0" w:line="360" w:lineRule="auto"/>
        <w:jc w:val="both"/>
        <w:rPr>
          <w:rFonts w:ascii="Arial" w:eastAsia="Times New Roman" w:hAnsi="Arial" w:cs="Arial"/>
          <w:b/>
          <w:sz w:val="24"/>
          <w:szCs w:val="24"/>
          <w:lang w:eastAsia="ar-SA"/>
        </w:rPr>
      </w:pPr>
      <w:r w:rsidRPr="00DB3660">
        <w:rPr>
          <w:rFonts w:ascii="Arial" w:eastAsia="Times New Roman" w:hAnsi="Arial" w:cs="Arial"/>
          <w:b/>
          <w:sz w:val="24"/>
          <w:szCs w:val="24"/>
          <w:lang w:eastAsia="ar-SA"/>
        </w:rPr>
        <w:t>4.1.</w:t>
      </w:r>
      <w:r>
        <w:rPr>
          <w:rFonts w:ascii="Arial" w:eastAsia="Times New Roman" w:hAnsi="Arial" w:cs="Arial"/>
          <w:b/>
          <w:sz w:val="24"/>
          <w:szCs w:val="24"/>
          <w:lang w:eastAsia="ar-SA"/>
        </w:rPr>
        <w:t>2</w:t>
      </w:r>
      <w:r w:rsidRPr="00DB3660">
        <w:rPr>
          <w:rFonts w:ascii="Arial" w:eastAsia="Times New Roman" w:hAnsi="Arial" w:cs="Arial"/>
          <w:b/>
          <w:sz w:val="24"/>
          <w:szCs w:val="24"/>
          <w:lang w:eastAsia="ar-SA"/>
        </w:rPr>
        <w:t xml:space="preserve"> Compensaci</w:t>
      </w:r>
      <w:r>
        <w:rPr>
          <w:rFonts w:ascii="Arial" w:eastAsia="Times New Roman" w:hAnsi="Arial" w:cs="Arial"/>
          <w:b/>
          <w:sz w:val="24"/>
          <w:szCs w:val="24"/>
          <w:lang w:eastAsia="ar-SA"/>
        </w:rPr>
        <w:t>o</w:t>
      </w:r>
      <w:r w:rsidRPr="00DB3660">
        <w:rPr>
          <w:rFonts w:ascii="Arial" w:eastAsia="Times New Roman" w:hAnsi="Arial" w:cs="Arial"/>
          <w:b/>
          <w:sz w:val="24"/>
          <w:szCs w:val="24"/>
          <w:lang w:eastAsia="ar-SA"/>
        </w:rPr>
        <w:t>n</w:t>
      </w:r>
      <w:r>
        <w:rPr>
          <w:rFonts w:ascii="Arial" w:eastAsia="Times New Roman" w:hAnsi="Arial" w:cs="Arial"/>
          <w:b/>
          <w:sz w:val="24"/>
          <w:szCs w:val="24"/>
          <w:lang w:eastAsia="ar-SA"/>
        </w:rPr>
        <w:t>es</w:t>
      </w:r>
    </w:p>
    <w:p w:rsidR="00812D48" w:rsidRDefault="00812D48" w:rsidP="00FF63B7">
      <w:pPr>
        <w:widowControl w:val="0"/>
        <w:suppressAutoHyphens/>
        <w:overflowPunct w:val="0"/>
        <w:autoSpaceDE w:val="0"/>
        <w:autoSpaceDN w:val="0"/>
        <w:adjustRightInd w:val="0"/>
        <w:spacing w:after="0" w:line="360" w:lineRule="auto"/>
        <w:jc w:val="both"/>
        <w:rPr>
          <w:rFonts w:ascii="Arial" w:eastAsia="Times New Roman" w:hAnsi="Arial" w:cs="Arial"/>
          <w:bCs/>
          <w:snapToGrid w:val="0"/>
          <w:sz w:val="24"/>
          <w:szCs w:val="24"/>
          <w:lang w:eastAsia="es-ES"/>
        </w:rPr>
      </w:pPr>
      <w:r>
        <w:rPr>
          <w:rFonts w:ascii="Arial" w:eastAsia="Times New Roman" w:hAnsi="Arial" w:cs="Arial"/>
          <w:bCs/>
          <w:snapToGrid w:val="0"/>
          <w:sz w:val="24"/>
          <w:szCs w:val="24"/>
          <w:lang w:eastAsia="es-ES"/>
        </w:rPr>
        <w:t xml:space="preserve">No se efectuaron compensaciones </w:t>
      </w:r>
      <w:r w:rsidRPr="00FC49E2">
        <w:rPr>
          <w:rFonts w:ascii="Arial" w:eastAsia="Times New Roman" w:hAnsi="Arial" w:cs="Arial"/>
          <w:bCs/>
          <w:snapToGrid w:val="0"/>
          <w:sz w:val="24"/>
          <w:szCs w:val="24"/>
          <w:lang w:eastAsia="es-ES"/>
        </w:rPr>
        <w:t xml:space="preserve">a </w:t>
      </w:r>
      <w:r>
        <w:rPr>
          <w:rFonts w:ascii="Arial" w:eastAsia="Times New Roman" w:hAnsi="Arial" w:cs="Arial"/>
          <w:bCs/>
          <w:snapToGrid w:val="0"/>
          <w:sz w:val="24"/>
          <w:szCs w:val="24"/>
          <w:lang w:eastAsia="es-ES"/>
        </w:rPr>
        <w:t>funcionarios que ocupan cargos de particular</w:t>
      </w:r>
      <w:r w:rsidRPr="00FC49E2">
        <w:rPr>
          <w:rFonts w:ascii="Arial" w:eastAsia="Times New Roman" w:hAnsi="Arial" w:cs="Arial"/>
          <w:bCs/>
          <w:snapToGrid w:val="0"/>
          <w:sz w:val="24"/>
          <w:szCs w:val="24"/>
          <w:lang w:eastAsia="es-ES"/>
        </w:rPr>
        <w:t xml:space="preserve"> confianza.</w:t>
      </w:r>
    </w:p>
    <w:p w:rsidR="00812D48" w:rsidRDefault="00812D48" w:rsidP="00FF63B7">
      <w:pPr>
        <w:pStyle w:val="Ttulo2"/>
        <w:spacing w:before="0" w:line="360" w:lineRule="auto"/>
        <w:rPr>
          <w:rFonts w:ascii="Arial" w:hAnsi="Arial" w:cs="Arial"/>
          <w:sz w:val="24"/>
          <w:szCs w:val="24"/>
        </w:rPr>
      </w:pPr>
    </w:p>
    <w:p w:rsidR="00812D48" w:rsidRPr="00FC49E2" w:rsidRDefault="00812D48" w:rsidP="00FF63B7">
      <w:pPr>
        <w:rPr>
          <w:rFonts w:ascii="Arial" w:eastAsia="Times New Roman" w:hAnsi="Arial" w:cs="Arial"/>
          <w:b/>
          <w:sz w:val="24"/>
          <w:szCs w:val="24"/>
          <w:lang w:eastAsia="ar-SA"/>
        </w:rPr>
      </w:pPr>
      <w:r w:rsidRPr="00FC49E2">
        <w:rPr>
          <w:rFonts w:ascii="Arial" w:eastAsia="Times New Roman" w:hAnsi="Arial" w:cs="Arial"/>
          <w:b/>
          <w:sz w:val="24"/>
          <w:szCs w:val="24"/>
          <w:lang w:eastAsia="ar-SA"/>
        </w:rPr>
        <w:t>4.1.</w:t>
      </w:r>
      <w:r>
        <w:rPr>
          <w:rFonts w:ascii="Arial" w:eastAsia="Times New Roman" w:hAnsi="Arial" w:cs="Arial"/>
          <w:b/>
          <w:sz w:val="24"/>
          <w:szCs w:val="24"/>
          <w:lang w:eastAsia="ar-SA"/>
        </w:rPr>
        <w:t>3</w:t>
      </w:r>
      <w:r w:rsidRPr="00FC49E2">
        <w:rPr>
          <w:rFonts w:ascii="Arial" w:eastAsia="Times New Roman" w:hAnsi="Arial" w:cs="Arial"/>
          <w:b/>
          <w:sz w:val="24"/>
          <w:szCs w:val="24"/>
          <w:lang w:eastAsia="ar-SA"/>
        </w:rPr>
        <w:t xml:space="preserve">  </w:t>
      </w:r>
      <w:r>
        <w:rPr>
          <w:rFonts w:ascii="Arial" w:eastAsia="Times New Roman" w:hAnsi="Arial" w:cs="Arial"/>
          <w:b/>
          <w:sz w:val="24"/>
          <w:szCs w:val="24"/>
          <w:lang w:eastAsia="ar-SA"/>
        </w:rPr>
        <w:t>Resolución del Tribunal de Cuentas del 28/01/04</w:t>
      </w:r>
    </w:p>
    <w:p w:rsidR="00812D48" w:rsidRDefault="00812D48" w:rsidP="00FF63B7">
      <w:pPr>
        <w:tabs>
          <w:tab w:val="left" w:pos="360"/>
        </w:tabs>
        <w:spacing w:after="0" w:line="360" w:lineRule="auto"/>
        <w:jc w:val="both"/>
        <w:rPr>
          <w:rFonts w:ascii="Arial" w:eastAsia="Times New Roman" w:hAnsi="Arial" w:cs="Arial"/>
          <w:sz w:val="24"/>
          <w:szCs w:val="24"/>
          <w:lang w:eastAsia="es-ES"/>
        </w:rPr>
      </w:pPr>
      <w:bookmarkStart w:id="32" w:name="_Toc367364173"/>
      <w:bookmarkEnd w:id="31"/>
      <w:r w:rsidRPr="00292A1E">
        <w:rPr>
          <w:rFonts w:ascii="Arial" w:eastAsia="Times New Roman" w:hAnsi="Arial" w:cs="Arial"/>
          <w:sz w:val="24"/>
          <w:szCs w:val="24"/>
          <w:lang w:eastAsia="es-ES"/>
        </w:rPr>
        <w:t xml:space="preserve">El documento presentado se ajustó a lo dispuesto por la Resolución del Tribunal de Cuentas </w:t>
      </w:r>
      <w:r>
        <w:rPr>
          <w:rFonts w:ascii="Arial" w:eastAsia="Times New Roman" w:hAnsi="Arial" w:cs="Arial"/>
          <w:sz w:val="24"/>
          <w:szCs w:val="24"/>
          <w:lang w:eastAsia="es-ES"/>
        </w:rPr>
        <w:t xml:space="preserve">de fecha </w:t>
      </w:r>
      <w:r w:rsidRPr="00292A1E">
        <w:rPr>
          <w:rFonts w:ascii="Arial" w:eastAsia="Times New Roman" w:hAnsi="Arial" w:cs="Arial"/>
          <w:sz w:val="24"/>
          <w:szCs w:val="24"/>
          <w:lang w:eastAsia="es-ES"/>
        </w:rPr>
        <w:t>28/01/2004.</w:t>
      </w:r>
    </w:p>
    <w:p w:rsidR="00812D48" w:rsidRDefault="00812D48" w:rsidP="00FF63B7">
      <w:pPr>
        <w:tabs>
          <w:tab w:val="left" w:pos="360"/>
        </w:tabs>
        <w:spacing w:after="0" w:line="360" w:lineRule="auto"/>
        <w:jc w:val="both"/>
        <w:rPr>
          <w:rFonts w:ascii="Arial" w:eastAsia="Times New Roman" w:hAnsi="Arial" w:cs="Arial"/>
          <w:sz w:val="24"/>
          <w:szCs w:val="24"/>
          <w:lang w:eastAsia="es-ES"/>
        </w:rPr>
      </w:pPr>
    </w:p>
    <w:p w:rsidR="00812D48" w:rsidRPr="00AC205C" w:rsidRDefault="00812D48" w:rsidP="00FF63B7">
      <w:pPr>
        <w:widowControl w:val="0"/>
        <w:suppressAutoHyphens/>
        <w:overflowPunct w:val="0"/>
        <w:autoSpaceDE w:val="0"/>
        <w:autoSpaceDN w:val="0"/>
        <w:adjustRightInd w:val="0"/>
        <w:spacing w:after="0" w:line="360" w:lineRule="auto"/>
        <w:jc w:val="both"/>
        <w:rPr>
          <w:rFonts w:ascii="Arial" w:eastAsia="Times New Roman" w:hAnsi="Arial" w:cs="Arial"/>
          <w:b/>
          <w:snapToGrid w:val="0"/>
          <w:sz w:val="24"/>
          <w:szCs w:val="24"/>
          <w:lang w:val="es-ES_tradnl" w:eastAsia="es-ES"/>
        </w:rPr>
      </w:pPr>
      <w:r w:rsidRPr="00AC205C">
        <w:rPr>
          <w:rFonts w:ascii="Arial" w:eastAsia="Times New Roman" w:hAnsi="Arial" w:cs="Arial"/>
          <w:b/>
          <w:snapToGrid w:val="0"/>
          <w:sz w:val="24"/>
          <w:szCs w:val="24"/>
          <w:lang w:val="es-ES_tradnl" w:eastAsia="es-ES"/>
        </w:rPr>
        <w:t>4.1.</w:t>
      </w:r>
      <w:r>
        <w:rPr>
          <w:rFonts w:ascii="Arial" w:eastAsia="Times New Roman" w:hAnsi="Arial" w:cs="Arial"/>
          <w:b/>
          <w:snapToGrid w:val="0"/>
          <w:sz w:val="24"/>
          <w:szCs w:val="24"/>
          <w:lang w:val="es-ES_tradnl" w:eastAsia="es-ES"/>
        </w:rPr>
        <w:t>4 A</w:t>
      </w:r>
      <w:r w:rsidRPr="00F152C9">
        <w:rPr>
          <w:rFonts w:ascii="Arial" w:eastAsia="Times New Roman" w:hAnsi="Arial" w:cs="Arial"/>
          <w:b/>
          <w:snapToGrid w:val="0"/>
          <w:sz w:val="24"/>
          <w:szCs w:val="24"/>
          <w:lang w:val="es-ES_tradnl" w:eastAsia="es-ES"/>
        </w:rPr>
        <w:t>rtículo 1 de la Ley Nº 18.358</w:t>
      </w:r>
    </w:p>
    <w:p w:rsidR="00812D48" w:rsidRDefault="00812D48" w:rsidP="00FF63B7">
      <w:pPr>
        <w:widowControl w:val="0"/>
        <w:suppressAutoHyphens/>
        <w:overflowPunct w:val="0"/>
        <w:autoSpaceDE w:val="0"/>
        <w:autoSpaceDN w:val="0"/>
        <w:adjustRightInd w:val="0"/>
        <w:spacing w:after="0" w:line="360" w:lineRule="auto"/>
        <w:jc w:val="both"/>
        <w:rPr>
          <w:rFonts w:ascii="Arial" w:eastAsia="Times New Roman" w:hAnsi="Arial" w:cs="Arial"/>
          <w:snapToGrid w:val="0"/>
          <w:sz w:val="24"/>
          <w:szCs w:val="24"/>
          <w:lang w:val="es-ES_tradnl" w:eastAsia="es-ES"/>
        </w:rPr>
      </w:pPr>
      <w:r>
        <w:rPr>
          <w:rFonts w:ascii="Arial" w:eastAsia="Times New Roman" w:hAnsi="Arial" w:cs="Arial"/>
          <w:snapToGrid w:val="0"/>
          <w:sz w:val="24"/>
          <w:szCs w:val="24"/>
          <w:lang w:val="es-ES_tradnl" w:eastAsia="es-ES"/>
        </w:rPr>
        <w:t>Se cumplió con el orden de prelación en las retenciones sobre retribuciones salariales de acuerdo a lo dispuesto en la citada norma, en lo r</w:t>
      </w:r>
      <w:r w:rsidR="003E7269">
        <w:rPr>
          <w:rFonts w:ascii="Arial" w:eastAsia="Times New Roman" w:hAnsi="Arial" w:cs="Arial"/>
          <w:snapToGrid w:val="0"/>
          <w:sz w:val="24"/>
          <w:szCs w:val="24"/>
          <w:lang w:val="es-ES_tradnl" w:eastAsia="es-ES"/>
        </w:rPr>
        <w:t>eferente a los seguros de vida.</w:t>
      </w:r>
    </w:p>
    <w:p w:rsidR="00812D48" w:rsidRDefault="00812D48" w:rsidP="00FF63B7">
      <w:pPr>
        <w:widowControl w:val="0"/>
        <w:suppressAutoHyphens/>
        <w:overflowPunct w:val="0"/>
        <w:autoSpaceDE w:val="0"/>
        <w:autoSpaceDN w:val="0"/>
        <w:adjustRightInd w:val="0"/>
        <w:spacing w:after="0" w:line="360" w:lineRule="auto"/>
        <w:jc w:val="both"/>
        <w:rPr>
          <w:rFonts w:ascii="Arial" w:eastAsia="Times New Roman" w:hAnsi="Arial" w:cs="Arial"/>
          <w:snapToGrid w:val="0"/>
          <w:sz w:val="24"/>
          <w:szCs w:val="24"/>
          <w:lang w:val="es-ES_tradnl" w:eastAsia="es-ES"/>
        </w:rPr>
      </w:pPr>
    </w:p>
    <w:p w:rsidR="00812D48" w:rsidRDefault="00812D48" w:rsidP="00FF63B7">
      <w:pPr>
        <w:widowControl w:val="0"/>
        <w:suppressAutoHyphens/>
        <w:overflowPunct w:val="0"/>
        <w:autoSpaceDE w:val="0"/>
        <w:autoSpaceDN w:val="0"/>
        <w:adjustRightInd w:val="0"/>
        <w:spacing w:after="0" w:line="360" w:lineRule="auto"/>
        <w:jc w:val="both"/>
        <w:rPr>
          <w:rFonts w:ascii="Arial" w:eastAsia="Times New Roman" w:hAnsi="Arial" w:cs="Arial"/>
          <w:b/>
          <w:snapToGrid w:val="0"/>
          <w:sz w:val="24"/>
          <w:szCs w:val="24"/>
          <w:lang w:val="es-ES_tradnl" w:eastAsia="es-ES"/>
        </w:rPr>
      </w:pPr>
      <w:r w:rsidRPr="00982516">
        <w:rPr>
          <w:rFonts w:ascii="Arial" w:eastAsia="Times New Roman" w:hAnsi="Arial" w:cs="Arial"/>
          <w:b/>
          <w:snapToGrid w:val="0"/>
          <w:sz w:val="24"/>
          <w:szCs w:val="24"/>
          <w:lang w:val="es-ES_tradnl" w:eastAsia="es-ES"/>
        </w:rPr>
        <w:t>4.1.5</w:t>
      </w:r>
      <w:r>
        <w:rPr>
          <w:rFonts w:ascii="Arial" w:eastAsia="Times New Roman" w:hAnsi="Arial" w:cs="Arial"/>
          <w:b/>
          <w:snapToGrid w:val="0"/>
          <w:sz w:val="24"/>
          <w:szCs w:val="24"/>
          <w:lang w:val="es-ES_tradnl" w:eastAsia="es-ES"/>
        </w:rPr>
        <w:t xml:space="preserve"> </w:t>
      </w:r>
      <w:r w:rsidRPr="00A32A3A">
        <w:rPr>
          <w:rFonts w:ascii="Arial" w:eastAsia="Times New Roman" w:hAnsi="Arial" w:cs="Arial"/>
          <w:b/>
          <w:snapToGrid w:val="0"/>
          <w:sz w:val="24"/>
          <w:szCs w:val="24"/>
          <w:lang w:val="es-ES_tradnl" w:eastAsia="es-ES"/>
        </w:rPr>
        <w:t>Resolución de este Tribunal de fecha 11/05/</w:t>
      </w:r>
      <w:r>
        <w:rPr>
          <w:rFonts w:ascii="Arial" w:eastAsia="Times New Roman" w:hAnsi="Arial" w:cs="Arial"/>
          <w:b/>
          <w:snapToGrid w:val="0"/>
          <w:sz w:val="24"/>
          <w:szCs w:val="24"/>
          <w:lang w:val="es-ES_tradnl" w:eastAsia="es-ES"/>
        </w:rPr>
        <w:t>20</w:t>
      </w:r>
      <w:r w:rsidRPr="00A32A3A">
        <w:rPr>
          <w:rFonts w:ascii="Arial" w:eastAsia="Times New Roman" w:hAnsi="Arial" w:cs="Arial"/>
          <w:b/>
          <w:snapToGrid w:val="0"/>
          <w:sz w:val="24"/>
          <w:szCs w:val="24"/>
          <w:lang w:val="es-ES_tradnl" w:eastAsia="es-ES"/>
        </w:rPr>
        <w:t>05</w:t>
      </w:r>
    </w:p>
    <w:p w:rsidR="00812D48" w:rsidRDefault="00812D48" w:rsidP="00FF63B7">
      <w:pPr>
        <w:widowControl w:val="0"/>
        <w:suppressAutoHyphens/>
        <w:overflowPunct w:val="0"/>
        <w:autoSpaceDE w:val="0"/>
        <w:autoSpaceDN w:val="0"/>
        <w:adjustRightInd w:val="0"/>
        <w:spacing w:after="0" w:line="360" w:lineRule="auto"/>
        <w:jc w:val="both"/>
        <w:rPr>
          <w:rFonts w:ascii="Arial" w:eastAsia="Times New Roman" w:hAnsi="Arial" w:cs="Arial"/>
          <w:snapToGrid w:val="0"/>
          <w:sz w:val="24"/>
          <w:szCs w:val="24"/>
          <w:lang w:val="es-ES_tradnl" w:eastAsia="es-ES"/>
        </w:rPr>
      </w:pPr>
      <w:r w:rsidRPr="00982516">
        <w:rPr>
          <w:rFonts w:ascii="Arial" w:eastAsia="Times New Roman" w:hAnsi="Arial" w:cs="Arial"/>
          <w:snapToGrid w:val="0"/>
          <w:sz w:val="24"/>
          <w:szCs w:val="24"/>
          <w:lang w:val="es-ES_tradnl" w:eastAsia="es-ES"/>
        </w:rPr>
        <w:t>Se dio cumplimiento</w:t>
      </w:r>
      <w:r>
        <w:rPr>
          <w:rFonts w:ascii="Arial" w:eastAsia="Times New Roman" w:hAnsi="Arial" w:cs="Arial"/>
          <w:snapToGrid w:val="0"/>
          <w:sz w:val="24"/>
          <w:szCs w:val="24"/>
          <w:lang w:val="es-ES_tradnl" w:eastAsia="es-ES"/>
        </w:rPr>
        <w:t xml:space="preserve"> a que la Intendencia informo los contratos de concesión</w:t>
      </w:r>
      <w:r w:rsidR="003E7269">
        <w:rPr>
          <w:rFonts w:ascii="Arial" w:eastAsia="Times New Roman" w:hAnsi="Arial" w:cs="Arial"/>
          <w:snapToGrid w:val="0"/>
          <w:sz w:val="24"/>
          <w:szCs w:val="24"/>
          <w:lang w:val="es-ES_tradnl" w:eastAsia="es-ES"/>
        </w:rPr>
        <w:t>.</w:t>
      </w:r>
    </w:p>
    <w:p w:rsidR="00812D48" w:rsidRPr="003E7269" w:rsidRDefault="00812D48" w:rsidP="00FF63B7">
      <w:pPr>
        <w:spacing w:after="0" w:line="360" w:lineRule="auto"/>
        <w:jc w:val="both"/>
        <w:rPr>
          <w:rFonts w:ascii="Arial" w:hAnsi="Arial" w:cs="Arial"/>
          <w:bCs/>
          <w:kern w:val="1"/>
          <w:sz w:val="24"/>
          <w:szCs w:val="24"/>
          <w:lang w:val="es-ES_tradnl"/>
        </w:rPr>
      </w:pPr>
    </w:p>
    <w:p w:rsidR="00812D48" w:rsidRPr="008D4663" w:rsidRDefault="00812D48" w:rsidP="00FF63B7">
      <w:pPr>
        <w:pStyle w:val="Ttulo2"/>
        <w:spacing w:before="0" w:line="360" w:lineRule="auto"/>
        <w:rPr>
          <w:rFonts w:ascii="Arial" w:hAnsi="Arial" w:cs="Arial"/>
          <w:bCs w:val="0"/>
          <w:color w:val="auto"/>
          <w:kern w:val="18"/>
          <w:sz w:val="24"/>
          <w:szCs w:val="24"/>
          <w:lang w:val="es-ES_tradnl" w:eastAsia="es-ES"/>
        </w:rPr>
      </w:pPr>
      <w:bookmarkStart w:id="33" w:name="_Toc367364175"/>
      <w:bookmarkStart w:id="34" w:name="_Toc402960831"/>
      <w:bookmarkEnd w:id="32"/>
      <w:r w:rsidRPr="008D4663">
        <w:rPr>
          <w:rFonts w:ascii="Arial" w:hAnsi="Arial" w:cs="Arial"/>
          <w:bCs w:val="0"/>
          <w:color w:val="auto"/>
          <w:kern w:val="18"/>
          <w:sz w:val="24"/>
          <w:szCs w:val="24"/>
          <w:lang w:val="es-ES_tradnl" w:eastAsia="es-ES"/>
        </w:rPr>
        <w:t>4.2 R</w:t>
      </w:r>
      <w:bookmarkEnd w:id="33"/>
      <w:r w:rsidRPr="008D4663">
        <w:rPr>
          <w:rFonts w:ascii="Arial" w:hAnsi="Arial" w:cs="Arial"/>
          <w:bCs w:val="0"/>
          <w:color w:val="auto"/>
          <w:kern w:val="18"/>
          <w:sz w:val="24"/>
          <w:szCs w:val="24"/>
          <w:lang w:val="es-ES_tradnl" w:eastAsia="es-ES"/>
        </w:rPr>
        <w:t>ecomendaciones del ejercicio anterior no cumplidas</w:t>
      </w:r>
      <w:bookmarkEnd w:id="34"/>
    </w:p>
    <w:p w:rsidR="00812D48" w:rsidRPr="008D4663" w:rsidRDefault="00812D48" w:rsidP="00FF63B7">
      <w:pPr>
        <w:pStyle w:val="Ttulo2"/>
        <w:spacing w:before="0" w:line="360" w:lineRule="auto"/>
        <w:rPr>
          <w:rFonts w:ascii="Arial" w:hAnsi="Arial" w:cs="Arial"/>
          <w:sz w:val="24"/>
          <w:szCs w:val="24"/>
          <w:lang w:val="es-ES_tradnl" w:eastAsia="es-ES"/>
        </w:rPr>
      </w:pPr>
      <w:r w:rsidRPr="008D4663">
        <w:rPr>
          <w:rFonts w:ascii="Arial" w:hAnsi="Arial" w:cs="Arial"/>
          <w:bCs w:val="0"/>
          <w:color w:val="auto"/>
          <w:kern w:val="18"/>
          <w:sz w:val="24"/>
          <w:szCs w:val="24"/>
          <w:lang w:val="es-ES_tradnl" w:eastAsia="es-ES"/>
        </w:rPr>
        <w:t xml:space="preserve"> </w:t>
      </w:r>
    </w:p>
    <w:p w:rsidR="00812D48" w:rsidRPr="008D4663" w:rsidRDefault="00812D48" w:rsidP="00FF63B7">
      <w:pPr>
        <w:pStyle w:val="Ttulo2"/>
        <w:spacing w:before="0" w:line="360" w:lineRule="auto"/>
        <w:rPr>
          <w:rFonts w:ascii="Arial" w:hAnsi="Arial" w:cs="Arial"/>
          <w:sz w:val="24"/>
          <w:szCs w:val="24"/>
          <w:lang w:val="es-ES_tradnl" w:eastAsia="es-ES"/>
        </w:rPr>
      </w:pPr>
      <w:bookmarkStart w:id="35" w:name="_Toc367364176"/>
      <w:bookmarkStart w:id="36" w:name="_Toc402960832"/>
      <w:r w:rsidRPr="008D4663">
        <w:rPr>
          <w:rFonts w:ascii="Arial" w:hAnsi="Arial" w:cs="Arial"/>
          <w:bCs w:val="0"/>
          <w:color w:val="auto"/>
          <w:kern w:val="18"/>
          <w:sz w:val="24"/>
          <w:szCs w:val="24"/>
          <w:lang w:val="es-ES_tradnl" w:eastAsia="es-ES"/>
        </w:rPr>
        <w:t xml:space="preserve">4.2.1 </w:t>
      </w:r>
      <w:r w:rsidRPr="00A32A3A">
        <w:rPr>
          <w:rFonts w:ascii="Arial" w:hAnsi="Arial" w:cs="Arial"/>
          <w:bCs w:val="0"/>
          <w:color w:val="auto"/>
          <w:kern w:val="18"/>
          <w:sz w:val="24"/>
          <w:szCs w:val="24"/>
          <w:lang w:val="es-ES_tradnl" w:eastAsia="es-ES"/>
        </w:rPr>
        <w:t>Artículo 94 del TOCAF</w:t>
      </w:r>
      <w:r>
        <w:rPr>
          <w:rFonts w:ascii="Arial" w:hAnsi="Arial" w:cs="Arial"/>
          <w:bCs w:val="0"/>
          <w:color w:val="auto"/>
          <w:kern w:val="18"/>
          <w:sz w:val="24"/>
          <w:szCs w:val="24"/>
          <w:lang w:val="es-ES_tradnl" w:eastAsia="es-ES"/>
        </w:rPr>
        <w:t xml:space="preserve"> y</w:t>
      </w:r>
      <w:r w:rsidRPr="00A32A3A">
        <w:rPr>
          <w:rFonts w:ascii="Arial" w:hAnsi="Arial" w:cs="Arial"/>
          <w:bCs w:val="0"/>
          <w:color w:val="auto"/>
          <w:kern w:val="18"/>
          <w:sz w:val="24"/>
          <w:szCs w:val="24"/>
          <w:lang w:val="es-ES_tradnl" w:eastAsia="es-ES"/>
        </w:rPr>
        <w:t xml:space="preserve"> Ordenanza N° 81</w:t>
      </w:r>
      <w:bookmarkEnd w:id="35"/>
      <w:bookmarkEnd w:id="36"/>
    </w:p>
    <w:p w:rsidR="00812D48" w:rsidRDefault="00812D48" w:rsidP="00FF63B7">
      <w:pPr>
        <w:pStyle w:val="Textoindependiente"/>
        <w:spacing w:after="0"/>
        <w:rPr>
          <w:rFonts w:cs="Arial"/>
          <w:kern w:val="0"/>
          <w:szCs w:val="24"/>
          <w:lang w:val="es-ES"/>
        </w:rPr>
      </w:pPr>
      <w:r w:rsidRPr="008D4663">
        <w:rPr>
          <w:rFonts w:cs="Arial"/>
          <w:kern w:val="0"/>
          <w:szCs w:val="24"/>
          <w:lang w:val="es-ES"/>
        </w:rPr>
        <w:t xml:space="preserve">La Intendencia deberá implementar el sistema de contabilidad patrimonial que proporcione la información prevista en el Artículo 94 del TOCAF, a efectos de cumplir con la emisión de los estados </w:t>
      </w:r>
      <w:r>
        <w:rPr>
          <w:rFonts w:cs="Arial"/>
          <w:kern w:val="0"/>
          <w:szCs w:val="24"/>
          <w:lang w:val="es-ES"/>
        </w:rPr>
        <w:t>financieros patrimoniales.</w:t>
      </w:r>
    </w:p>
    <w:p w:rsidR="00812D48" w:rsidRPr="008D4663" w:rsidRDefault="00812D48" w:rsidP="00FF63B7">
      <w:pPr>
        <w:pStyle w:val="Textoindependiente"/>
        <w:spacing w:after="0"/>
        <w:rPr>
          <w:rFonts w:cs="Arial"/>
          <w:kern w:val="0"/>
          <w:szCs w:val="24"/>
          <w:lang w:val="es-ES"/>
        </w:rPr>
      </w:pPr>
    </w:p>
    <w:p w:rsidR="00812D48" w:rsidRPr="008D4663" w:rsidRDefault="00812D48" w:rsidP="00FF63B7">
      <w:pPr>
        <w:pStyle w:val="Ttulo2"/>
        <w:spacing w:before="0" w:line="360" w:lineRule="auto"/>
        <w:rPr>
          <w:rFonts w:ascii="Arial" w:hAnsi="Arial" w:cs="Arial"/>
          <w:bCs w:val="0"/>
          <w:color w:val="auto"/>
          <w:kern w:val="18"/>
          <w:sz w:val="24"/>
          <w:szCs w:val="24"/>
          <w:lang w:val="es-ES_tradnl" w:eastAsia="es-ES"/>
        </w:rPr>
      </w:pPr>
      <w:bookmarkStart w:id="37" w:name="_Toc367364177"/>
      <w:bookmarkStart w:id="38" w:name="_Toc402960833"/>
      <w:r w:rsidRPr="008D4663">
        <w:rPr>
          <w:rFonts w:ascii="Arial" w:hAnsi="Arial" w:cs="Arial"/>
          <w:bCs w:val="0"/>
          <w:color w:val="auto"/>
          <w:kern w:val="18"/>
          <w:sz w:val="24"/>
          <w:szCs w:val="24"/>
          <w:lang w:val="es-ES_tradnl" w:eastAsia="es-ES"/>
        </w:rPr>
        <w:t>4.2.2</w:t>
      </w:r>
      <w:r>
        <w:rPr>
          <w:rFonts w:ascii="Arial" w:hAnsi="Arial" w:cs="Arial"/>
          <w:bCs w:val="0"/>
          <w:color w:val="auto"/>
          <w:kern w:val="18"/>
          <w:sz w:val="24"/>
          <w:szCs w:val="24"/>
          <w:lang w:val="es-ES_tradnl" w:eastAsia="es-ES"/>
        </w:rPr>
        <w:t xml:space="preserve"> </w:t>
      </w:r>
      <w:r w:rsidRPr="00A32A3A">
        <w:rPr>
          <w:rFonts w:ascii="Arial" w:hAnsi="Arial" w:cs="Arial"/>
          <w:bCs w:val="0"/>
          <w:color w:val="auto"/>
          <w:kern w:val="18"/>
          <w:sz w:val="24"/>
          <w:szCs w:val="24"/>
          <w:lang w:val="es-ES_tradnl" w:eastAsia="es-ES"/>
        </w:rPr>
        <w:t>Artículo 99 del TOCAF</w:t>
      </w:r>
      <w:bookmarkEnd w:id="37"/>
      <w:bookmarkEnd w:id="38"/>
    </w:p>
    <w:p w:rsidR="00812D48" w:rsidRPr="008D4663" w:rsidRDefault="00812D48" w:rsidP="00FF63B7">
      <w:pPr>
        <w:pStyle w:val="Textoindependiente"/>
        <w:spacing w:after="0"/>
        <w:rPr>
          <w:rFonts w:cs="Arial"/>
          <w:kern w:val="0"/>
          <w:szCs w:val="24"/>
          <w:lang w:val="es-ES"/>
        </w:rPr>
      </w:pPr>
      <w:r w:rsidRPr="008D4663">
        <w:rPr>
          <w:rFonts w:cs="Arial"/>
          <w:kern w:val="0"/>
          <w:szCs w:val="24"/>
          <w:lang w:val="es-ES"/>
        </w:rPr>
        <w:t>La Intendencia deberá registrar el movimiento de fondos y valores por los cuales deba rendirse cuenta, así como de los bienes en guarda o custodia con los datos de los funcionarios responsables.</w:t>
      </w:r>
    </w:p>
    <w:p w:rsidR="00812D48" w:rsidRPr="008D4663" w:rsidRDefault="00812D48" w:rsidP="00FF63B7">
      <w:pPr>
        <w:pStyle w:val="Textoindependiente"/>
        <w:spacing w:after="0"/>
        <w:rPr>
          <w:rFonts w:cs="Arial"/>
          <w:kern w:val="0"/>
          <w:szCs w:val="24"/>
          <w:lang w:val="es-ES"/>
        </w:rPr>
      </w:pPr>
    </w:p>
    <w:p w:rsidR="00812D48" w:rsidRPr="008D4663" w:rsidRDefault="00812D48" w:rsidP="00FF63B7">
      <w:pPr>
        <w:pStyle w:val="Ttulo2"/>
        <w:spacing w:before="0" w:line="360" w:lineRule="auto"/>
        <w:rPr>
          <w:rFonts w:ascii="Arial" w:hAnsi="Arial" w:cs="Arial"/>
          <w:bCs w:val="0"/>
          <w:color w:val="auto"/>
          <w:kern w:val="18"/>
          <w:sz w:val="24"/>
          <w:szCs w:val="24"/>
          <w:lang w:val="es-ES_tradnl" w:eastAsia="es-ES"/>
        </w:rPr>
      </w:pPr>
      <w:bookmarkStart w:id="39" w:name="_Toc367364178"/>
      <w:bookmarkStart w:id="40" w:name="_Toc402960834"/>
      <w:r w:rsidRPr="008D4663">
        <w:rPr>
          <w:rFonts w:ascii="Arial" w:hAnsi="Arial" w:cs="Arial"/>
          <w:bCs w:val="0"/>
          <w:color w:val="auto"/>
          <w:kern w:val="18"/>
          <w:sz w:val="24"/>
          <w:szCs w:val="24"/>
          <w:lang w:val="es-ES_tradnl" w:eastAsia="es-ES"/>
        </w:rPr>
        <w:t>4.2.3</w:t>
      </w:r>
      <w:r>
        <w:rPr>
          <w:rFonts w:ascii="Arial" w:hAnsi="Arial" w:cs="Arial"/>
          <w:bCs w:val="0"/>
          <w:color w:val="auto"/>
          <w:kern w:val="18"/>
          <w:sz w:val="24"/>
          <w:szCs w:val="24"/>
          <w:lang w:val="es-ES_tradnl" w:eastAsia="es-ES"/>
        </w:rPr>
        <w:t xml:space="preserve"> </w:t>
      </w:r>
      <w:r w:rsidRPr="00A32A3A">
        <w:rPr>
          <w:rFonts w:ascii="Arial" w:hAnsi="Arial" w:cs="Arial"/>
          <w:bCs w:val="0"/>
          <w:color w:val="auto"/>
          <w:kern w:val="18"/>
          <w:sz w:val="24"/>
          <w:szCs w:val="24"/>
          <w:lang w:val="es-ES_tradnl" w:eastAsia="es-ES"/>
        </w:rPr>
        <w:t>Artículo 94 del Código Tributario</w:t>
      </w:r>
      <w:bookmarkEnd w:id="39"/>
      <w:bookmarkEnd w:id="40"/>
    </w:p>
    <w:p w:rsidR="00812D48" w:rsidRPr="008D4663" w:rsidRDefault="00812D48" w:rsidP="00FF63B7">
      <w:pPr>
        <w:pStyle w:val="Textoindependiente"/>
        <w:spacing w:after="0"/>
        <w:rPr>
          <w:rFonts w:cs="Arial"/>
          <w:kern w:val="0"/>
          <w:szCs w:val="24"/>
          <w:lang w:val="es-ES"/>
        </w:rPr>
      </w:pPr>
      <w:r w:rsidRPr="008D4663">
        <w:rPr>
          <w:rFonts w:cs="Arial"/>
          <w:kern w:val="0"/>
          <w:szCs w:val="24"/>
          <w:lang w:val="es-ES"/>
        </w:rPr>
        <w:t>Los convenios se deben cancelar en caso de no cumplimiento del mismo por el contribuyente. Cuando el convenio caduca por falta de pago, las facilidades otorgadas cesan y comienzan a regir las sanciones por mora como lo indica el.</w:t>
      </w:r>
    </w:p>
    <w:p w:rsidR="00812D48" w:rsidRPr="008D4663" w:rsidRDefault="00812D48" w:rsidP="00FF63B7">
      <w:pPr>
        <w:pStyle w:val="Textoindependiente"/>
        <w:spacing w:after="0"/>
        <w:rPr>
          <w:rFonts w:cs="Arial"/>
          <w:bCs/>
          <w:i/>
          <w:iCs/>
          <w:szCs w:val="24"/>
        </w:rPr>
      </w:pPr>
    </w:p>
    <w:p w:rsidR="00812D48" w:rsidRDefault="00812D48" w:rsidP="00FF63B7">
      <w:pPr>
        <w:pStyle w:val="Ttulo2"/>
        <w:spacing w:before="0" w:line="360" w:lineRule="auto"/>
        <w:rPr>
          <w:rFonts w:cs="Arial"/>
          <w:szCs w:val="24"/>
          <w:lang w:val="es-ES"/>
        </w:rPr>
      </w:pPr>
      <w:bookmarkStart w:id="41" w:name="_Toc367364179"/>
      <w:bookmarkStart w:id="42" w:name="_Toc402960835"/>
      <w:r w:rsidRPr="008D4663">
        <w:rPr>
          <w:rFonts w:ascii="Arial" w:hAnsi="Arial" w:cs="Arial"/>
          <w:bCs w:val="0"/>
          <w:color w:val="auto"/>
          <w:kern w:val="18"/>
          <w:sz w:val="24"/>
          <w:szCs w:val="24"/>
          <w:lang w:val="es-ES_tradnl" w:eastAsia="es-ES"/>
        </w:rPr>
        <w:t>4.2.4</w:t>
      </w:r>
      <w:r>
        <w:rPr>
          <w:rFonts w:ascii="Arial" w:hAnsi="Arial" w:cs="Arial"/>
          <w:bCs w:val="0"/>
          <w:color w:val="auto"/>
          <w:kern w:val="18"/>
          <w:sz w:val="24"/>
          <w:szCs w:val="24"/>
          <w:lang w:val="es-ES_tradnl" w:eastAsia="es-ES"/>
        </w:rPr>
        <w:t xml:space="preserve"> </w:t>
      </w:r>
      <w:r w:rsidRPr="00A32A3A">
        <w:rPr>
          <w:rFonts w:ascii="Arial" w:hAnsi="Arial" w:cs="Arial"/>
          <w:bCs w:val="0"/>
          <w:color w:val="auto"/>
          <w:kern w:val="18"/>
          <w:sz w:val="24"/>
          <w:szCs w:val="24"/>
          <w:lang w:val="es-ES_tradnl" w:eastAsia="es-ES"/>
        </w:rPr>
        <w:t>Artículo 32 de la Ley 11.923</w:t>
      </w:r>
      <w:bookmarkEnd w:id="41"/>
      <w:bookmarkEnd w:id="42"/>
    </w:p>
    <w:p w:rsidR="00812D48" w:rsidRPr="008D4663" w:rsidRDefault="00812D48" w:rsidP="00FF63B7">
      <w:pPr>
        <w:pStyle w:val="Textoindependiente"/>
        <w:spacing w:after="0"/>
        <w:rPr>
          <w:rFonts w:cs="Arial"/>
          <w:kern w:val="0"/>
          <w:szCs w:val="24"/>
          <w:lang w:val="es-ES"/>
        </w:rPr>
      </w:pPr>
      <w:r w:rsidRPr="008D4663">
        <w:rPr>
          <w:rFonts w:cs="Arial"/>
          <w:kern w:val="0"/>
          <w:szCs w:val="24"/>
          <w:lang w:val="es-ES"/>
        </w:rPr>
        <w:t>A efectos de constatar que los funcionarios no tengan otro ingreso con cargo a fondos públicos, la Intendencia debe solicitar las declaraciones juradas correspondientes</w:t>
      </w:r>
      <w:r>
        <w:rPr>
          <w:rFonts w:cs="Arial"/>
          <w:kern w:val="0"/>
          <w:szCs w:val="24"/>
          <w:lang w:val="es-ES"/>
        </w:rPr>
        <w:t xml:space="preserve">, </w:t>
      </w:r>
      <w:r w:rsidRPr="008D4663">
        <w:rPr>
          <w:rFonts w:cs="Arial"/>
          <w:kern w:val="0"/>
          <w:szCs w:val="24"/>
          <w:lang w:val="es-ES"/>
        </w:rPr>
        <w:t>previo al ingreso d</w:t>
      </w:r>
      <w:r>
        <w:rPr>
          <w:rFonts w:cs="Arial"/>
          <w:kern w:val="0"/>
          <w:szCs w:val="24"/>
          <w:lang w:val="es-ES"/>
        </w:rPr>
        <w:t>e los</w:t>
      </w:r>
      <w:r w:rsidRPr="008D4663">
        <w:rPr>
          <w:rFonts w:cs="Arial"/>
          <w:kern w:val="0"/>
          <w:szCs w:val="24"/>
          <w:lang w:val="es-ES"/>
        </w:rPr>
        <w:t xml:space="preserve"> funcionario</w:t>
      </w:r>
      <w:r>
        <w:rPr>
          <w:rFonts w:cs="Arial"/>
          <w:kern w:val="0"/>
          <w:szCs w:val="24"/>
          <w:lang w:val="es-ES"/>
        </w:rPr>
        <w:t>s</w:t>
      </w:r>
      <w:r w:rsidRPr="008D4663">
        <w:rPr>
          <w:rFonts w:cs="Arial"/>
          <w:kern w:val="0"/>
          <w:szCs w:val="24"/>
          <w:lang w:val="es-ES"/>
        </w:rPr>
        <w:t xml:space="preserve"> al organismo</w:t>
      </w:r>
      <w:r w:rsidR="003E7269">
        <w:rPr>
          <w:rFonts w:cs="Arial"/>
          <w:kern w:val="0"/>
          <w:szCs w:val="24"/>
          <w:lang w:val="es-ES"/>
        </w:rPr>
        <w:t>.</w:t>
      </w:r>
    </w:p>
    <w:p w:rsidR="00812D48" w:rsidRPr="003E7269" w:rsidRDefault="00812D48" w:rsidP="00FF63B7">
      <w:pPr>
        <w:pStyle w:val="Ttulo2"/>
        <w:spacing w:before="0" w:line="360" w:lineRule="auto"/>
        <w:rPr>
          <w:rFonts w:ascii="Arial" w:hAnsi="Arial" w:cs="Arial"/>
          <w:bCs w:val="0"/>
          <w:color w:val="auto"/>
          <w:kern w:val="18"/>
          <w:sz w:val="24"/>
          <w:szCs w:val="24"/>
          <w:lang w:val="es-ES" w:eastAsia="es-ES"/>
        </w:rPr>
      </w:pPr>
      <w:bookmarkStart w:id="43" w:name="_Toc367364180"/>
      <w:bookmarkStart w:id="44" w:name="_Toc402960836"/>
    </w:p>
    <w:p w:rsidR="00812D48" w:rsidRPr="008D4663" w:rsidRDefault="00812D48" w:rsidP="00FF63B7">
      <w:pPr>
        <w:pStyle w:val="Ttulo2"/>
        <w:spacing w:before="0" w:line="360" w:lineRule="auto"/>
        <w:rPr>
          <w:rFonts w:ascii="Arial" w:hAnsi="Arial" w:cs="Arial"/>
          <w:bCs w:val="0"/>
          <w:color w:val="auto"/>
          <w:kern w:val="18"/>
          <w:sz w:val="24"/>
          <w:szCs w:val="24"/>
          <w:lang w:val="es-ES_tradnl" w:eastAsia="es-ES"/>
        </w:rPr>
      </w:pPr>
      <w:r w:rsidRPr="008D4663">
        <w:rPr>
          <w:rFonts w:ascii="Arial" w:hAnsi="Arial" w:cs="Arial"/>
          <w:bCs w:val="0"/>
          <w:color w:val="auto"/>
          <w:kern w:val="18"/>
          <w:sz w:val="24"/>
          <w:szCs w:val="24"/>
          <w:lang w:val="es-ES_tradnl" w:eastAsia="es-ES"/>
        </w:rPr>
        <w:t>4.2.5</w:t>
      </w:r>
      <w:r>
        <w:rPr>
          <w:rFonts w:ascii="Arial" w:hAnsi="Arial" w:cs="Arial"/>
          <w:bCs w:val="0"/>
          <w:color w:val="auto"/>
          <w:kern w:val="18"/>
          <w:sz w:val="24"/>
          <w:szCs w:val="24"/>
          <w:lang w:val="es-ES_tradnl" w:eastAsia="es-ES"/>
        </w:rPr>
        <w:t xml:space="preserve"> </w:t>
      </w:r>
      <w:r w:rsidRPr="00A32A3A">
        <w:rPr>
          <w:rFonts w:ascii="Arial" w:hAnsi="Arial" w:cs="Arial"/>
          <w:bCs w:val="0"/>
          <w:color w:val="auto"/>
          <w:kern w:val="18"/>
          <w:sz w:val="24"/>
          <w:szCs w:val="24"/>
          <w:lang w:val="es-ES_tradnl" w:eastAsia="es-ES"/>
        </w:rPr>
        <w:t>Convenio 30 de la OIT</w:t>
      </w:r>
      <w:bookmarkEnd w:id="43"/>
      <w:bookmarkEnd w:id="44"/>
    </w:p>
    <w:p w:rsidR="00812D48" w:rsidRDefault="00812D48" w:rsidP="00FF63B7">
      <w:pPr>
        <w:pStyle w:val="Textoindependiente"/>
        <w:spacing w:after="0"/>
        <w:rPr>
          <w:rFonts w:cs="Arial"/>
          <w:kern w:val="0"/>
          <w:szCs w:val="24"/>
          <w:lang w:val="es-ES"/>
        </w:rPr>
      </w:pPr>
      <w:r w:rsidRPr="008D4663">
        <w:rPr>
          <w:rFonts w:cs="Arial"/>
          <w:kern w:val="0"/>
          <w:szCs w:val="24"/>
          <w:lang w:val="es-ES"/>
        </w:rPr>
        <w:t xml:space="preserve">Las horas extras deberán liquidarse respecto a </w:t>
      </w:r>
      <w:r>
        <w:rPr>
          <w:rFonts w:cs="Arial"/>
          <w:kern w:val="0"/>
          <w:szCs w:val="24"/>
          <w:lang w:val="es-ES"/>
        </w:rPr>
        <w:t>aquellas</w:t>
      </w:r>
      <w:r w:rsidRPr="008D4663">
        <w:rPr>
          <w:rFonts w:cs="Arial"/>
          <w:kern w:val="0"/>
          <w:szCs w:val="24"/>
          <w:lang w:val="es-ES"/>
        </w:rPr>
        <w:t xml:space="preserve"> efectivamente trabajadas, las que no deber</w:t>
      </w:r>
      <w:r>
        <w:rPr>
          <w:rFonts w:cs="Arial"/>
          <w:kern w:val="0"/>
          <w:szCs w:val="24"/>
          <w:lang w:val="es-ES"/>
        </w:rPr>
        <w:t>á</w:t>
      </w:r>
      <w:r w:rsidRPr="008D4663">
        <w:rPr>
          <w:rFonts w:cs="Arial"/>
          <w:kern w:val="0"/>
          <w:szCs w:val="24"/>
          <w:lang w:val="es-ES"/>
        </w:rPr>
        <w:t>n superar lo establecid</w:t>
      </w:r>
      <w:r>
        <w:rPr>
          <w:rFonts w:cs="Arial"/>
          <w:kern w:val="0"/>
          <w:szCs w:val="24"/>
          <w:lang w:val="es-ES"/>
        </w:rPr>
        <w:t>o por la citada norma.</w:t>
      </w:r>
    </w:p>
    <w:p w:rsidR="00812D48" w:rsidRDefault="00812D48" w:rsidP="00FF63B7">
      <w:pPr>
        <w:pStyle w:val="Textoindependiente"/>
        <w:spacing w:after="0"/>
        <w:rPr>
          <w:rFonts w:cs="Arial"/>
          <w:kern w:val="0"/>
          <w:szCs w:val="24"/>
          <w:lang w:val="es-ES"/>
        </w:rPr>
      </w:pPr>
    </w:p>
    <w:p w:rsidR="008C2E9F" w:rsidRDefault="008C2E9F" w:rsidP="00FF63B7">
      <w:pPr>
        <w:pStyle w:val="Textoindependiente"/>
        <w:spacing w:after="0"/>
        <w:rPr>
          <w:rFonts w:cs="Arial"/>
          <w:kern w:val="0"/>
          <w:szCs w:val="24"/>
          <w:lang w:val="es-ES"/>
        </w:rPr>
      </w:pPr>
    </w:p>
    <w:p w:rsidR="00812D48" w:rsidRPr="008D4663" w:rsidRDefault="00812D48" w:rsidP="00FF63B7">
      <w:pPr>
        <w:pStyle w:val="Ttulo2"/>
        <w:spacing w:before="0" w:line="360" w:lineRule="auto"/>
        <w:rPr>
          <w:rFonts w:ascii="Arial" w:hAnsi="Arial" w:cs="Arial"/>
          <w:bCs w:val="0"/>
          <w:color w:val="auto"/>
          <w:kern w:val="18"/>
          <w:sz w:val="24"/>
          <w:szCs w:val="24"/>
          <w:lang w:val="es-ES_tradnl" w:eastAsia="es-ES"/>
        </w:rPr>
      </w:pPr>
      <w:bookmarkStart w:id="45" w:name="_Toc367364186"/>
      <w:bookmarkStart w:id="46" w:name="_Toc402960838"/>
      <w:r w:rsidRPr="008D4663">
        <w:rPr>
          <w:rFonts w:ascii="Arial" w:hAnsi="Arial" w:cs="Arial"/>
          <w:bCs w:val="0"/>
          <w:color w:val="auto"/>
          <w:kern w:val="18"/>
          <w:sz w:val="24"/>
          <w:szCs w:val="24"/>
          <w:lang w:val="es-ES_tradnl" w:eastAsia="es-ES"/>
        </w:rPr>
        <w:t>4.2.</w:t>
      </w:r>
      <w:r>
        <w:rPr>
          <w:rFonts w:ascii="Arial" w:hAnsi="Arial" w:cs="Arial"/>
          <w:bCs w:val="0"/>
          <w:color w:val="auto"/>
          <w:kern w:val="18"/>
          <w:sz w:val="24"/>
          <w:szCs w:val="24"/>
          <w:lang w:val="es-ES_tradnl" w:eastAsia="es-ES"/>
        </w:rPr>
        <w:t>6</w:t>
      </w:r>
      <w:r w:rsidRPr="008D4663">
        <w:rPr>
          <w:rFonts w:ascii="Arial" w:hAnsi="Arial" w:cs="Arial"/>
          <w:bCs w:val="0"/>
          <w:color w:val="auto"/>
          <w:kern w:val="18"/>
          <w:sz w:val="24"/>
          <w:szCs w:val="24"/>
          <w:lang w:val="es-ES_tradnl" w:eastAsia="es-ES"/>
        </w:rPr>
        <w:t xml:space="preserve"> </w:t>
      </w:r>
      <w:bookmarkEnd w:id="45"/>
      <w:bookmarkEnd w:id="46"/>
      <w:r>
        <w:rPr>
          <w:rFonts w:ascii="Arial" w:hAnsi="Arial" w:cs="Arial"/>
          <w:bCs w:val="0"/>
          <w:color w:val="auto"/>
          <w:kern w:val="18"/>
          <w:sz w:val="24"/>
          <w:szCs w:val="24"/>
          <w:lang w:val="es-ES_tradnl" w:eastAsia="es-ES"/>
        </w:rPr>
        <w:t>Articulo 90 del TOCAF</w:t>
      </w:r>
    </w:p>
    <w:p w:rsidR="00812D48" w:rsidRPr="008A4262" w:rsidRDefault="00812D48" w:rsidP="00FF63B7">
      <w:pPr>
        <w:spacing w:after="0" w:line="360" w:lineRule="auto"/>
        <w:jc w:val="both"/>
        <w:rPr>
          <w:rFonts w:ascii="Arial" w:hAnsi="Arial" w:cs="Arial"/>
          <w:sz w:val="24"/>
          <w:szCs w:val="24"/>
          <w:lang w:val="es-ES_tradnl" w:eastAsia="es-ES"/>
        </w:rPr>
      </w:pPr>
      <w:r w:rsidRPr="008D4663">
        <w:rPr>
          <w:rFonts w:ascii="Arial" w:hAnsi="Arial" w:cs="Arial"/>
          <w:snapToGrid w:val="0"/>
          <w:sz w:val="24"/>
          <w:szCs w:val="24"/>
          <w:lang w:val="es-ES_tradnl"/>
        </w:rPr>
        <w:t>Los fondos de cajas chicas solamente deben utilizarse para efectuar gastos de menor cuantía que deban abonarse al contado y en efectivo, para solucionar necesidades momentáneas del servicio, o para adquirir elementos de escaso valor.</w:t>
      </w:r>
      <w:r>
        <w:rPr>
          <w:rFonts w:ascii="Arial" w:hAnsi="Arial" w:cs="Arial"/>
          <w:snapToGrid w:val="0"/>
          <w:sz w:val="24"/>
          <w:szCs w:val="24"/>
          <w:lang w:val="es-ES_tradnl"/>
        </w:rPr>
        <w:t xml:space="preserve"> Asimismo, s</w:t>
      </w:r>
      <w:r>
        <w:rPr>
          <w:rFonts w:ascii="Arial" w:hAnsi="Arial" w:cs="Arial"/>
          <w:sz w:val="24"/>
          <w:szCs w:val="24"/>
          <w:lang w:val="es-ES_tradnl" w:eastAsia="es-ES"/>
        </w:rPr>
        <w:t>e deben efectuar contratos de fianza o seguros de caución de fidelidad para todos los funcionarios que custodian o manejan fondos o valores.</w:t>
      </w:r>
    </w:p>
    <w:p w:rsidR="00812D48" w:rsidRPr="008D4663" w:rsidRDefault="00812D48" w:rsidP="00FF63B7">
      <w:pPr>
        <w:spacing w:after="0" w:line="360" w:lineRule="auto"/>
        <w:jc w:val="both"/>
        <w:rPr>
          <w:rFonts w:ascii="Arial" w:hAnsi="Arial" w:cs="Arial"/>
          <w:snapToGrid w:val="0"/>
          <w:sz w:val="24"/>
          <w:szCs w:val="24"/>
          <w:lang w:val="es-ES_tradnl"/>
        </w:rPr>
      </w:pPr>
    </w:p>
    <w:p w:rsidR="00812D48" w:rsidRPr="008D4663" w:rsidRDefault="00812D48" w:rsidP="00FF63B7">
      <w:pPr>
        <w:pStyle w:val="Ttulo2"/>
        <w:spacing w:before="0" w:line="360" w:lineRule="auto"/>
        <w:rPr>
          <w:rFonts w:ascii="Arial" w:hAnsi="Arial" w:cs="Arial"/>
          <w:bCs w:val="0"/>
          <w:color w:val="auto"/>
          <w:kern w:val="18"/>
          <w:sz w:val="24"/>
          <w:szCs w:val="24"/>
          <w:lang w:val="es-ES_tradnl" w:eastAsia="es-ES"/>
        </w:rPr>
      </w:pPr>
      <w:bookmarkStart w:id="47" w:name="_Toc367364187"/>
      <w:bookmarkStart w:id="48" w:name="_Toc402960839"/>
      <w:r w:rsidRPr="008D4663">
        <w:rPr>
          <w:rFonts w:ascii="Arial" w:hAnsi="Arial" w:cs="Arial"/>
          <w:bCs w:val="0"/>
          <w:color w:val="auto"/>
          <w:kern w:val="18"/>
          <w:sz w:val="24"/>
          <w:szCs w:val="24"/>
          <w:lang w:val="es-ES_tradnl" w:eastAsia="es-ES"/>
        </w:rPr>
        <w:t>4.2.</w:t>
      </w:r>
      <w:r>
        <w:rPr>
          <w:rFonts w:ascii="Arial" w:hAnsi="Arial" w:cs="Arial"/>
          <w:bCs w:val="0"/>
          <w:color w:val="auto"/>
          <w:kern w:val="18"/>
          <w:sz w:val="24"/>
          <w:szCs w:val="24"/>
          <w:lang w:val="es-ES_tradnl" w:eastAsia="es-ES"/>
        </w:rPr>
        <w:t>7</w:t>
      </w:r>
      <w:r w:rsidRPr="008D4663">
        <w:rPr>
          <w:rFonts w:ascii="Arial" w:hAnsi="Arial" w:cs="Arial"/>
          <w:bCs w:val="0"/>
          <w:color w:val="auto"/>
          <w:kern w:val="18"/>
          <w:sz w:val="24"/>
          <w:szCs w:val="24"/>
          <w:lang w:val="es-ES_tradnl" w:eastAsia="es-ES"/>
        </w:rPr>
        <w:t xml:space="preserve"> </w:t>
      </w:r>
      <w:r w:rsidRPr="00FD38BD">
        <w:rPr>
          <w:rFonts w:ascii="Arial" w:hAnsi="Arial" w:cs="Arial"/>
          <w:bCs w:val="0"/>
          <w:color w:val="auto"/>
          <w:kern w:val="18"/>
          <w:sz w:val="24"/>
          <w:szCs w:val="24"/>
          <w:lang w:val="es-ES_tradnl" w:eastAsia="es-ES"/>
        </w:rPr>
        <w:t>Artículo 102 Numeral 3) del TOCAF</w:t>
      </w:r>
      <w:bookmarkEnd w:id="47"/>
      <w:bookmarkEnd w:id="48"/>
    </w:p>
    <w:p w:rsidR="00812D48" w:rsidRDefault="00812D48" w:rsidP="00FF63B7">
      <w:pPr>
        <w:spacing w:after="0" w:line="360" w:lineRule="auto"/>
        <w:jc w:val="both"/>
        <w:rPr>
          <w:rFonts w:ascii="Arial" w:hAnsi="Arial" w:cs="Arial"/>
          <w:snapToGrid w:val="0"/>
          <w:sz w:val="24"/>
          <w:szCs w:val="24"/>
        </w:rPr>
      </w:pPr>
      <w:r w:rsidRPr="008D4663">
        <w:rPr>
          <w:rFonts w:ascii="Arial" w:hAnsi="Arial" w:cs="Arial"/>
          <w:snapToGrid w:val="0"/>
          <w:sz w:val="24"/>
          <w:szCs w:val="24"/>
        </w:rPr>
        <w:t>Se debe adecuar el sistema contable a efectos de que, en todos los casos, se  determine con exactitud y certeza la disponibilidad existent</w:t>
      </w:r>
      <w:r>
        <w:rPr>
          <w:rFonts w:ascii="Arial" w:hAnsi="Arial" w:cs="Arial"/>
          <w:snapToGrid w:val="0"/>
          <w:sz w:val="24"/>
          <w:szCs w:val="24"/>
        </w:rPr>
        <w:t>e al momento de comprometerse.</w:t>
      </w:r>
    </w:p>
    <w:p w:rsidR="00812D48" w:rsidRPr="003E7269" w:rsidRDefault="00812D48" w:rsidP="00FF63B7">
      <w:pPr>
        <w:pStyle w:val="Ttulo2"/>
        <w:spacing w:before="0" w:line="360" w:lineRule="auto"/>
        <w:rPr>
          <w:rFonts w:ascii="Arial" w:hAnsi="Arial" w:cs="Arial"/>
          <w:bCs w:val="0"/>
          <w:color w:val="auto"/>
          <w:kern w:val="18"/>
          <w:sz w:val="24"/>
          <w:szCs w:val="24"/>
          <w:lang w:eastAsia="es-ES"/>
        </w:rPr>
      </w:pPr>
    </w:p>
    <w:p w:rsidR="00812D48" w:rsidRDefault="00812D48" w:rsidP="00812D48">
      <w:pPr>
        <w:pStyle w:val="Ttulo2"/>
        <w:numPr>
          <w:ilvl w:val="1"/>
          <w:numId w:val="2"/>
        </w:numPr>
        <w:spacing w:before="0" w:line="360" w:lineRule="auto"/>
        <w:rPr>
          <w:rFonts w:ascii="Arial" w:hAnsi="Arial" w:cs="Arial"/>
          <w:bCs w:val="0"/>
          <w:color w:val="auto"/>
          <w:kern w:val="18"/>
          <w:sz w:val="24"/>
          <w:szCs w:val="24"/>
          <w:lang w:val="es-ES_tradnl" w:eastAsia="es-ES"/>
        </w:rPr>
      </w:pPr>
      <w:bookmarkStart w:id="49" w:name="_Toc367364185"/>
      <w:bookmarkStart w:id="50" w:name="_Toc402960841"/>
      <w:r>
        <w:rPr>
          <w:rFonts w:ascii="Arial" w:hAnsi="Arial" w:cs="Arial"/>
          <w:bCs w:val="0"/>
          <w:color w:val="auto"/>
          <w:kern w:val="18"/>
          <w:sz w:val="24"/>
          <w:szCs w:val="24"/>
          <w:lang w:val="es-ES_tradnl" w:eastAsia="es-ES"/>
        </w:rPr>
        <w:t xml:space="preserve"> </w:t>
      </w:r>
      <w:r w:rsidRPr="008D4663">
        <w:rPr>
          <w:rFonts w:ascii="Arial" w:hAnsi="Arial" w:cs="Arial"/>
          <w:bCs w:val="0"/>
          <w:color w:val="auto"/>
          <w:kern w:val="18"/>
          <w:sz w:val="24"/>
          <w:szCs w:val="24"/>
          <w:lang w:val="es-ES_tradnl" w:eastAsia="es-ES"/>
        </w:rPr>
        <w:t>R</w:t>
      </w:r>
      <w:bookmarkEnd w:id="49"/>
      <w:r w:rsidRPr="008D4663">
        <w:rPr>
          <w:rFonts w:ascii="Arial" w:hAnsi="Arial" w:cs="Arial"/>
          <w:bCs w:val="0"/>
          <w:color w:val="auto"/>
          <w:kern w:val="18"/>
          <w:sz w:val="24"/>
          <w:szCs w:val="24"/>
          <w:lang w:val="es-ES_tradnl" w:eastAsia="es-ES"/>
        </w:rPr>
        <w:t>ecomendaciones del ejercicio</w:t>
      </w:r>
      <w:bookmarkEnd w:id="50"/>
    </w:p>
    <w:p w:rsidR="008D6EAD" w:rsidRPr="008D6EAD" w:rsidRDefault="008D6EAD" w:rsidP="008D6EAD">
      <w:pPr>
        <w:rPr>
          <w:lang w:val="es-ES_tradnl" w:eastAsia="es-ES"/>
        </w:rPr>
      </w:pPr>
    </w:p>
    <w:p w:rsidR="00812D48" w:rsidRPr="003E7269" w:rsidRDefault="00812D48" w:rsidP="003E7269">
      <w:pPr>
        <w:pStyle w:val="Default"/>
        <w:spacing w:line="360" w:lineRule="auto"/>
        <w:rPr>
          <w:rFonts w:eastAsia="Arial Unicode MS"/>
        </w:rPr>
      </w:pPr>
      <w:r w:rsidRPr="003E7269">
        <w:rPr>
          <w:b/>
          <w:snapToGrid w:val="0"/>
        </w:rPr>
        <w:t xml:space="preserve">4.3.1 </w:t>
      </w:r>
      <w:r w:rsidRPr="003E7269">
        <w:rPr>
          <w:rFonts w:eastAsia="Arial Unicode MS"/>
          <w:b/>
          <w:bCs/>
        </w:rPr>
        <w:t>Resolución del Tribunal de Cuentas del 16/07/1997</w:t>
      </w:r>
    </w:p>
    <w:p w:rsidR="00812D48" w:rsidRDefault="00812D48" w:rsidP="003E7269">
      <w:pPr>
        <w:widowControl w:val="0"/>
        <w:suppressAutoHyphens/>
        <w:overflowPunct w:val="0"/>
        <w:autoSpaceDE w:val="0"/>
        <w:autoSpaceDN w:val="0"/>
        <w:adjustRightInd w:val="0"/>
        <w:spacing w:after="0" w:line="360" w:lineRule="auto"/>
        <w:jc w:val="both"/>
        <w:rPr>
          <w:rFonts w:ascii="Arial" w:hAnsi="Arial" w:cs="Arial"/>
          <w:snapToGrid w:val="0"/>
          <w:sz w:val="24"/>
          <w:szCs w:val="24"/>
        </w:rPr>
      </w:pPr>
      <w:r>
        <w:rPr>
          <w:rFonts w:ascii="Arial" w:hAnsi="Arial" w:cs="Arial"/>
          <w:snapToGrid w:val="0"/>
          <w:sz w:val="24"/>
          <w:szCs w:val="24"/>
        </w:rPr>
        <w:t>Los pagos a artistas, deben contar con el correspondiente contrato artístico.</w:t>
      </w:r>
    </w:p>
    <w:p w:rsidR="00812D48" w:rsidRDefault="00812D48" w:rsidP="00FF63B7">
      <w:pPr>
        <w:widowControl w:val="0"/>
        <w:suppressAutoHyphens/>
        <w:overflowPunct w:val="0"/>
        <w:autoSpaceDE w:val="0"/>
        <w:autoSpaceDN w:val="0"/>
        <w:adjustRightInd w:val="0"/>
        <w:spacing w:after="0" w:line="360" w:lineRule="auto"/>
        <w:jc w:val="both"/>
        <w:rPr>
          <w:rFonts w:ascii="Arial" w:hAnsi="Arial" w:cs="Arial"/>
          <w:snapToGrid w:val="0"/>
          <w:sz w:val="24"/>
          <w:szCs w:val="24"/>
        </w:rPr>
      </w:pPr>
    </w:p>
    <w:p w:rsidR="00812D48" w:rsidRPr="00FD38BD" w:rsidRDefault="00812D48" w:rsidP="00FF63B7">
      <w:pPr>
        <w:widowControl w:val="0"/>
        <w:suppressAutoHyphens/>
        <w:overflowPunct w:val="0"/>
        <w:autoSpaceDE w:val="0"/>
        <w:autoSpaceDN w:val="0"/>
        <w:adjustRightInd w:val="0"/>
        <w:spacing w:after="0" w:line="360" w:lineRule="auto"/>
        <w:jc w:val="both"/>
        <w:rPr>
          <w:rFonts w:ascii="Arial" w:hAnsi="Arial" w:cs="Arial"/>
          <w:b/>
          <w:snapToGrid w:val="0"/>
          <w:sz w:val="24"/>
          <w:szCs w:val="24"/>
        </w:rPr>
      </w:pPr>
      <w:r w:rsidRPr="00162630">
        <w:rPr>
          <w:rFonts w:ascii="Arial" w:hAnsi="Arial" w:cs="Arial"/>
          <w:b/>
          <w:snapToGrid w:val="0"/>
          <w:sz w:val="24"/>
          <w:szCs w:val="24"/>
        </w:rPr>
        <w:t>4.3.</w:t>
      </w:r>
      <w:r>
        <w:rPr>
          <w:rFonts w:ascii="Arial" w:hAnsi="Arial" w:cs="Arial"/>
          <w:b/>
          <w:snapToGrid w:val="0"/>
          <w:sz w:val="24"/>
          <w:szCs w:val="24"/>
        </w:rPr>
        <w:t>2</w:t>
      </w:r>
      <w:r w:rsidRPr="00162630">
        <w:rPr>
          <w:rFonts w:ascii="Arial" w:hAnsi="Arial" w:cs="Arial"/>
          <w:b/>
          <w:snapToGrid w:val="0"/>
          <w:sz w:val="24"/>
          <w:szCs w:val="24"/>
        </w:rPr>
        <w:t xml:space="preserve">  </w:t>
      </w:r>
      <w:r>
        <w:rPr>
          <w:rFonts w:ascii="Arial" w:hAnsi="Arial" w:cs="Arial"/>
          <w:b/>
          <w:snapToGrid w:val="0"/>
          <w:sz w:val="24"/>
          <w:szCs w:val="24"/>
        </w:rPr>
        <w:t>A</w:t>
      </w:r>
      <w:r w:rsidR="003E7269">
        <w:rPr>
          <w:rFonts w:ascii="Arial" w:hAnsi="Arial" w:cs="Arial"/>
          <w:b/>
          <w:snapToGrid w:val="0"/>
          <w:sz w:val="24"/>
          <w:szCs w:val="24"/>
        </w:rPr>
        <w:t>rtículo 124 de la Ley 17.738</w:t>
      </w:r>
    </w:p>
    <w:p w:rsidR="00812D48" w:rsidRDefault="00812D48" w:rsidP="00FF63B7">
      <w:pPr>
        <w:widowControl w:val="0"/>
        <w:suppressAutoHyphens/>
        <w:overflowPunct w:val="0"/>
        <w:autoSpaceDE w:val="0"/>
        <w:autoSpaceDN w:val="0"/>
        <w:adjustRightInd w:val="0"/>
        <w:spacing w:after="0" w:line="360" w:lineRule="auto"/>
        <w:jc w:val="both"/>
        <w:rPr>
          <w:rFonts w:ascii="Arial" w:hAnsi="Arial" w:cs="Arial"/>
          <w:snapToGrid w:val="0"/>
          <w:sz w:val="24"/>
          <w:szCs w:val="24"/>
        </w:rPr>
      </w:pPr>
      <w:r>
        <w:rPr>
          <w:rFonts w:ascii="Arial" w:hAnsi="Arial" w:cs="Arial"/>
          <w:snapToGrid w:val="0"/>
          <w:sz w:val="24"/>
          <w:szCs w:val="24"/>
        </w:rPr>
        <w:t>La intendencia debe solicitar los certificados de estar al día con la Caja Profesional.</w:t>
      </w:r>
    </w:p>
    <w:p w:rsidR="00812D48" w:rsidRPr="0025082B" w:rsidRDefault="00812D48" w:rsidP="00FF63B7">
      <w:pPr>
        <w:pStyle w:val="Ttulo2"/>
      </w:pPr>
      <w:bookmarkStart w:id="51" w:name="_Toc307325698"/>
      <w:r w:rsidRPr="00A308E5">
        <w:rPr>
          <w:rFonts w:ascii="Arial" w:eastAsia="Calibri" w:hAnsi="Arial" w:cs="Arial"/>
          <w:bCs w:val="0"/>
          <w:snapToGrid w:val="0"/>
          <w:color w:val="auto"/>
          <w:sz w:val="24"/>
          <w:szCs w:val="24"/>
        </w:rPr>
        <w:t>4.</w:t>
      </w:r>
      <w:r>
        <w:rPr>
          <w:rFonts w:ascii="Arial" w:eastAsia="Calibri" w:hAnsi="Arial" w:cs="Arial"/>
          <w:bCs w:val="0"/>
          <w:snapToGrid w:val="0"/>
          <w:color w:val="auto"/>
          <w:sz w:val="24"/>
          <w:szCs w:val="24"/>
        </w:rPr>
        <w:t>3</w:t>
      </w:r>
      <w:r w:rsidRPr="00A308E5">
        <w:rPr>
          <w:rFonts w:ascii="Arial" w:eastAsia="Calibri" w:hAnsi="Arial" w:cs="Arial"/>
          <w:bCs w:val="0"/>
          <w:snapToGrid w:val="0"/>
          <w:color w:val="auto"/>
          <w:sz w:val="24"/>
          <w:szCs w:val="24"/>
        </w:rPr>
        <w:t>.</w:t>
      </w:r>
      <w:r>
        <w:rPr>
          <w:rFonts w:ascii="Arial" w:eastAsia="Calibri" w:hAnsi="Arial" w:cs="Arial"/>
          <w:bCs w:val="0"/>
          <w:snapToGrid w:val="0"/>
          <w:color w:val="auto"/>
          <w:sz w:val="24"/>
          <w:szCs w:val="24"/>
        </w:rPr>
        <w:t xml:space="preserve">3 </w:t>
      </w:r>
      <w:r w:rsidRPr="00FD38BD">
        <w:rPr>
          <w:rFonts w:ascii="Arial" w:eastAsia="Calibri" w:hAnsi="Arial" w:cs="Arial"/>
          <w:bCs w:val="0"/>
          <w:snapToGrid w:val="0"/>
          <w:color w:val="auto"/>
          <w:sz w:val="24"/>
          <w:szCs w:val="24"/>
        </w:rPr>
        <w:t>Ordenanza Nº 62</w:t>
      </w:r>
      <w:bookmarkEnd w:id="51"/>
    </w:p>
    <w:p w:rsidR="00812D48" w:rsidRDefault="00812D48" w:rsidP="00FF63B7">
      <w:pPr>
        <w:pStyle w:val="Textoindependiente"/>
        <w:autoSpaceDE w:val="0"/>
        <w:autoSpaceDN w:val="0"/>
        <w:adjustRightInd w:val="0"/>
        <w:spacing w:after="0"/>
      </w:pPr>
      <w:r>
        <w:t>Las exoneraciones aprobadas por la Junta Departamental, deben remitirse previamente a este Tribunal para ser dictaminadas, antes de su consideración.</w:t>
      </w:r>
    </w:p>
    <w:p w:rsidR="0064739C" w:rsidRDefault="0064739C" w:rsidP="00FF63B7">
      <w:pPr>
        <w:pStyle w:val="Textoindependiente"/>
        <w:autoSpaceDE w:val="0"/>
        <w:autoSpaceDN w:val="0"/>
        <w:adjustRightInd w:val="0"/>
        <w:spacing w:after="0"/>
      </w:pPr>
    </w:p>
    <w:p w:rsidR="0064739C" w:rsidRDefault="0064739C" w:rsidP="00FF63B7">
      <w:pPr>
        <w:pStyle w:val="Textoindependiente"/>
        <w:autoSpaceDE w:val="0"/>
        <w:autoSpaceDN w:val="0"/>
        <w:adjustRightInd w:val="0"/>
        <w:spacing w:after="0"/>
      </w:pPr>
    </w:p>
    <w:p w:rsidR="0064739C" w:rsidRDefault="0064739C" w:rsidP="00FF63B7">
      <w:pPr>
        <w:pStyle w:val="Textoindependiente"/>
        <w:autoSpaceDE w:val="0"/>
        <w:autoSpaceDN w:val="0"/>
        <w:adjustRightInd w:val="0"/>
        <w:spacing w:after="0"/>
      </w:pPr>
    </w:p>
    <w:p w:rsidR="0064739C" w:rsidRDefault="0064739C" w:rsidP="00FF63B7">
      <w:pPr>
        <w:pStyle w:val="Textoindependiente"/>
        <w:autoSpaceDE w:val="0"/>
        <w:autoSpaceDN w:val="0"/>
        <w:adjustRightInd w:val="0"/>
        <w:spacing w:after="0"/>
      </w:pPr>
    </w:p>
    <w:p w:rsidR="00812D48" w:rsidRDefault="00812D48" w:rsidP="00FF63B7">
      <w:pPr>
        <w:pStyle w:val="Textoindependiente"/>
        <w:autoSpaceDE w:val="0"/>
        <w:autoSpaceDN w:val="0"/>
        <w:adjustRightInd w:val="0"/>
        <w:spacing w:after="0"/>
      </w:pPr>
    </w:p>
    <w:p w:rsidR="00812D48" w:rsidRPr="004D23DD" w:rsidRDefault="00812D48" w:rsidP="002A0247">
      <w:pPr>
        <w:widowControl w:val="0"/>
        <w:spacing w:line="360" w:lineRule="auto"/>
        <w:jc w:val="both"/>
        <w:rPr>
          <w:rFonts w:ascii="Arial" w:eastAsia="Times New Roman" w:hAnsi="Arial" w:cs="Arial"/>
          <w:b/>
          <w:kern w:val="18"/>
          <w:sz w:val="24"/>
          <w:szCs w:val="24"/>
          <w:lang w:val="es-ES_tradnl" w:eastAsia="es-ES"/>
        </w:rPr>
      </w:pPr>
      <w:r>
        <w:rPr>
          <w:rFonts w:ascii="Arial" w:eastAsia="Times New Roman" w:hAnsi="Arial" w:cs="Arial"/>
          <w:b/>
          <w:kern w:val="18"/>
          <w:sz w:val="24"/>
          <w:szCs w:val="24"/>
          <w:lang w:val="es-ES_tradnl" w:eastAsia="es-ES"/>
        </w:rPr>
        <w:t>4</w:t>
      </w:r>
      <w:r w:rsidRPr="004D23DD">
        <w:rPr>
          <w:rFonts w:ascii="Arial" w:eastAsia="Times New Roman" w:hAnsi="Arial" w:cs="Arial"/>
          <w:b/>
          <w:kern w:val="18"/>
          <w:sz w:val="24"/>
          <w:szCs w:val="24"/>
          <w:lang w:val="es-ES_tradnl" w:eastAsia="es-ES"/>
        </w:rPr>
        <w:t>.3</w:t>
      </w:r>
      <w:r>
        <w:rPr>
          <w:rFonts w:ascii="Arial" w:eastAsia="Times New Roman" w:hAnsi="Arial" w:cs="Arial"/>
          <w:b/>
          <w:kern w:val="18"/>
          <w:sz w:val="24"/>
          <w:szCs w:val="24"/>
          <w:lang w:val="es-ES_tradnl" w:eastAsia="es-ES"/>
        </w:rPr>
        <w:t>.4</w:t>
      </w:r>
      <w:r w:rsidRPr="004D23DD">
        <w:rPr>
          <w:rFonts w:ascii="Arial" w:eastAsia="Times New Roman" w:hAnsi="Arial" w:cs="Arial"/>
          <w:b/>
          <w:kern w:val="18"/>
          <w:sz w:val="24"/>
          <w:szCs w:val="24"/>
          <w:lang w:val="es-ES_tradnl" w:eastAsia="es-ES"/>
        </w:rPr>
        <w:t xml:space="preserve"> Ley de Ordenamiento Territorial</w:t>
      </w:r>
    </w:p>
    <w:p w:rsidR="00812D48" w:rsidRDefault="00812D48" w:rsidP="002A0247">
      <w:pPr>
        <w:widowControl w:val="0"/>
        <w:spacing w:line="360" w:lineRule="auto"/>
        <w:jc w:val="both"/>
        <w:rPr>
          <w:rFonts w:ascii="Arial" w:eastAsia="Times New Roman" w:hAnsi="Arial" w:cs="Arial"/>
          <w:kern w:val="18"/>
          <w:sz w:val="24"/>
          <w:szCs w:val="24"/>
          <w:lang w:val="es-ES_tradnl" w:eastAsia="es-ES"/>
        </w:rPr>
      </w:pPr>
      <w:r w:rsidRPr="004D23DD">
        <w:rPr>
          <w:rFonts w:ascii="Arial" w:eastAsia="Times New Roman" w:hAnsi="Arial" w:cs="Arial"/>
          <w:kern w:val="18"/>
          <w:sz w:val="24"/>
          <w:szCs w:val="24"/>
          <w:lang w:val="es-ES_tradnl" w:eastAsia="es-ES"/>
        </w:rPr>
        <w:t>Se deberá dar cumplimiento a la normativa vigente, incorporando padrones Rurales a los padrones Sub-Urbanos y Urbanos como lo indica el Decreto 2181 del 2011 y dar cumplimiento a los cambios que en forma taxativa indica el decreto</w:t>
      </w:r>
      <w:r w:rsidR="003E7269">
        <w:rPr>
          <w:rFonts w:ascii="Arial" w:eastAsia="Times New Roman" w:hAnsi="Arial" w:cs="Arial"/>
          <w:kern w:val="18"/>
          <w:sz w:val="24"/>
          <w:szCs w:val="24"/>
          <w:lang w:val="es-ES_tradnl" w:eastAsia="es-ES"/>
        </w:rPr>
        <w:t>.</w:t>
      </w:r>
    </w:p>
    <w:p w:rsidR="00812D48" w:rsidRDefault="00812D48" w:rsidP="008C2E9F">
      <w:pPr>
        <w:widowControl w:val="0"/>
        <w:suppressAutoHyphens/>
        <w:overflowPunct w:val="0"/>
        <w:autoSpaceDE w:val="0"/>
        <w:autoSpaceDN w:val="0"/>
        <w:adjustRightInd w:val="0"/>
        <w:spacing w:after="0" w:line="360" w:lineRule="auto"/>
        <w:jc w:val="right"/>
        <w:rPr>
          <w:rFonts w:ascii="Arial" w:eastAsia="Times New Roman" w:hAnsi="Arial" w:cs="Arial"/>
          <w:bCs/>
          <w:snapToGrid w:val="0"/>
          <w:sz w:val="24"/>
          <w:szCs w:val="24"/>
          <w:lang w:val="es-ES" w:eastAsia="es-ES"/>
        </w:rPr>
      </w:pPr>
      <w:r w:rsidRPr="00A20400">
        <w:rPr>
          <w:rFonts w:ascii="Arial" w:eastAsia="Times New Roman" w:hAnsi="Arial" w:cs="Arial"/>
          <w:bCs/>
          <w:snapToGrid w:val="0"/>
          <w:sz w:val="24"/>
          <w:szCs w:val="24"/>
          <w:lang w:val="es-ES" w:eastAsia="es-ES"/>
        </w:rPr>
        <w:t xml:space="preserve">Montevideo, </w:t>
      </w:r>
      <w:r>
        <w:rPr>
          <w:rFonts w:ascii="Arial" w:eastAsia="Times New Roman" w:hAnsi="Arial" w:cs="Arial"/>
          <w:bCs/>
          <w:snapToGrid w:val="0"/>
          <w:sz w:val="24"/>
          <w:szCs w:val="24"/>
          <w:lang w:val="es-ES" w:eastAsia="es-ES"/>
        </w:rPr>
        <w:t>4</w:t>
      </w:r>
      <w:r w:rsidRPr="00A20400">
        <w:rPr>
          <w:rFonts w:ascii="Arial" w:eastAsia="Times New Roman" w:hAnsi="Arial" w:cs="Arial"/>
          <w:bCs/>
          <w:snapToGrid w:val="0"/>
          <w:sz w:val="24"/>
          <w:szCs w:val="24"/>
          <w:lang w:val="es-ES" w:eastAsia="es-ES"/>
        </w:rPr>
        <w:t xml:space="preserve"> de diciembre de 2015</w:t>
      </w:r>
    </w:p>
    <w:p w:rsidR="00812D48" w:rsidRPr="00812D48" w:rsidRDefault="00812D48" w:rsidP="00812D48">
      <w:pPr>
        <w:widowControl w:val="0"/>
        <w:suppressAutoHyphens/>
        <w:overflowPunct w:val="0"/>
        <w:autoSpaceDE w:val="0"/>
        <w:autoSpaceDN w:val="0"/>
        <w:adjustRightInd w:val="0"/>
        <w:spacing w:after="0" w:line="360" w:lineRule="auto"/>
        <w:jc w:val="both"/>
        <w:rPr>
          <w:rFonts w:ascii="Arial" w:eastAsia="Times New Roman" w:hAnsi="Arial" w:cs="Arial"/>
          <w:bCs/>
          <w:snapToGrid w:val="0"/>
          <w:sz w:val="24"/>
          <w:szCs w:val="24"/>
          <w:lang w:val="es-ES" w:eastAsia="es-ES"/>
        </w:rPr>
      </w:pPr>
      <w:proofErr w:type="spellStart"/>
      <w:proofErr w:type="gramStart"/>
      <w:r>
        <w:rPr>
          <w:rFonts w:ascii="Arial" w:eastAsia="Times New Roman" w:hAnsi="Arial" w:cs="Arial"/>
          <w:bCs/>
          <w:snapToGrid w:val="0"/>
          <w:sz w:val="24"/>
          <w:szCs w:val="24"/>
          <w:lang w:val="es-ES" w:eastAsia="es-ES"/>
        </w:rPr>
        <w:t>ag</w:t>
      </w:r>
      <w:proofErr w:type="spellEnd"/>
      <w:proofErr w:type="gramEnd"/>
    </w:p>
    <w:sectPr w:rsidR="00812D48" w:rsidRPr="00812D48" w:rsidSect="00CA5F11">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360"/>
        </w:tabs>
      </w:pPr>
      <w:rPr>
        <w:rFonts w:ascii="Symbol" w:hAnsi="Symbol"/>
      </w:rPr>
    </w:lvl>
  </w:abstractNum>
  <w:abstractNum w:abstractNumId="1">
    <w:nsid w:val="491D1773"/>
    <w:multiLevelType w:val="multilevel"/>
    <w:tmpl w:val="B43AC4D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774307BF"/>
    <w:multiLevelType w:val="multilevel"/>
    <w:tmpl w:val="C520D7C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64F"/>
    <w:rsid w:val="000D01EC"/>
    <w:rsid w:val="001878F8"/>
    <w:rsid w:val="00203A9D"/>
    <w:rsid w:val="002A0247"/>
    <w:rsid w:val="002F6A92"/>
    <w:rsid w:val="003478E8"/>
    <w:rsid w:val="003E7269"/>
    <w:rsid w:val="004979F6"/>
    <w:rsid w:val="004C4AD8"/>
    <w:rsid w:val="00531870"/>
    <w:rsid w:val="005702C6"/>
    <w:rsid w:val="005C36B8"/>
    <w:rsid w:val="0064739C"/>
    <w:rsid w:val="0077264F"/>
    <w:rsid w:val="00812D48"/>
    <w:rsid w:val="008C2E9F"/>
    <w:rsid w:val="008D6EAD"/>
    <w:rsid w:val="00AE3C96"/>
    <w:rsid w:val="00B07AC7"/>
    <w:rsid w:val="00B73A25"/>
    <w:rsid w:val="00CA5F11"/>
    <w:rsid w:val="00D90398"/>
    <w:rsid w:val="00F9472B"/>
    <w:rsid w:val="00FF63B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64F"/>
    <w:rPr>
      <w:rFonts w:ascii="Calibri" w:eastAsia="Calibri" w:hAnsi="Calibri" w:cs="Times New Roman"/>
    </w:rPr>
  </w:style>
  <w:style w:type="paragraph" w:styleId="Ttulo1">
    <w:name w:val="heading 1"/>
    <w:basedOn w:val="Normal"/>
    <w:next w:val="Normal"/>
    <w:link w:val="Ttulo1Car"/>
    <w:qFormat/>
    <w:rsid w:val="00812D48"/>
    <w:pPr>
      <w:spacing w:after="180" w:line="360" w:lineRule="auto"/>
      <w:outlineLvl w:val="0"/>
    </w:pPr>
    <w:rPr>
      <w:rFonts w:ascii="Arial" w:eastAsia="Times New Roman" w:hAnsi="Arial"/>
      <w:b/>
      <w:caps/>
      <w:kern w:val="18"/>
      <w:sz w:val="24"/>
      <w:szCs w:val="20"/>
      <w:lang w:val="es-ES" w:eastAsia="es-ES"/>
    </w:rPr>
  </w:style>
  <w:style w:type="paragraph" w:styleId="Ttulo2">
    <w:name w:val="heading 2"/>
    <w:basedOn w:val="Normal"/>
    <w:next w:val="Normal"/>
    <w:link w:val="Ttulo2Car"/>
    <w:uiPriority w:val="9"/>
    <w:unhideWhenUsed/>
    <w:qFormat/>
    <w:rsid w:val="00812D48"/>
    <w:pPr>
      <w:keepNext/>
      <w:keepLines/>
      <w:spacing w:before="200" w:after="0"/>
      <w:jc w:val="both"/>
      <w:outlineLvl w:val="1"/>
    </w:pPr>
    <w:rPr>
      <w:rFonts w:ascii="Cambria" w:eastAsia="Times New Roman"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878F8"/>
    <w:pPr>
      <w:ind w:left="720"/>
      <w:contextualSpacing/>
    </w:pPr>
  </w:style>
  <w:style w:type="character" w:customStyle="1" w:styleId="Ttulo1Car">
    <w:name w:val="Título 1 Car"/>
    <w:basedOn w:val="Fuentedeprrafopredeter"/>
    <w:link w:val="Ttulo1"/>
    <w:rsid w:val="00812D48"/>
    <w:rPr>
      <w:rFonts w:ascii="Arial" w:eastAsia="Times New Roman" w:hAnsi="Arial" w:cs="Times New Roman"/>
      <w:b/>
      <w:caps/>
      <w:kern w:val="18"/>
      <w:sz w:val="24"/>
      <w:szCs w:val="20"/>
      <w:lang w:val="es-ES" w:eastAsia="es-ES"/>
    </w:rPr>
  </w:style>
  <w:style w:type="paragraph" w:styleId="Textoindependiente">
    <w:name w:val="Body Text"/>
    <w:basedOn w:val="Normal"/>
    <w:link w:val="TextoindependienteCar"/>
    <w:rsid w:val="00812D48"/>
    <w:pPr>
      <w:spacing w:after="240" w:line="360" w:lineRule="auto"/>
      <w:jc w:val="both"/>
    </w:pPr>
    <w:rPr>
      <w:rFonts w:ascii="Arial" w:eastAsia="Times New Roman" w:hAnsi="Arial"/>
      <w:kern w:val="18"/>
      <w:sz w:val="24"/>
      <w:szCs w:val="20"/>
      <w:lang w:val="es-ES_tradnl" w:eastAsia="es-ES"/>
    </w:rPr>
  </w:style>
  <w:style w:type="character" w:customStyle="1" w:styleId="TextoindependienteCar">
    <w:name w:val="Texto independiente Car"/>
    <w:basedOn w:val="Fuentedeprrafopredeter"/>
    <w:link w:val="Textoindependiente"/>
    <w:rsid w:val="00812D48"/>
    <w:rPr>
      <w:rFonts w:ascii="Arial" w:eastAsia="Times New Roman" w:hAnsi="Arial" w:cs="Times New Roman"/>
      <w:kern w:val="18"/>
      <w:sz w:val="24"/>
      <w:szCs w:val="20"/>
      <w:lang w:val="es-ES_tradnl" w:eastAsia="es-ES"/>
    </w:rPr>
  </w:style>
  <w:style w:type="paragraph" w:styleId="Subttulo">
    <w:name w:val="Subtitle"/>
    <w:basedOn w:val="Normal"/>
    <w:link w:val="SubttuloCar"/>
    <w:qFormat/>
    <w:rsid w:val="00812D48"/>
    <w:pPr>
      <w:spacing w:after="0" w:line="360" w:lineRule="auto"/>
      <w:jc w:val="both"/>
    </w:pPr>
    <w:rPr>
      <w:rFonts w:ascii="Bookman Old Style" w:eastAsia="Times New Roman" w:hAnsi="Bookman Old Style"/>
      <w:b/>
      <w:kern w:val="18"/>
      <w:sz w:val="24"/>
      <w:szCs w:val="20"/>
      <w:lang w:val="es-ES" w:eastAsia="es-ES"/>
    </w:rPr>
  </w:style>
  <w:style w:type="character" w:customStyle="1" w:styleId="SubttuloCar">
    <w:name w:val="Subtítulo Car"/>
    <w:basedOn w:val="Fuentedeprrafopredeter"/>
    <w:link w:val="Subttulo"/>
    <w:rsid w:val="00812D48"/>
    <w:rPr>
      <w:rFonts w:ascii="Bookman Old Style" w:eastAsia="Times New Roman" w:hAnsi="Bookman Old Style" w:cs="Times New Roman"/>
      <w:b/>
      <w:kern w:val="18"/>
      <w:sz w:val="24"/>
      <w:szCs w:val="20"/>
      <w:lang w:val="es-ES" w:eastAsia="es-ES"/>
    </w:rPr>
  </w:style>
  <w:style w:type="character" w:customStyle="1" w:styleId="Ttulo2Car">
    <w:name w:val="Título 2 Car"/>
    <w:basedOn w:val="Fuentedeprrafopredeter"/>
    <w:link w:val="Ttulo2"/>
    <w:uiPriority w:val="9"/>
    <w:rsid w:val="00812D48"/>
    <w:rPr>
      <w:rFonts w:ascii="Cambria" w:eastAsia="Times New Roman" w:hAnsi="Cambria" w:cs="Times New Roman"/>
      <w:b/>
      <w:bCs/>
      <w:color w:val="4F81BD"/>
      <w:sz w:val="26"/>
      <w:szCs w:val="26"/>
    </w:rPr>
  </w:style>
  <w:style w:type="paragraph" w:styleId="Textoindependiente2">
    <w:name w:val="Body Text 2"/>
    <w:basedOn w:val="Normal"/>
    <w:link w:val="Textoindependiente2Car"/>
    <w:uiPriority w:val="99"/>
    <w:semiHidden/>
    <w:unhideWhenUsed/>
    <w:rsid w:val="00812D48"/>
    <w:pPr>
      <w:spacing w:after="120" w:line="480" w:lineRule="auto"/>
      <w:jc w:val="both"/>
    </w:pPr>
    <w:rPr>
      <w:rFonts w:ascii="Arial" w:hAnsi="Arial"/>
      <w:sz w:val="24"/>
    </w:rPr>
  </w:style>
  <w:style w:type="character" w:customStyle="1" w:styleId="Textoindependiente2Car">
    <w:name w:val="Texto independiente 2 Car"/>
    <w:basedOn w:val="Fuentedeprrafopredeter"/>
    <w:link w:val="Textoindependiente2"/>
    <w:uiPriority w:val="99"/>
    <w:semiHidden/>
    <w:rsid w:val="00812D48"/>
    <w:rPr>
      <w:rFonts w:ascii="Arial" w:eastAsia="Calibri" w:hAnsi="Arial" w:cs="Times New Roman"/>
      <w:sz w:val="24"/>
    </w:rPr>
  </w:style>
  <w:style w:type="character" w:styleId="Nmerodepgina">
    <w:name w:val="page number"/>
    <w:basedOn w:val="Fuentedeprrafopredeter"/>
    <w:rsid w:val="00812D48"/>
  </w:style>
  <w:style w:type="table" w:styleId="Tablaconcuadrcula">
    <w:name w:val="Table Grid"/>
    <w:basedOn w:val="Tablanormal"/>
    <w:uiPriority w:val="59"/>
    <w:rsid w:val="00812D48"/>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12D48"/>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64F"/>
    <w:rPr>
      <w:rFonts w:ascii="Calibri" w:eastAsia="Calibri" w:hAnsi="Calibri" w:cs="Times New Roman"/>
    </w:rPr>
  </w:style>
  <w:style w:type="paragraph" w:styleId="Ttulo1">
    <w:name w:val="heading 1"/>
    <w:basedOn w:val="Normal"/>
    <w:next w:val="Normal"/>
    <w:link w:val="Ttulo1Car"/>
    <w:qFormat/>
    <w:rsid w:val="00812D48"/>
    <w:pPr>
      <w:spacing w:after="180" w:line="360" w:lineRule="auto"/>
      <w:outlineLvl w:val="0"/>
    </w:pPr>
    <w:rPr>
      <w:rFonts w:ascii="Arial" w:eastAsia="Times New Roman" w:hAnsi="Arial"/>
      <w:b/>
      <w:caps/>
      <w:kern w:val="18"/>
      <w:sz w:val="24"/>
      <w:szCs w:val="20"/>
      <w:lang w:val="es-ES" w:eastAsia="es-ES"/>
    </w:rPr>
  </w:style>
  <w:style w:type="paragraph" w:styleId="Ttulo2">
    <w:name w:val="heading 2"/>
    <w:basedOn w:val="Normal"/>
    <w:next w:val="Normal"/>
    <w:link w:val="Ttulo2Car"/>
    <w:uiPriority w:val="9"/>
    <w:unhideWhenUsed/>
    <w:qFormat/>
    <w:rsid w:val="00812D48"/>
    <w:pPr>
      <w:keepNext/>
      <w:keepLines/>
      <w:spacing w:before="200" w:after="0"/>
      <w:jc w:val="both"/>
      <w:outlineLvl w:val="1"/>
    </w:pPr>
    <w:rPr>
      <w:rFonts w:ascii="Cambria" w:eastAsia="Times New Roman"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878F8"/>
    <w:pPr>
      <w:ind w:left="720"/>
      <w:contextualSpacing/>
    </w:pPr>
  </w:style>
  <w:style w:type="character" w:customStyle="1" w:styleId="Ttulo1Car">
    <w:name w:val="Título 1 Car"/>
    <w:basedOn w:val="Fuentedeprrafopredeter"/>
    <w:link w:val="Ttulo1"/>
    <w:rsid w:val="00812D48"/>
    <w:rPr>
      <w:rFonts w:ascii="Arial" w:eastAsia="Times New Roman" w:hAnsi="Arial" w:cs="Times New Roman"/>
      <w:b/>
      <w:caps/>
      <w:kern w:val="18"/>
      <w:sz w:val="24"/>
      <w:szCs w:val="20"/>
      <w:lang w:val="es-ES" w:eastAsia="es-ES"/>
    </w:rPr>
  </w:style>
  <w:style w:type="paragraph" w:styleId="Textoindependiente">
    <w:name w:val="Body Text"/>
    <w:basedOn w:val="Normal"/>
    <w:link w:val="TextoindependienteCar"/>
    <w:rsid w:val="00812D48"/>
    <w:pPr>
      <w:spacing w:after="240" w:line="360" w:lineRule="auto"/>
      <w:jc w:val="both"/>
    </w:pPr>
    <w:rPr>
      <w:rFonts w:ascii="Arial" w:eastAsia="Times New Roman" w:hAnsi="Arial"/>
      <w:kern w:val="18"/>
      <w:sz w:val="24"/>
      <w:szCs w:val="20"/>
      <w:lang w:val="es-ES_tradnl" w:eastAsia="es-ES"/>
    </w:rPr>
  </w:style>
  <w:style w:type="character" w:customStyle="1" w:styleId="TextoindependienteCar">
    <w:name w:val="Texto independiente Car"/>
    <w:basedOn w:val="Fuentedeprrafopredeter"/>
    <w:link w:val="Textoindependiente"/>
    <w:rsid w:val="00812D48"/>
    <w:rPr>
      <w:rFonts w:ascii="Arial" w:eastAsia="Times New Roman" w:hAnsi="Arial" w:cs="Times New Roman"/>
      <w:kern w:val="18"/>
      <w:sz w:val="24"/>
      <w:szCs w:val="20"/>
      <w:lang w:val="es-ES_tradnl" w:eastAsia="es-ES"/>
    </w:rPr>
  </w:style>
  <w:style w:type="paragraph" w:styleId="Subttulo">
    <w:name w:val="Subtitle"/>
    <w:basedOn w:val="Normal"/>
    <w:link w:val="SubttuloCar"/>
    <w:qFormat/>
    <w:rsid w:val="00812D48"/>
    <w:pPr>
      <w:spacing w:after="0" w:line="360" w:lineRule="auto"/>
      <w:jc w:val="both"/>
    </w:pPr>
    <w:rPr>
      <w:rFonts w:ascii="Bookman Old Style" w:eastAsia="Times New Roman" w:hAnsi="Bookman Old Style"/>
      <w:b/>
      <w:kern w:val="18"/>
      <w:sz w:val="24"/>
      <w:szCs w:val="20"/>
      <w:lang w:val="es-ES" w:eastAsia="es-ES"/>
    </w:rPr>
  </w:style>
  <w:style w:type="character" w:customStyle="1" w:styleId="SubttuloCar">
    <w:name w:val="Subtítulo Car"/>
    <w:basedOn w:val="Fuentedeprrafopredeter"/>
    <w:link w:val="Subttulo"/>
    <w:rsid w:val="00812D48"/>
    <w:rPr>
      <w:rFonts w:ascii="Bookman Old Style" w:eastAsia="Times New Roman" w:hAnsi="Bookman Old Style" w:cs="Times New Roman"/>
      <w:b/>
      <w:kern w:val="18"/>
      <w:sz w:val="24"/>
      <w:szCs w:val="20"/>
      <w:lang w:val="es-ES" w:eastAsia="es-ES"/>
    </w:rPr>
  </w:style>
  <w:style w:type="character" w:customStyle="1" w:styleId="Ttulo2Car">
    <w:name w:val="Título 2 Car"/>
    <w:basedOn w:val="Fuentedeprrafopredeter"/>
    <w:link w:val="Ttulo2"/>
    <w:uiPriority w:val="9"/>
    <w:rsid w:val="00812D48"/>
    <w:rPr>
      <w:rFonts w:ascii="Cambria" w:eastAsia="Times New Roman" w:hAnsi="Cambria" w:cs="Times New Roman"/>
      <w:b/>
      <w:bCs/>
      <w:color w:val="4F81BD"/>
      <w:sz w:val="26"/>
      <w:szCs w:val="26"/>
    </w:rPr>
  </w:style>
  <w:style w:type="paragraph" w:styleId="Textoindependiente2">
    <w:name w:val="Body Text 2"/>
    <w:basedOn w:val="Normal"/>
    <w:link w:val="Textoindependiente2Car"/>
    <w:uiPriority w:val="99"/>
    <w:semiHidden/>
    <w:unhideWhenUsed/>
    <w:rsid w:val="00812D48"/>
    <w:pPr>
      <w:spacing w:after="120" w:line="480" w:lineRule="auto"/>
      <w:jc w:val="both"/>
    </w:pPr>
    <w:rPr>
      <w:rFonts w:ascii="Arial" w:hAnsi="Arial"/>
      <w:sz w:val="24"/>
    </w:rPr>
  </w:style>
  <w:style w:type="character" w:customStyle="1" w:styleId="Textoindependiente2Car">
    <w:name w:val="Texto independiente 2 Car"/>
    <w:basedOn w:val="Fuentedeprrafopredeter"/>
    <w:link w:val="Textoindependiente2"/>
    <w:uiPriority w:val="99"/>
    <w:semiHidden/>
    <w:rsid w:val="00812D48"/>
    <w:rPr>
      <w:rFonts w:ascii="Arial" w:eastAsia="Calibri" w:hAnsi="Arial" w:cs="Times New Roman"/>
      <w:sz w:val="24"/>
    </w:rPr>
  </w:style>
  <w:style w:type="character" w:styleId="Nmerodepgina">
    <w:name w:val="page number"/>
    <w:basedOn w:val="Fuentedeprrafopredeter"/>
    <w:rsid w:val="00812D48"/>
  </w:style>
  <w:style w:type="table" w:styleId="Tablaconcuadrcula">
    <w:name w:val="Table Grid"/>
    <w:basedOn w:val="Tablanormal"/>
    <w:uiPriority w:val="59"/>
    <w:rsid w:val="00812D48"/>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12D4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14</Pages>
  <Words>2740</Words>
  <Characters>15074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Savecky</dc:creator>
  <cp:lastModifiedBy> </cp:lastModifiedBy>
  <cp:revision>9</cp:revision>
  <cp:lastPrinted>2016-01-22T17:07:00Z</cp:lastPrinted>
  <dcterms:created xsi:type="dcterms:W3CDTF">2016-01-22T16:54:00Z</dcterms:created>
  <dcterms:modified xsi:type="dcterms:W3CDTF">2016-02-26T15:38:00Z</dcterms:modified>
</cp:coreProperties>
</file>