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B4A" w:rsidRPr="00876FBB" w:rsidRDefault="00E92B4A" w:rsidP="00E92B4A">
      <w:pPr>
        <w:tabs>
          <w:tab w:val="center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876FBB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E92B4A" w:rsidRPr="00876FBB" w:rsidRDefault="00E92B4A" w:rsidP="00E92B4A">
      <w:pPr>
        <w:tabs>
          <w:tab w:val="left" w:pos="-72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92B4A" w:rsidRPr="00876FBB" w:rsidRDefault="00E92B4A" w:rsidP="00E92B4A">
      <w:pPr>
        <w:tabs>
          <w:tab w:val="center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76FBB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E92B4A" w:rsidRPr="00876FBB" w:rsidRDefault="00E92B4A" w:rsidP="00E92B4A">
      <w:pPr>
        <w:tabs>
          <w:tab w:val="left" w:pos="-72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92B4A" w:rsidRPr="00876FBB" w:rsidRDefault="00E92B4A" w:rsidP="00E92B4A">
      <w:pPr>
        <w:tabs>
          <w:tab w:val="center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76FBB">
        <w:rPr>
          <w:rFonts w:ascii="Arial" w:hAnsi="Arial" w:cs="Arial"/>
          <w:b/>
          <w:sz w:val="24"/>
          <w:szCs w:val="24"/>
          <w:lang w:val="es-ES_tradnl"/>
        </w:rPr>
        <w:t>EN SESION DE FECHA 13 DE ENERO DE 2016</w:t>
      </w:r>
    </w:p>
    <w:p w:rsidR="00E92B4A" w:rsidRPr="00876FBB" w:rsidRDefault="00E92B4A" w:rsidP="00E92B4A">
      <w:pPr>
        <w:tabs>
          <w:tab w:val="center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92B4A" w:rsidRPr="00876FBB" w:rsidRDefault="00E92B4A" w:rsidP="00E92B4A">
      <w:pPr>
        <w:tabs>
          <w:tab w:val="center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876FBB">
        <w:rPr>
          <w:rFonts w:ascii="Arial" w:hAnsi="Arial" w:cs="Arial"/>
          <w:b/>
          <w:sz w:val="24"/>
          <w:szCs w:val="24"/>
          <w:lang w:val="en-US"/>
        </w:rPr>
        <w:t xml:space="preserve">(E. E. Nº 2015-17-1-0003357, </w:t>
      </w:r>
      <w:proofErr w:type="spellStart"/>
      <w:proofErr w:type="gramStart"/>
      <w:r w:rsidRPr="00876FBB">
        <w:rPr>
          <w:rFonts w:ascii="Arial" w:hAnsi="Arial" w:cs="Arial"/>
          <w:b/>
          <w:sz w:val="24"/>
          <w:szCs w:val="24"/>
          <w:lang w:val="en-US"/>
        </w:rPr>
        <w:t>Ent</w:t>
      </w:r>
      <w:proofErr w:type="spellEnd"/>
      <w:proofErr w:type="gramEnd"/>
      <w:r w:rsidRPr="00876FBB">
        <w:rPr>
          <w:rFonts w:ascii="Arial" w:hAnsi="Arial" w:cs="Arial"/>
          <w:b/>
          <w:sz w:val="24"/>
          <w:szCs w:val="24"/>
          <w:lang w:val="en-US"/>
        </w:rPr>
        <w:t>. N° 6297/15)</w:t>
      </w:r>
    </w:p>
    <w:p w:rsidR="00E92B4A" w:rsidRPr="00876FBB" w:rsidRDefault="00E92B4A">
      <w:pPr>
        <w:tabs>
          <w:tab w:val="center" w:pos="4253"/>
        </w:tabs>
        <w:jc w:val="center"/>
        <w:rPr>
          <w:rFonts w:ascii="Arial" w:hAnsi="Arial" w:cs="Arial"/>
          <w:b/>
          <w:lang w:val="en-US"/>
        </w:rPr>
      </w:pPr>
    </w:p>
    <w:p w:rsidR="00E92B4A" w:rsidRPr="00876FBB" w:rsidRDefault="00E92B4A" w:rsidP="00876FBB">
      <w:pPr>
        <w:tabs>
          <w:tab w:val="center" w:pos="4253"/>
        </w:tabs>
        <w:jc w:val="right"/>
        <w:rPr>
          <w:rFonts w:ascii="Arial" w:hAnsi="Arial" w:cs="Arial"/>
          <w:b/>
          <w:lang w:val="en-US"/>
        </w:rPr>
      </w:pPr>
      <w:r w:rsidRPr="00876FBB">
        <w:rPr>
          <w:rFonts w:ascii="Arial" w:hAnsi="Arial" w:cs="Arial"/>
          <w:b/>
          <w:lang w:val="en-US"/>
        </w:rPr>
        <w:t>RES. 173/016</w:t>
      </w:r>
    </w:p>
    <w:p w:rsidR="005F48C6" w:rsidRDefault="00E92B4A" w:rsidP="00E92B4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VISTO:</w:t>
      </w:r>
      <w:r w:rsidR="005F48C6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="005F48C6">
        <w:rPr>
          <w:rFonts w:ascii="Arial" w:hAnsi="Arial" w:cs="Arial"/>
          <w:sz w:val="24"/>
          <w:szCs w:val="24"/>
          <w:lang w:val="es-ES"/>
        </w:rPr>
        <w:t xml:space="preserve">las actuaciones remitidas por el Banco de Seguros del Estado, relacionadas con los contratos de arrendamientos de obra con Ingenieros Agrónomos, para gestión </w:t>
      </w:r>
      <w:r w:rsidR="00876FBB">
        <w:rPr>
          <w:rFonts w:ascii="Arial" w:hAnsi="Arial" w:cs="Arial"/>
          <w:sz w:val="24"/>
          <w:szCs w:val="24"/>
          <w:lang w:val="es-ES"/>
        </w:rPr>
        <w:t>en todo el territorio nacional;</w:t>
      </w:r>
    </w:p>
    <w:p w:rsidR="00E92B4A" w:rsidRDefault="005F48C6" w:rsidP="00E92B4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RESULTANDO</w:t>
      </w:r>
      <w:r>
        <w:rPr>
          <w:b/>
          <w:bCs/>
          <w:lang w:val="es-ES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lang w:val="es-ES"/>
        </w:rPr>
        <w:t>1)</w:t>
      </w:r>
      <w:r w:rsidR="00E92B4A">
        <w:rPr>
          <w:b/>
          <w:bCs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que por </w:t>
      </w:r>
      <w:r w:rsidR="00E92B4A">
        <w:rPr>
          <w:rFonts w:ascii="Arial" w:hAnsi="Arial" w:cs="Arial"/>
          <w:sz w:val="24"/>
          <w:szCs w:val="24"/>
          <w:lang w:val="es-ES"/>
        </w:rPr>
        <w:t xml:space="preserve">Resolución </w:t>
      </w:r>
      <w:r w:rsidR="00E92B4A">
        <w:rPr>
          <w:rFonts w:ascii="Arial" w:hAnsi="Arial" w:cs="Arial"/>
          <w:sz w:val="24"/>
          <w:szCs w:val="24"/>
        </w:rPr>
        <w:t>N°</w:t>
      </w:r>
      <w:r>
        <w:rPr>
          <w:rFonts w:ascii="Arial" w:hAnsi="Arial" w:cs="Arial"/>
          <w:sz w:val="24"/>
          <w:szCs w:val="24"/>
        </w:rPr>
        <w:t xml:space="preserve"> 857/2007 de fecha 26/9/2007, se homologó el orden de prelación constituido, disponiéndose la contratación de 20 i</w:t>
      </w:r>
      <w:r w:rsidR="00E92B4A">
        <w:rPr>
          <w:rFonts w:ascii="Arial" w:hAnsi="Arial" w:cs="Arial"/>
          <w:sz w:val="24"/>
          <w:szCs w:val="24"/>
        </w:rPr>
        <w:t>ngenieros, y este Tribunal en S</w:t>
      </w:r>
      <w:r>
        <w:rPr>
          <w:rFonts w:ascii="Arial" w:hAnsi="Arial" w:cs="Arial"/>
          <w:sz w:val="24"/>
          <w:szCs w:val="24"/>
        </w:rPr>
        <w:t>esión de fecha 27 de diciembre de 2007, acordó cometer al Contador Delegado la intervención del gasto, previo control de la imputación efectuada con cargo a grupo adecuado con disponibilidad suficiente, y la inscripción de los profesionales en el Registro Único de Contribuyentes de la Dirección General Impositiva y en la Caja de Profesionales y Pensiones de Profesionales Universitarios. La lista de prelación de 21 profesionales ten</w:t>
      </w:r>
      <w:r w:rsidR="00E92B4A">
        <w:rPr>
          <w:rFonts w:ascii="Arial" w:hAnsi="Arial" w:cs="Arial"/>
          <w:sz w:val="24"/>
          <w:szCs w:val="24"/>
        </w:rPr>
        <w:t>dría una validez por tres años;</w:t>
      </w:r>
    </w:p>
    <w:p w:rsidR="00E92B4A" w:rsidRDefault="005F48C6" w:rsidP="00E92B4A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E92B4A">
        <w:rPr>
          <w:rFonts w:ascii="Arial" w:hAnsi="Arial" w:cs="Arial"/>
          <w:b/>
          <w:sz w:val="24"/>
          <w:szCs w:val="24"/>
        </w:rPr>
        <w:t>2)</w:t>
      </w:r>
      <w:r w:rsidR="00E92B4A">
        <w:rPr>
          <w:rFonts w:ascii="Arial" w:hAnsi="Arial" w:cs="Arial"/>
          <w:sz w:val="24"/>
          <w:szCs w:val="24"/>
          <w:lang w:val="es-ES"/>
        </w:rPr>
        <w:t xml:space="preserve"> que se da cuenta que, por R</w:t>
      </w:r>
      <w:r>
        <w:rPr>
          <w:rFonts w:ascii="Arial" w:hAnsi="Arial" w:cs="Arial"/>
          <w:sz w:val="24"/>
          <w:szCs w:val="24"/>
          <w:lang w:val="es-ES"/>
        </w:rPr>
        <w:t xml:space="preserve">esolución del 15/5/13, el Directorio dispuso realizar un llamado para la contratación </w:t>
      </w:r>
      <w:r>
        <w:rPr>
          <w:rFonts w:ascii="Arial" w:hAnsi="Arial" w:cs="Arial"/>
          <w:sz w:val="24"/>
          <w:szCs w:val="24"/>
        </w:rPr>
        <w:t>de Ingenieros Agrónomos para la realización de tareas en todo el territorio  nacional. Se señala que  los profesionales que registran el mayor puntaje y en estricto orden de prelación serán convocados para cumplir con las tareas de acuerdo a las necesidades del servicio, mientras que el resto conformara una lista de prelación la cual tendrá una validez de tres años</w:t>
      </w:r>
      <w:r w:rsidR="00E92B4A">
        <w:rPr>
          <w:rFonts w:ascii="Arial" w:hAnsi="Arial" w:cs="Arial"/>
          <w:sz w:val="24"/>
          <w:szCs w:val="24"/>
        </w:rPr>
        <w:t>;</w:t>
      </w:r>
    </w:p>
    <w:p w:rsidR="00E92B4A" w:rsidRDefault="005F48C6" w:rsidP="004A465F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E92B4A">
        <w:rPr>
          <w:rFonts w:ascii="Arial" w:hAnsi="Arial" w:cs="Arial"/>
          <w:b/>
          <w:sz w:val="24"/>
          <w:szCs w:val="24"/>
        </w:rPr>
        <w:lastRenderedPageBreak/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="00E92B4A">
        <w:rPr>
          <w:rFonts w:ascii="Arial" w:hAnsi="Arial" w:cs="Arial"/>
          <w:sz w:val="24"/>
          <w:szCs w:val="24"/>
        </w:rPr>
        <w:t>que el Directorio en S</w:t>
      </w:r>
      <w:r>
        <w:rPr>
          <w:rFonts w:ascii="Arial" w:hAnsi="Arial" w:cs="Arial"/>
          <w:sz w:val="24"/>
          <w:szCs w:val="24"/>
        </w:rPr>
        <w:t xml:space="preserve">esión de fecha 13/5/2015, dispuso  efectuar contratos de arrendamientos de obra con los profesionales </w:t>
      </w:r>
      <w:r w:rsidR="00E92B4A">
        <w:rPr>
          <w:rFonts w:ascii="Arial" w:hAnsi="Arial" w:cs="Arial"/>
          <w:sz w:val="24"/>
          <w:szCs w:val="24"/>
        </w:rPr>
        <w:t>que se detallan;</w:t>
      </w:r>
    </w:p>
    <w:p w:rsidR="00E92B4A" w:rsidRDefault="005F48C6" w:rsidP="004A465F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E92B4A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="00E92B4A">
        <w:rPr>
          <w:rFonts w:ascii="Arial" w:hAnsi="Arial" w:cs="Arial"/>
          <w:sz w:val="24"/>
          <w:szCs w:val="24"/>
          <w:lang w:val="es-ES"/>
        </w:rPr>
        <w:t>que este Tribunal</w:t>
      </w:r>
      <w:r>
        <w:rPr>
          <w:rFonts w:ascii="Arial" w:hAnsi="Arial" w:cs="Arial"/>
          <w:sz w:val="24"/>
          <w:szCs w:val="24"/>
          <w:lang w:val="es-ES"/>
        </w:rPr>
        <w:t>,</w:t>
      </w:r>
      <w:r w:rsidR="00E92B4A">
        <w:rPr>
          <w:rFonts w:ascii="Arial" w:hAnsi="Arial" w:cs="Arial"/>
          <w:sz w:val="24"/>
          <w:szCs w:val="24"/>
          <w:lang w:val="es-ES"/>
        </w:rPr>
        <w:t xml:space="preserve"> por Oficio N°</w:t>
      </w:r>
      <w:r>
        <w:rPr>
          <w:rFonts w:ascii="Arial" w:hAnsi="Arial" w:cs="Arial"/>
          <w:sz w:val="24"/>
          <w:szCs w:val="24"/>
          <w:lang w:val="es-ES"/>
        </w:rPr>
        <w:t xml:space="preserve"> 4803 de fecha 13 de junio de 2015, acordó  para mejor proveer, que volvieran las actuaciones </w:t>
      </w:r>
      <w:r>
        <w:rPr>
          <w:rFonts w:ascii="Arial" w:hAnsi="Arial" w:cs="Arial"/>
          <w:sz w:val="24"/>
          <w:szCs w:val="24"/>
        </w:rPr>
        <w:t xml:space="preserve">a los efectos de que se remitiera: </w:t>
      </w:r>
      <w:r w:rsidRPr="00E92B4A">
        <w:rPr>
          <w:rFonts w:ascii="Arial" w:hAnsi="Arial" w:cs="Arial"/>
          <w:b/>
          <w:sz w:val="24"/>
          <w:szCs w:val="24"/>
        </w:rPr>
        <w:t>A)</w:t>
      </w:r>
      <w:r w:rsidR="00E92B4A">
        <w:rPr>
          <w:rFonts w:ascii="Arial" w:hAnsi="Arial" w:cs="Arial"/>
          <w:sz w:val="24"/>
          <w:szCs w:val="24"/>
        </w:rPr>
        <w:t xml:space="preserve"> copia de las R</w:t>
      </w:r>
      <w:r>
        <w:rPr>
          <w:rFonts w:ascii="Arial" w:hAnsi="Arial" w:cs="Arial"/>
          <w:sz w:val="24"/>
          <w:szCs w:val="24"/>
        </w:rPr>
        <w:t xml:space="preserve">esoluciones Nos. 420/2011 de fecha 13/7/2011 y 245/2013 de fecha 15/5/2013; </w:t>
      </w:r>
      <w:r w:rsidRPr="00E92B4A">
        <w:rPr>
          <w:rFonts w:ascii="Arial" w:hAnsi="Arial" w:cs="Arial"/>
          <w:b/>
          <w:sz w:val="24"/>
          <w:szCs w:val="24"/>
        </w:rPr>
        <w:t xml:space="preserve">B) </w:t>
      </w:r>
      <w:r>
        <w:rPr>
          <w:rFonts w:ascii="Arial" w:hAnsi="Arial" w:cs="Arial"/>
          <w:sz w:val="24"/>
          <w:szCs w:val="24"/>
        </w:rPr>
        <w:t xml:space="preserve">detalle de la totalidad de las contrataciones ,efectuadas al amparo del llamado realizado cuyo gasto fuera  intervenido por este Tribunal el 27 de diciembre de 2007; y </w:t>
      </w:r>
      <w:r w:rsidRPr="00E92B4A">
        <w:rPr>
          <w:rFonts w:ascii="Arial" w:hAnsi="Arial" w:cs="Arial"/>
          <w:b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 xml:space="preserve"> detalle de  las contrataciones efectuadas desde diciembre de 2007 hasta la fecha, acompañadas por las intervenciones de este Tribunal, de cada una de ellas;</w:t>
      </w:r>
    </w:p>
    <w:p w:rsidR="005F48C6" w:rsidRDefault="005F48C6" w:rsidP="00E92B4A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 w:rsidRPr="00E92B4A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  <w:lang w:val="es-ES"/>
        </w:rPr>
        <w:t>que en la actualidad, se remiten nuevamente</w:t>
      </w:r>
      <w:r w:rsidR="00876FBB">
        <w:rPr>
          <w:rFonts w:ascii="Arial" w:hAnsi="Arial" w:cs="Arial"/>
          <w:sz w:val="24"/>
          <w:szCs w:val="24"/>
          <w:lang w:val="es-ES"/>
        </w:rPr>
        <w:t xml:space="preserve"> las actuaciones, donde consta:</w:t>
      </w:r>
    </w:p>
    <w:p w:rsidR="005F48C6" w:rsidRDefault="005F48C6" w:rsidP="00E92B4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92B4A">
        <w:rPr>
          <w:rFonts w:ascii="Arial" w:hAnsi="Arial" w:cs="Arial"/>
          <w:b/>
          <w:sz w:val="24"/>
          <w:szCs w:val="24"/>
          <w:lang w:val="es-ES"/>
        </w:rPr>
        <w:t>A)</w:t>
      </w:r>
      <w:r>
        <w:rPr>
          <w:rFonts w:ascii="Arial" w:hAnsi="Arial" w:cs="Arial"/>
          <w:sz w:val="24"/>
          <w:szCs w:val="24"/>
          <w:lang w:val="es-ES"/>
        </w:rPr>
        <w:t xml:space="preserve"> copia de la R</w:t>
      </w:r>
      <w:r w:rsidR="00E92B4A">
        <w:rPr>
          <w:rFonts w:ascii="Arial" w:hAnsi="Arial" w:cs="Arial"/>
          <w:sz w:val="24"/>
          <w:szCs w:val="24"/>
          <w:lang w:val="es-ES"/>
        </w:rPr>
        <w:t>esolución del Directorio N°</w:t>
      </w:r>
      <w:r>
        <w:rPr>
          <w:rFonts w:ascii="Arial" w:hAnsi="Arial" w:cs="Arial"/>
          <w:sz w:val="24"/>
          <w:szCs w:val="24"/>
          <w:lang w:val="es-ES"/>
        </w:rPr>
        <w:t xml:space="preserve"> 857/2007 por la que se dispuso la contratación de Ingenieros Agrónomos, disponiendo que el llamado tenía una “validez” de tres años</w:t>
      </w:r>
      <w:r w:rsidR="00E92B4A">
        <w:rPr>
          <w:rFonts w:ascii="Arial" w:hAnsi="Arial" w:cs="Arial"/>
          <w:sz w:val="24"/>
          <w:szCs w:val="24"/>
          <w:lang w:val="es-ES"/>
        </w:rPr>
        <w:t>;</w:t>
      </w:r>
    </w:p>
    <w:p w:rsidR="005F48C6" w:rsidRDefault="005F48C6" w:rsidP="00E92B4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92B4A">
        <w:rPr>
          <w:rFonts w:ascii="Arial" w:hAnsi="Arial" w:cs="Arial"/>
          <w:b/>
          <w:sz w:val="24"/>
          <w:szCs w:val="24"/>
          <w:lang w:val="es-ES"/>
        </w:rPr>
        <w:t>B)</w:t>
      </w:r>
      <w:r>
        <w:rPr>
          <w:rFonts w:ascii="Arial" w:hAnsi="Arial" w:cs="Arial"/>
          <w:sz w:val="24"/>
          <w:szCs w:val="24"/>
          <w:lang w:val="es-ES"/>
        </w:rPr>
        <w:t xml:space="preserve"> copia de </w:t>
      </w:r>
      <w:r w:rsidR="00E92B4A">
        <w:rPr>
          <w:rFonts w:ascii="Arial" w:hAnsi="Arial" w:cs="Arial"/>
          <w:sz w:val="24"/>
          <w:szCs w:val="24"/>
          <w:lang w:val="es-ES"/>
        </w:rPr>
        <w:t>la Resolución del Directorio N°</w:t>
      </w:r>
      <w:r>
        <w:rPr>
          <w:rFonts w:ascii="Arial" w:hAnsi="Arial" w:cs="Arial"/>
          <w:sz w:val="24"/>
          <w:szCs w:val="24"/>
          <w:lang w:val="es-ES"/>
        </w:rPr>
        <w:t xml:space="preserve"> 420/2011 de fecha 13/7/2011, mediante la cual se autoriza el llamado a aspirantes para</w:t>
      </w:r>
      <w:r w:rsidR="00E92B4A">
        <w:rPr>
          <w:rFonts w:ascii="Arial" w:hAnsi="Arial" w:cs="Arial"/>
          <w:sz w:val="24"/>
          <w:szCs w:val="24"/>
          <w:lang w:val="es-ES"/>
        </w:rPr>
        <w:t xml:space="preserve"> la contratación de Ingenieros A</w:t>
      </w:r>
      <w:r w:rsidR="00695177">
        <w:rPr>
          <w:rFonts w:ascii="Arial" w:hAnsi="Arial" w:cs="Arial"/>
          <w:sz w:val="24"/>
          <w:szCs w:val="24"/>
          <w:lang w:val="es-ES"/>
        </w:rPr>
        <w:t>grónomos, y designa el T</w:t>
      </w:r>
      <w:r>
        <w:rPr>
          <w:rFonts w:ascii="Arial" w:hAnsi="Arial" w:cs="Arial"/>
          <w:sz w:val="24"/>
          <w:szCs w:val="24"/>
          <w:lang w:val="es-ES"/>
        </w:rPr>
        <w:t xml:space="preserve">ribunal respectivo; a su vez, se dispuso la prórroga de los contratos con los Ingenieros agrónomos que se detallan, hasta que se </w:t>
      </w:r>
      <w:r w:rsidR="00E92B4A">
        <w:rPr>
          <w:rFonts w:ascii="Arial" w:hAnsi="Arial" w:cs="Arial"/>
          <w:sz w:val="24"/>
          <w:szCs w:val="24"/>
          <w:lang w:val="es-ES"/>
        </w:rPr>
        <w:t>homologue el concurso dispuesto;</w:t>
      </w:r>
    </w:p>
    <w:p w:rsidR="005F48C6" w:rsidRDefault="005F48C6" w:rsidP="00E92B4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92B4A">
        <w:rPr>
          <w:rFonts w:ascii="Arial" w:hAnsi="Arial" w:cs="Arial"/>
          <w:b/>
          <w:sz w:val="24"/>
          <w:szCs w:val="24"/>
          <w:lang w:val="es-ES"/>
        </w:rPr>
        <w:t>C)</w:t>
      </w:r>
      <w:r>
        <w:rPr>
          <w:rFonts w:ascii="Arial" w:hAnsi="Arial" w:cs="Arial"/>
          <w:sz w:val="24"/>
          <w:szCs w:val="24"/>
          <w:lang w:val="es-ES"/>
        </w:rPr>
        <w:t xml:space="preserve"> copia de </w:t>
      </w:r>
      <w:r w:rsidR="00E92B4A">
        <w:rPr>
          <w:rFonts w:ascii="Arial" w:hAnsi="Arial" w:cs="Arial"/>
          <w:sz w:val="24"/>
          <w:szCs w:val="24"/>
          <w:lang w:val="es-ES"/>
        </w:rPr>
        <w:t>la Resolución del Directorio N°</w:t>
      </w:r>
      <w:r>
        <w:rPr>
          <w:rFonts w:ascii="Arial" w:hAnsi="Arial" w:cs="Arial"/>
          <w:sz w:val="24"/>
          <w:szCs w:val="24"/>
          <w:lang w:val="es-ES"/>
        </w:rPr>
        <w:t xml:space="preserve"> 245/2013 de fecha 15/5/2013, por la cual se aprueban las bases que regirán el llamado, para la contra</w:t>
      </w:r>
      <w:r w:rsidR="00E92B4A">
        <w:rPr>
          <w:rFonts w:ascii="Arial" w:hAnsi="Arial" w:cs="Arial"/>
          <w:sz w:val="24"/>
          <w:szCs w:val="24"/>
          <w:lang w:val="es-ES"/>
        </w:rPr>
        <w:t>tación de Ingenieros Agrónomos;</w:t>
      </w:r>
    </w:p>
    <w:p w:rsidR="005F48C6" w:rsidRDefault="005F48C6" w:rsidP="00E92B4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92B4A">
        <w:rPr>
          <w:rFonts w:ascii="Arial" w:hAnsi="Arial" w:cs="Arial"/>
          <w:b/>
          <w:sz w:val="24"/>
          <w:szCs w:val="24"/>
          <w:lang w:val="es-ES"/>
        </w:rPr>
        <w:t>D)</w:t>
      </w:r>
      <w:r w:rsidR="00E92B4A">
        <w:rPr>
          <w:rFonts w:ascii="Arial" w:hAnsi="Arial" w:cs="Arial"/>
          <w:sz w:val="24"/>
          <w:szCs w:val="24"/>
          <w:lang w:val="es-ES"/>
        </w:rPr>
        <w:t xml:space="preserve"> Oficio N°</w:t>
      </w:r>
      <w:r>
        <w:rPr>
          <w:rFonts w:ascii="Arial" w:hAnsi="Arial" w:cs="Arial"/>
          <w:sz w:val="24"/>
          <w:szCs w:val="24"/>
          <w:lang w:val="es-ES"/>
        </w:rPr>
        <w:t xml:space="preserve"> 134/2015, por el que se comunica a este T</w:t>
      </w:r>
      <w:r w:rsidR="00E92B4A">
        <w:rPr>
          <w:rFonts w:ascii="Arial" w:hAnsi="Arial" w:cs="Arial"/>
          <w:sz w:val="24"/>
          <w:szCs w:val="24"/>
          <w:lang w:val="es-ES"/>
        </w:rPr>
        <w:t>ribunal, que el Directorio por Resolución N°</w:t>
      </w:r>
      <w:r>
        <w:rPr>
          <w:rFonts w:ascii="Arial" w:hAnsi="Arial" w:cs="Arial"/>
          <w:sz w:val="24"/>
          <w:szCs w:val="24"/>
          <w:lang w:val="es-ES"/>
        </w:rPr>
        <w:t xml:space="preserve"> 873/2015 del 4/11/15, autorizó la contratación en régimen de arrendamiento de obra, de los s</w:t>
      </w:r>
      <w:r w:rsidR="00876FBB">
        <w:rPr>
          <w:rFonts w:ascii="Arial" w:hAnsi="Arial" w:cs="Arial"/>
          <w:sz w:val="24"/>
          <w:szCs w:val="24"/>
          <w:lang w:val="es-ES"/>
        </w:rPr>
        <w:t>iguientes Ingenieros Agrónomos:</w:t>
      </w:r>
    </w:p>
    <w:p w:rsidR="005F48C6" w:rsidRDefault="005F48C6" w:rsidP="00E92B4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>
        <w:rPr>
          <w:rFonts w:ascii="Arial" w:hAnsi="Arial" w:cs="Arial"/>
          <w:sz w:val="24"/>
          <w:szCs w:val="24"/>
          <w:lang w:val="es-ES"/>
        </w:rPr>
        <w:t>Felix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Fuster, Graciela Cal</w:t>
      </w:r>
      <w:r w:rsidR="00E92B4A">
        <w:rPr>
          <w:rFonts w:ascii="Arial" w:hAnsi="Arial" w:cs="Arial"/>
          <w:sz w:val="24"/>
          <w:szCs w:val="24"/>
          <w:lang w:val="es-ES"/>
        </w:rPr>
        <w:t xml:space="preserve">ero, </w:t>
      </w:r>
      <w:proofErr w:type="spellStart"/>
      <w:r w:rsidR="00E92B4A">
        <w:rPr>
          <w:rFonts w:ascii="Arial" w:hAnsi="Arial" w:cs="Arial"/>
          <w:sz w:val="24"/>
          <w:szCs w:val="24"/>
          <w:lang w:val="es-ES"/>
        </w:rPr>
        <w:t>Fulvio</w:t>
      </w:r>
      <w:proofErr w:type="spellEnd"/>
      <w:r w:rsidR="00E92B4A">
        <w:rPr>
          <w:rFonts w:ascii="Arial" w:hAnsi="Arial" w:cs="Arial"/>
          <w:sz w:val="24"/>
          <w:szCs w:val="24"/>
          <w:lang w:val="es-ES"/>
        </w:rPr>
        <w:t xml:space="preserve"> Cabrera, Guillermo M</w:t>
      </w:r>
      <w:r>
        <w:rPr>
          <w:rFonts w:ascii="Arial" w:hAnsi="Arial" w:cs="Arial"/>
          <w:sz w:val="24"/>
          <w:szCs w:val="24"/>
          <w:lang w:val="es-ES"/>
        </w:rPr>
        <w:t>oras, María La</w:t>
      </w:r>
      <w:r w:rsidR="00E92B4A">
        <w:rPr>
          <w:rFonts w:ascii="Arial" w:hAnsi="Arial" w:cs="Arial"/>
          <w:sz w:val="24"/>
          <w:szCs w:val="24"/>
          <w:lang w:val="es-ES"/>
        </w:rPr>
        <w:t xml:space="preserve">ura Sosa, Fernando </w:t>
      </w:r>
      <w:proofErr w:type="spellStart"/>
      <w:r w:rsidR="00E92B4A">
        <w:rPr>
          <w:rFonts w:ascii="Arial" w:hAnsi="Arial" w:cs="Arial"/>
          <w:sz w:val="24"/>
          <w:szCs w:val="24"/>
          <w:lang w:val="es-ES"/>
        </w:rPr>
        <w:t>Delpiano</w:t>
      </w:r>
      <w:proofErr w:type="spellEnd"/>
      <w:r w:rsidR="00E92B4A">
        <w:rPr>
          <w:rFonts w:ascii="Arial" w:hAnsi="Arial" w:cs="Arial"/>
          <w:sz w:val="24"/>
          <w:szCs w:val="24"/>
          <w:lang w:val="es-ES"/>
        </w:rPr>
        <w:t>, Jua</w:t>
      </w:r>
      <w:r>
        <w:rPr>
          <w:rFonts w:ascii="Arial" w:hAnsi="Arial" w:cs="Arial"/>
          <w:sz w:val="24"/>
          <w:szCs w:val="24"/>
          <w:lang w:val="es-ES"/>
        </w:rPr>
        <w:t xml:space="preserve">n Carlos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Risso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Vivián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Severino, María Grasso, Sebastián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Elola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Amabel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De Souza, Arturo Rebollo, José Terra, Marcela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Bascans</w:t>
      </w:r>
      <w:proofErr w:type="spellEnd"/>
      <w:r>
        <w:rPr>
          <w:rFonts w:ascii="Arial" w:hAnsi="Arial" w:cs="Arial"/>
          <w:sz w:val="24"/>
          <w:szCs w:val="24"/>
          <w:lang w:val="es-ES"/>
        </w:rPr>
        <w:t>, Pablo A</w:t>
      </w:r>
      <w:r w:rsidR="00E92B4A">
        <w:rPr>
          <w:rFonts w:ascii="Arial" w:hAnsi="Arial" w:cs="Arial"/>
          <w:sz w:val="24"/>
          <w:szCs w:val="24"/>
          <w:lang w:val="es-ES"/>
        </w:rPr>
        <w:t>guerre, Juan Córdoba, Lautaro Pé</w:t>
      </w:r>
      <w:r>
        <w:rPr>
          <w:rFonts w:ascii="Arial" w:hAnsi="Arial" w:cs="Arial"/>
          <w:sz w:val="24"/>
          <w:szCs w:val="24"/>
          <w:lang w:val="es-ES"/>
        </w:rPr>
        <w:t xml:space="preserve">rez, Gustavo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Guillamon</w:t>
      </w:r>
      <w:proofErr w:type="spellEnd"/>
      <w:r>
        <w:rPr>
          <w:rFonts w:ascii="Arial" w:hAnsi="Arial" w:cs="Arial"/>
          <w:sz w:val="24"/>
          <w:szCs w:val="24"/>
          <w:lang w:val="es-ES"/>
        </w:rPr>
        <w:t>, Juan Pablo Lorente, Eduardo Juan,</w:t>
      </w:r>
      <w:r w:rsidR="00876FBB">
        <w:rPr>
          <w:rFonts w:ascii="Arial" w:hAnsi="Arial" w:cs="Arial"/>
          <w:sz w:val="24"/>
          <w:szCs w:val="24"/>
          <w:lang w:val="es-ES"/>
        </w:rPr>
        <w:t xml:space="preserve"> Eduardo </w:t>
      </w:r>
      <w:proofErr w:type="spellStart"/>
      <w:r w:rsidR="00876FBB">
        <w:rPr>
          <w:rFonts w:ascii="Arial" w:hAnsi="Arial" w:cs="Arial"/>
          <w:sz w:val="24"/>
          <w:szCs w:val="24"/>
          <w:lang w:val="es-ES"/>
        </w:rPr>
        <w:t>Caubet</w:t>
      </w:r>
      <w:proofErr w:type="spellEnd"/>
      <w:r w:rsidR="00876FBB">
        <w:rPr>
          <w:rFonts w:ascii="Arial" w:hAnsi="Arial" w:cs="Arial"/>
          <w:sz w:val="24"/>
          <w:szCs w:val="24"/>
          <w:lang w:val="es-ES"/>
        </w:rPr>
        <w:t xml:space="preserve">, Joaquín </w:t>
      </w:r>
      <w:proofErr w:type="spellStart"/>
      <w:r w:rsidR="00876FBB">
        <w:rPr>
          <w:rFonts w:ascii="Arial" w:hAnsi="Arial" w:cs="Arial"/>
          <w:sz w:val="24"/>
          <w:szCs w:val="24"/>
          <w:lang w:val="es-ES"/>
        </w:rPr>
        <w:t>Estol</w:t>
      </w:r>
      <w:proofErr w:type="spellEnd"/>
      <w:r w:rsidR="00876FBB">
        <w:rPr>
          <w:rFonts w:ascii="Arial" w:hAnsi="Arial" w:cs="Arial"/>
          <w:sz w:val="24"/>
          <w:szCs w:val="24"/>
          <w:lang w:val="es-ES"/>
        </w:rPr>
        <w:t>;</w:t>
      </w:r>
    </w:p>
    <w:p w:rsidR="005F48C6" w:rsidRDefault="00E92B4A" w:rsidP="00E92B4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 R</w:t>
      </w:r>
      <w:r w:rsidR="005F48C6">
        <w:rPr>
          <w:rFonts w:ascii="Arial" w:hAnsi="Arial" w:cs="Arial"/>
          <w:sz w:val="24"/>
          <w:szCs w:val="24"/>
          <w:lang w:val="es-ES"/>
        </w:rPr>
        <w:t xml:space="preserve">esolución dispone además, que los profesionales Adriana </w:t>
      </w:r>
      <w:proofErr w:type="spellStart"/>
      <w:r w:rsidR="005F48C6">
        <w:rPr>
          <w:rFonts w:ascii="Arial" w:hAnsi="Arial" w:cs="Arial"/>
          <w:sz w:val="24"/>
          <w:szCs w:val="24"/>
          <w:lang w:val="es-ES"/>
        </w:rPr>
        <w:t>Vieta</w:t>
      </w:r>
      <w:proofErr w:type="spellEnd"/>
      <w:r w:rsidR="005F48C6">
        <w:rPr>
          <w:rFonts w:ascii="Arial" w:hAnsi="Arial" w:cs="Arial"/>
          <w:sz w:val="24"/>
          <w:szCs w:val="24"/>
          <w:lang w:val="es-ES"/>
        </w:rPr>
        <w:t xml:space="preserve">, Beatriz </w:t>
      </w:r>
      <w:proofErr w:type="spellStart"/>
      <w:r w:rsidR="005F48C6">
        <w:rPr>
          <w:rFonts w:ascii="Arial" w:hAnsi="Arial" w:cs="Arial"/>
          <w:sz w:val="24"/>
          <w:szCs w:val="24"/>
          <w:lang w:val="es-ES"/>
        </w:rPr>
        <w:t>Nev</w:t>
      </w:r>
      <w:r>
        <w:rPr>
          <w:rFonts w:ascii="Arial" w:hAnsi="Arial" w:cs="Arial"/>
          <w:sz w:val="24"/>
          <w:szCs w:val="24"/>
          <w:lang w:val="es-ES"/>
        </w:rPr>
        <w:t>es</w:t>
      </w:r>
      <w:proofErr w:type="spellEnd"/>
      <w:r>
        <w:rPr>
          <w:rFonts w:ascii="Arial" w:hAnsi="Arial" w:cs="Arial"/>
          <w:sz w:val="24"/>
          <w:szCs w:val="24"/>
          <w:lang w:val="es-ES"/>
        </w:rPr>
        <w:t>, Alejandro L</w:t>
      </w:r>
      <w:r w:rsidR="005F48C6">
        <w:rPr>
          <w:rFonts w:ascii="Arial" w:hAnsi="Arial" w:cs="Arial"/>
          <w:sz w:val="24"/>
          <w:szCs w:val="24"/>
          <w:lang w:val="es-ES"/>
        </w:rPr>
        <w:t>esa, Andrea Regalado, Alicia Gallo, y María San Román, deberán acreditar la desvinculación de</w:t>
      </w:r>
      <w:r w:rsidR="00876FBB">
        <w:rPr>
          <w:rFonts w:ascii="Arial" w:hAnsi="Arial" w:cs="Arial"/>
          <w:sz w:val="24"/>
          <w:szCs w:val="24"/>
          <w:lang w:val="es-ES"/>
        </w:rPr>
        <w:t>l otro cargo público declarado.</w:t>
      </w:r>
    </w:p>
    <w:p w:rsidR="005F48C6" w:rsidRDefault="005F48C6" w:rsidP="00E92B4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Se comunica además, que se han obtenido los pronunciamientos favorables de la Oficina Nacional del Servicio Civil de fecha 12/1/2015 y de la Oficina de Planeamiento y </w:t>
      </w:r>
      <w:r w:rsidR="00876FBB">
        <w:rPr>
          <w:rFonts w:ascii="Arial" w:hAnsi="Arial" w:cs="Arial"/>
          <w:sz w:val="24"/>
          <w:szCs w:val="24"/>
          <w:lang w:val="es-ES"/>
        </w:rPr>
        <w:t>Presupuesto de fecha 24/3/2015.</w:t>
      </w:r>
    </w:p>
    <w:p w:rsidR="005F48C6" w:rsidRDefault="005F48C6" w:rsidP="00E92B4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Se deja constancia además, que: </w:t>
      </w:r>
      <w:r w:rsidRPr="00050648">
        <w:rPr>
          <w:rFonts w:ascii="Arial" w:hAnsi="Arial" w:cs="Arial"/>
          <w:b/>
          <w:sz w:val="24"/>
          <w:szCs w:val="24"/>
          <w:lang w:val="es-ES"/>
        </w:rPr>
        <w:t>a)</w:t>
      </w:r>
      <w:r w:rsidR="00050648">
        <w:rPr>
          <w:rFonts w:ascii="Arial" w:hAnsi="Arial" w:cs="Arial"/>
          <w:sz w:val="24"/>
          <w:szCs w:val="24"/>
          <w:lang w:val="es-ES"/>
        </w:rPr>
        <w:t xml:space="preserve">  las prórrogas dispuestas por Resolución N° </w:t>
      </w:r>
      <w:r>
        <w:rPr>
          <w:rFonts w:ascii="Arial" w:hAnsi="Arial" w:cs="Arial"/>
          <w:sz w:val="24"/>
          <w:szCs w:val="24"/>
          <w:lang w:val="es-ES"/>
        </w:rPr>
        <w:t xml:space="preserve">420/2011 </w:t>
      </w:r>
      <w:r w:rsidR="00050648">
        <w:rPr>
          <w:rFonts w:ascii="Arial" w:hAnsi="Arial" w:cs="Arial"/>
          <w:sz w:val="24"/>
          <w:szCs w:val="24"/>
          <w:lang w:val="es-ES"/>
        </w:rPr>
        <w:t>del 13/7/2011, por un error en</w:t>
      </w:r>
      <w:r>
        <w:rPr>
          <w:rFonts w:ascii="Arial" w:hAnsi="Arial" w:cs="Arial"/>
          <w:sz w:val="24"/>
          <w:szCs w:val="24"/>
          <w:lang w:val="es-ES"/>
        </w:rPr>
        <w:t xml:space="preserve"> tramitación, se omitió su envío a este Tribunal; </w:t>
      </w:r>
      <w:r w:rsidRPr="00050648">
        <w:rPr>
          <w:rFonts w:ascii="Arial" w:hAnsi="Arial" w:cs="Arial"/>
          <w:b/>
          <w:sz w:val="24"/>
          <w:szCs w:val="24"/>
          <w:lang w:val="es-ES"/>
        </w:rPr>
        <w:t>b)</w:t>
      </w:r>
      <w:r>
        <w:rPr>
          <w:rFonts w:ascii="Arial" w:hAnsi="Arial" w:cs="Arial"/>
          <w:sz w:val="24"/>
          <w:szCs w:val="24"/>
          <w:lang w:val="es-ES"/>
        </w:rPr>
        <w:t xml:space="preserve">  el Ingeniero Terra, no tiene contrato vigente pero se le han abonado honorarios; y </w:t>
      </w:r>
      <w:r w:rsidRPr="00050648">
        <w:rPr>
          <w:rFonts w:ascii="Arial" w:hAnsi="Arial" w:cs="Arial"/>
          <w:b/>
          <w:sz w:val="24"/>
          <w:szCs w:val="24"/>
          <w:lang w:val="es-ES"/>
        </w:rPr>
        <w:t>c)</w:t>
      </w:r>
      <w:r>
        <w:rPr>
          <w:rFonts w:ascii="Arial" w:hAnsi="Arial" w:cs="Arial"/>
          <w:sz w:val="24"/>
          <w:szCs w:val="24"/>
          <w:lang w:val="es-ES"/>
        </w:rPr>
        <w:t xml:space="preserve"> las únicas contrataciones efectuadas desde el 2007, a la fecha son las prórrogas </w:t>
      </w:r>
      <w:r w:rsidR="00050648">
        <w:rPr>
          <w:rFonts w:ascii="Arial" w:hAnsi="Arial" w:cs="Arial"/>
          <w:sz w:val="24"/>
          <w:szCs w:val="24"/>
          <w:lang w:val="es-ES"/>
        </w:rPr>
        <w:t xml:space="preserve">dispuestas por la Resolución N° </w:t>
      </w:r>
      <w:r w:rsidR="00876FBB">
        <w:rPr>
          <w:rFonts w:ascii="Arial" w:hAnsi="Arial" w:cs="Arial"/>
          <w:sz w:val="24"/>
          <w:szCs w:val="24"/>
          <w:lang w:val="es-ES"/>
        </w:rPr>
        <w:t>420/2011.</w:t>
      </w:r>
    </w:p>
    <w:p w:rsidR="005F48C6" w:rsidRDefault="005F48C6" w:rsidP="00E92B4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Por último, se señala que el Banco no se encuentra en condiciones materiales de ejecutar con sus funcionarios, el objeto del arriendo;</w:t>
      </w:r>
    </w:p>
    <w:p w:rsidR="005F48C6" w:rsidRDefault="00050648" w:rsidP="00876FBB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6</w:t>
      </w:r>
      <w:r w:rsidR="005F48C6">
        <w:rPr>
          <w:rFonts w:ascii="Arial" w:hAnsi="Arial" w:cs="Arial"/>
          <w:b/>
          <w:bCs/>
          <w:sz w:val="24"/>
          <w:szCs w:val="24"/>
          <w:lang w:val="es-ES"/>
        </w:rPr>
        <w:t>)</w:t>
      </w:r>
      <w:r>
        <w:rPr>
          <w:rFonts w:ascii="Arial" w:hAnsi="Arial" w:cs="Arial"/>
          <w:sz w:val="24"/>
          <w:szCs w:val="24"/>
          <w:lang w:val="es-ES"/>
        </w:rPr>
        <w:t xml:space="preserve"> que por Resolución del Directorio N°</w:t>
      </w:r>
      <w:r w:rsidR="005F48C6">
        <w:rPr>
          <w:rFonts w:ascii="Arial" w:hAnsi="Arial" w:cs="Arial"/>
          <w:sz w:val="24"/>
          <w:szCs w:val="24"/>
          <w:lang w:val="es-ES"/>
        </w:rPr>
        <w:t xml:space="preserve"> 873/2015, se dispuso  las contrataciones, en la forma propuesta, pero sin establece</w:t>
      </w:r>
      <w:r w:rsidR="00876FBB">
        <w:rPr>
          <w:rFonts w:ascii="Arial" w:hAnsi="Arial" w:cs="Arial"/>
          <w:sz w:val="24"/>
          <w:szCs w:val="24"/>
          <w:lang w:val="es-ES"/>
        </w:rPr>
        <w:t>r  el plazo de la contratación;</w:t>
      </w:r>
    </w:p>
    <w:p w:rsidR="005F48C6" w:rsidRDefault="005F48C6" w:rsidP="00050648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CONSIDERANDO:</w:t>
      </w:r>
      <w:r w:rsidR="00876FBB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s-ES"/>
        </w:rPr>
        <w:t xml:space="preserve">1) </w:t>
      </w:r>
      <w:r>
        <w:rPr>
          <w:rFonts w:ascii="Arial" w:hAnsi="Arial" w:cs="Arial"/>
          <w:sz w:val="24"/>
          <w:szCs w:val="24"/>
          <w:lang w:val="es-ES"/>
        </w:rPr>
        <w:t>que las contrataciones ori</w:t>
      </w:r>
      <w:r w:rsidR="00050648">
        <w:rPr>
          <w:rFonts w:ascii="Arial" w:hAnsi="Arial" w:cs="Arial"/>
          <w:sz w:val="24"/>
          <w:szCs w:val="24"/>
          <w:lang w:val="es-ES"/>
        </w:rPr>
        <w:t>ginales fueron prorrogadas por Resolución del Directorio N°</w:t>
      </w:r>
      <w:r>
        <w:rPr>
          <w:rFonts w:ascii="Arial" w:hAnsi="Arial" w:cs="Arial"/>
          <w:sz w:val="24"/>
          <w:szCs w:val="24"/>
          <w:lang w:val="es-ES"/>
        </w:rPr>
        <w:t xml:space="preserve"> 420/2011 de fecha 13/7/2011, sin contar con  la intervención que le compete a este Tribunal, en contrave</w:t>
      </w:r>
      <w:r w:rsidR="00050648">
        <w:rPr>
          <w:rFonts w:ascii="Arial" w:hAnsi="Arial" w:cs="Arial"/>
          <w:sz w:val="24"/>
          <w:szCs w:val="24"/>
          <w:lang w:val="es-ES"/>
        </w:rPr>
        <w:t>nción  a lo establecido por el Artículo 211 L</w:t>
      </w:r>
      <w:r>
        <w:rPr>
          <w:rFonts w:ascii="Arial" w:hAnsi="Arial" w:cs="Arial"/>
          <w:sz w:val="24"/>
          <w:szCs w:val="24"/>
          <w:lang w:val="es-ES"/>
        </w:rPr>
        <w:t xml:space="preserve">iteral B) de la Constitución de la República; </w:t>
      </w:r>
    </w:p>
    <w:p w:rsidR="00050648" w:rsidRDefault="005F48C6" w:rsidP="00050648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2) </w:t>
      </w:r>
      <w:r>
        <w:rPr>
          <w:rFonts w:ascii="Arial" w:hAnsi="Arial" w:cs="Arial"/>
          <w:sz w:val="24"/>
          <w:szCs w:val="24"/>
          <w:lang w:val="es-ES"/>
        </w:rPr>
        <w:t xml:space="preserve">que asimismo, las contrataciones remitidas en </w:t>
      </w:r>
      <w:r w:rsidR="00050648">
        <w:rPr>
          <w:rFonts w:ascii="Arial" w:hAnsi="Arial" w:cs="Arial"/>
          <w:sz w:val="24"/>
          <w:szCs w:val="24"/>
          <w:lang w:val="es-ES"/>
        </w:rPr>
        <w:t>la actualidad, dispuestas  por Resolución del Directorio N°</w:t>
      </w:r>
      <w:r>
        <w:rPr>
          <w:rFonts w:ascii="Arial" w:hAnsi="Arial" w:cs="Arial"/>
          <w:sz w:val="24"/>
          <w:szCs w:val="24"/>
          <w:lang w:val="es-ES"/>
        </w:rPr>
        <w:t xml:space="preserve"> 873/2015 de fecha 4/11/2015, no contaron con la intervención de este Tribunal, contraviniéndose el carácter preventivo de la misma;</w:t>
      </w:r>
    </w:p>
    <w:p w:rsidR="005F48C6" w:rsidRDefault="005F48C6" w:rsidP="004A465F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3) </w:t>
      </w:r>
      <w:r>
        <w:rPr>
          <w:rFonts w:ascii="Arial" w:hAnsi="Arial" w:cs="Arial"/>
          <w:sz w:val="24"/>
          <w:szCs w:val="24"/>
          <w:lang w:val="es-ES"/>
        </w:rPr>
        <w:t>que las nuevas contratacio</w:t>
      </w:r>
      <w:r w:rsidR="00050648">
        <w:rPr>
          <w:rFonts w:ascii="Arial" w:hAnsi="Arial" w:cs="Arial"/>
          <w:sz w:val="24"/>
          <w:szCs w:val="24"/>
          <w:lang w:val="es-ES"/>
        </w:rPr>
        <w:t>nes fueron dispuestas sin plazo</w:t>
      </w:r>
      <w:r>
        <w:rPr>
          <w:rFonts w:ascii="Arial" w:hAnsi="Arial" w:cs="Arial"/>
          <w:sz w:val="24"/>
          <w:szCs w:val="24"/>
          <w:lang w:val="es-ES"/>
        </w:rPr>
        <w:t>, omitiéndose establecer  uno de los elementos indispensables que califican la naturaleza del contrato de arrendamiento d</w:t>
      </w:r>
      <w:r w:rsidR="00876FBB">
        <w:rPr>
          <w:rFonts w:ascii="Arial" w:hAnsi="Arial" w:cs="Arial"/>
          <w:sz w:val="24"/>
          <w:szCs w:val="24"/>
          <w:lang w:val="es-ES"/>
        </w:rPr>
        <w:t>e obra;</w:t>
      </w:r>
    </w:p>
    <w:p w:rsidR="005F48C6" w:rsidRDefault="005F48C6" w:rsidP="004A465F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050648">
        <w:rPr>
          <w:rFonts w:ascii="Arial" w:hAnsi="Arial" w:cs="Arial"/>
          <w:b/>
          <w:sz w:val="24"/>
          <w:szCs w:val="24"/>
          <w:lang w:val="es-ES"/>
        </w:rPr>
        <w:t>ATENTO</w:t>
      </w:r>
      <w:r w:rsidR="00050648">
        <w:rPr>
          <w:rFonts w:ascii="Arial" w:hAnsi="Arial" w:cs="Arial"/>
          <w:b/>
          <w:sz w:val="24"/>
          <w:szCs w:val="24"/>
          <w:lang w:val="es-ES"/>
        </w:rPr>
        <w:t>:</w:t>
      </w:r>
      <w:r w:rsidRPr="00050648">
        <w:rPr>
          <w:rFonts w:ascii="Arial" w:hAnsi="Arial" w:cs="Arial"/>
          <w:b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a lo expuesto precedentemente</w:t>
      </w:r>
      <w:r w:rsidR="00050648">
        <w:rPr>
          <w:rFonts w:ascii="Arial" w:hAnsi="Arial" w:cs="Arial"/>
          <w:sz w:val="24"/>
          <w:szCs w:val="24"/>
          <w:lang w:val="es-ES"/>
        </w:rPr>
        <w:t>;</w:t>
      </w:r>
    </w:p>
    <w:p w:rsidR="005F48C6" w:rsidRDefault="00050648" w:rsidP="00050648">
      <w:pPr>
        <w:spacing w:after="0" w:line="360" w:lineRule="auto"/>
        <w:ind w:left="113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EL TRIBUNAL ACUERDA</w:t>
      </w:r>
    </w:p>
    <w:p w:rsidR="00050648" w:rsidRDefault="00050648" w:rsidP="00050648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50648">
        <w:rPr>
          <w:rFonts w:ascii="Arial" w:hAnsi="Arial" w:cs="Arial"/>
          <w:sz w:val="24"/>
          <w:szCs w:val="24"/>
          <w:lang w:val="es-ES"/>
        </w:rPr>
        <w:t>Observar el gasto;</w:t>
      </w:r>
    </w:p>
    <w:p w:rsidR="005F48C6" w:rsidRPr="00050648" w:rsidRDefault="005F48C6" w:rsidP="00050648">
      <w:pPr>
        <w:pStyle w:val="Prrafodelista"/>
        <w:numPr>
          <w:ilvl w:val="0"/>
          <w:numId w:val="1"/>
        </w:numPr>
        <w:spacing w:after="0" w:line="360" w:lineRule="auto"/>
        <w:ind w:left="113" w:firstLine="313"/>
        <w:jc w:val="both"/>
        <w:rPr>
          <w:rFonts w:ascii="Arial" w:hAnsi="Arial" w:cs="Arial"/>
          <w:sz w:val="24"/>
          <w:szCs w:val="24"/>
          <w:lang w:val="es-ES"/>
        </w:rPr>
      </w:pPr>
      <w:r w:rsidRPr="00050648">
        <w:rPr>
          <w:rFonts w:ascii="Arial" w:hAnsi="Arial" w:cs="Arial"/>
          <w:sz w:val="24"/>
          <w:szCs w:val="24"/>
          <w:lang w:val="es-ES"/>
        </w:rPr>
        <w:t>Comunicar al Contador Delegado</w:t>
      </w:r>
      <w:r w:rsidR="00050648" w:rsidRPr="00050648">
        <w:rPr>
          <w:rFonts w:ascii="Arial" w:hAnsi="Arial" w:cs="Arial"/>
          <w:sz w:val="24"/>
          <w:szCs w:val="24"/>
          <w:lang w:val="es-ES"/>
        </w:rPr>
        <w:t>;</w:t>
      </w:r>
      <w:r w:rsidR="00876FBB">
        <w:rPr>
          <w:rFonts w:ascii="Arial" w:hAnsi="Arial" w:cs="Arial"/>
          <w:sz w:val="24"/>
          <w:szCs w:val="24"/>
          <w:lang w:val="es-ES"/>
        </w:rPr>
        <w:t xml:space="preserve"> y</w:t>
      </w:r>
    </w:p>
    <w:p w:rsidR="00050648" w:rsidRPr="00050648" w:rsidRDefault="00050648" w:rsidP="00050648">
      <w:pPr>
        <w:pStyle w:val="Prrafodelista"/>
        <w:numPr>
          <w:ilvl w:val="0"/>
          <w:numId w:val="1"/>
        </w:numPr>
        <w:spacing w:after="0" w:line="360" w:lineRule="auto"/>
        <w:ind w:left="113" w:firstLine="313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sz w:val="24"/>
          <w:szCs w:val="24"/>
          <w:lang w:val="es-ES"/>
        </w:rPr>
        <w:t>Devolver las actuaciones.</w:t>
      </w:r>
    </w:p>
    <w:p w:rsidR="00050648" w:rsidRDefault="00050648" w:rsidP="00050648">
      <w:pPr>
        <w:pStyle w:val="Prrafodelista"/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50648" w:rsidRDefault="00050648" w:rsidP="00050648">
      <w:pPr>
        <w:pStyle w:val="Prrafodelista"/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5F48C6" w:rsidRDefault="00050648" w:rsidP="00050648">
      <w:pPr>
        <w:pStyle w:val="Prrafodelista"/>
        <w:spacing w:after="0" w:line="360" w:lineRule="auto"/>
        <w:ind w:hanging="862"/>
        <w:jc w:val="both"/>
        <w:rPr>
          <w:rFonts w:ascii="Times New Roman" w:hAnsi="Times New Roman" w:cs="Times New Roman"/>
        </w:rPr>
      </w:pPr>
      <w:proofErr w:type="gramStart"/>
      <w:r>
        <w:rPr>
          <w:rFonts w:ascii="Arial" w:hAnsi="Arial" w:cs="Arial"/>
          <w:sz w:val="24"/>
          <w:szCs w:val="24"/>
          <w:lang w:val="es-ES"/>
        </w:rPr>
        <w:t>dc</w:t>
      </w:r>
      <w:proofErr w:type="gramEnd"/>
    </w:p>
    <w:sectPr w:rsidR="005F48C6" w:rsidSect="00695177">
      <w:footerReference w:type="default" r:id="rId8"/>
      <w:pgSz w:w="11906" w:h="16838" w:code="9"/>
      <w:pgMar w:top="3402" w:right="1701" w:bottom="1701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7CF" w:rsidRDefault="000647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0647CF" w:rsidRDefault="000647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7CF" w:rsidRDefault="000647CF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F96A16" w:rsidRPr="00F96A16">
      <w:rPr>
        <w:noProof/>
        <w:lang w:val="es-ES"/>
      </w:rPr>
      <w:t>1</w:t>
    </w:r>
    <w:r>
      <w:fldChar w:fldCharType="end"/>
    </w:r>
  </w:p>
  <w:p w:rsidR="000647CF" w:rsidRDefault="000647C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7CF" w:rsidRDefault="000647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separator/>
      </w:r>
    </w:p>
  </w:footnote>
  <w:footnote w:type="continuationSeparator" w:id="0">
    <w:p w:rsidR="000647CF" w:rsidRDefault="000647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44729"/>
    <w:multiLevelType w:val="multilevel"/>
    <w:tmpl w:val="59126A7A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Theme="minorEastAsia" w:hAnsi="Arial" w:cs="Arial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1F733937"/>
    <w:multiLevelType w:val="hybridMultilevel"/>
    <w:tmpl w:val="72303B50"/>
    <w:lvl w:ilvl="0" w:tplc="6B16C2BE">
      <w:start w:val="2"/>
      <w:numFmt w:val="decimal"/>
      <w:lvlText w:val="%1)"/>
      <w:lvlJc w:val="left"/>
      <w:pPr>
        <w:tabs>
          <w:tab w:val="num" w:pos="2565"/>
        </w:tabs>
        <w:ind w:left="2565" w:hanging="45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3195"/>
        </w:tabs>
        <w:ind w:left="3195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3915"/>
        </w:tabs>
        <w:ind w:left="3915" w:hanging="180"/>
      </w:pPr>
    </w:lvl>
    <w:lvl w:ilvl="3" w:tplc="0C0A000F">
      <w:start w:val="1"/>
      <w:numFmt w:val="decimal"/>
      <w:lvlText w:val="%4."/>
      <w:lvlJc w:val="left"/>
      <w:pPr>
        <w:tabs>
          <w:tab w:val="num" w:pos="4635"/>
        </w:tabs>
        <w:ind w:left="4635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5355"/>
        </w:tabs>
        <w:ind w:left="5355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6075"/>
        </w:tabs>
        <w:ind w:left="6075" w:hanging="180"/>
      </w:pPr>
    </w:lvl>
    <w:lvl w:ilvl="6" w:tplc="0C0A000F">
      <w:start w:val="1"/>
      <w:numFmt w:val="decimal"/>
      <w:lvlText w:val="%7."/>
      <w:lvlJc w:val="left"/>
      <w:pPr>
        <w:tabs>
          <w:tab w:val="num" w:pos="6795"/>
        </w:tabs>
        <w:ind w:left="6795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7515"/>
        </w:tabs>
        <w:ind w:left="7515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8235"/>
        </w:tabs>
        <w:ind w:left="82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8C6"/>
    <w:rsid w:val="00050648"/>
    <w:rsid w:val="000647CF"/>
    <w:rsid w:val="004A465F"/>
    <w:rsid w:val="005F48C6"/>
    <w:rsid w:val="00695177"/>
    <w:rsid w:val="00876FBB"/>
    <w:rsid w:val="00914824"/>
    <w:rsid w:val="00E92B4A"/>
    <w:rsid w:val="00F9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Encabezado">
    <w:name w:val="header"/>
    <w:basedOn w:val="Normal"/>
    <w:link w:val="EncabezadoCar"/>
    <w:uiPriority w:val="99"/>
    <w:unhideWhenUsed/>
    <w:rsid w:val="004A465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A465F"/>
    <w:rPr>
      <w:rFonts w:ascii="Calibri" w:hAnsi="Calibri" w:cs="Calibri"/>
      <w:lang w:val="es-UY"/>
    </w:rPr>
  </w:style>
  <w:style w:type="paragraph" w:styleId="Piedepgina">
    <w:name w:val="footer"/>
    <w:basedOn w:val="Normal"/>
    <w:link w:val="PiedepginaCar"/>
    <w:uiPriority w:val="99"/>
    <w:unhideWhenUsed/>
    <w:rsid w:val="004A465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A465F"/>
    <w:rPr>
      <w:rFonts w:ascii="Calibri" w:hAnsi="Calibri" w:cs="Calibri"/>
      <w:lang w:val="es-U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5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5177"/>
    <w:rPr>
      <w:rFonts w:ascii="Tahoma" w:hAnsi="Tahoma" w:cs="Tahoma"/>
      <w:sz w:val="16"/>
      <w:szCs w:val="16"/>
      <w:lang w:val="es-U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Encabezado">
    <w:name w:val="header"/>
    <w:basedOn w:val="Normal"/>
    <w:link w:val="EncabezadoCar"/>
    <w:uiPriority w:val="99"/>
    <w:unhideWhenUsed/>
    <w:rsid w:val="004A465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A465F"/>
    <w:rPr>
      <w:rFonts w:ascii="Calibri" w:hAnsi="Calibri" w:cs="Calibri"/>
      <w:lang w:val="es-UY"/>
    </w:rPr>
  </w:style>
  <w:style w:type="paragraph" w:styleId="Piedepgina">
    <w:name w:val="footer"/>
    <w:basedOn w:val="Normal"/>
    <w:link w:val="PiedepginaCar"/>
    <w:uiPriority w:val="99"/>
    <w:unhideWhenUsed/>
    <w:rsid w:val="004A465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A465F"/>
    <w:rPr>
      <w:rFonts w:ascii="Calibri" w:hAnsi="Calibri" w:cs="Calibri"/>
      <w:lang w:val="es-U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5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5177"/>
    <w:rPr>
      <w:rFonts w:ascii="Tahoma" w:hAnsi="Tahoma" w:cs="Tahoma"/>
      <w:sz w:val="16"/>
      <w:szCs w:val="16"/>
      <w:lang w:val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858</Words>
  <Characters>4674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No 2015-17-1-0003357</vt:lpstr>
    </vt:vector>
  </TitlesOfParts>
  <Company>Tribunal de Cuentas</Company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No 2015-17-1-0003357</dc:title>
  <dc:creator>JORGE EDUARDO MAESO RUIZ</dc:creator>
  <cp:lastModifiedBy> </cp:lastModifiedBy>
  <cp:revision>5</cp:revision>
  <cp:lastPrinted>2016-01-15T16:20:00Z</cp:lastPrinted>
  <dcterms:created xsi:type="dcterms:W3CDTF">2016-01-15T15:22:00Z</dcterms:created>
  <dcterms:modified xsi:type="dcterms:W3CDTF">2016-02-18T15:35:00Z</dcterms:modified>
</cp:coreProperties>
</file>