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799" w:rsidRPr="00764799" w:rsidRDefault="00764799" w:rsidP="00764799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764799">
        <w:rPr>
          <w:rFonts w:ascii="Helvetica" w:hAnsi="Helvetica"/>
          <w:b/>
          <w:sz w:val="24"/>
          <w:szCs w:val="24"/>
          <w:lang w:val="es-ES_tradnl"/>
        </w:rPr>
        <w:t>RESOLUCION ADOPTADA POR EL</w:t>
      </w:r>
    </w:p>
    <w:p w:rsidR="00764799" w:rsidRPr="00764799" w:rsidRDefault="00764799" w:rsidP="00764799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764799" w:rsidRPr="00764799" w:rsidRDefault="00764799" w:rsidP="00764799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764799">
        <w:rPr>
          <w:rFonts w:ascii="Helvetica" w:hAnsi="Helvetica"/>
          <w:b/>
          <w:sz w:val="24"/>
          <w:szCs w:val="24"/>
          <w:lang w:val="es-ES_tradnl"/>
        </w:rPr>
        <w:t>TRIBUNAL DE CUENTAS</w:t>
      </w:r>
    </w:p>
    <w:p w:rsidR="00764799" w:rsidRPr="00764799" w:rsidRDefault="00764799" w:rsidP="00764799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764799" w:rsidRPr="00764799" w:rsidRDefault="00764799" w:rsidP="00764799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764799">
        <w:rPr>
          <w:rFonts w:ascii="Helvetica" w:hAnsi="Helvetica"/>
          <w:b/>
          <w:sz w:val="24"/>
          <w:szCs w:val="24"/>
          <w:lang w:val="es-ES_tradnl"/>
        </w:rPr>
        <w:t>EN SESION DE FECHA 30 DE DICIEMBRE DE 2015</w:t>
      </w:r>
    </w:p>
    <w:p w:rsidR="00764799" w:rsidRPr="00764799" w:rsidRDefault="00764799" w:rsidP="00764799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764799" w:rsidRPr="00764799" w:rsidRDefault="00764799" w:rsidP="00764799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AR"/>
        </w:rPr>
      </w:pPr>
      <w:r w:rsidRPr="00764799">
        <w:rPr>
          <w:rFonts w:ascii="Helvetica" w:hAnsi="Helvetica"/>
          <w:b/>
          <w:sz w:val="24"/>
          <w:szCs w:val="24"/>
          <w:lang w:val="es-AR"/>
        </w:rPr>
        <w:t xml:space="preserve">(E. E. Nº 2015-17-1-0008572, </w:t>
      </w:r>
      <w:proofErr w:type="spellStart"/>
      <w:r w:rsidRPr="00764799">
        <w:rPr>
          <w:rFonts w:ascii="Helvetica" w:hAnsi="Helvetica"/>
          <w:b/>
          <w:sz w:val="24"/>
          <w:szCs w:val="24"/>
          <w:lang w:val="es-AR"/>
        </w:rPr>
        <w:t>Ent</w:t>
      </w:r>
      <w:proofErr w:type="spellEnd"/>
      <w:r w:rsidRPr="00764799">
        <w:rPr>
          <w:rFonts w:ascii="Helvetica" w:hAnsi="Helvetica"/>
          <w:b/>
          <w:sz w:val="24"/>
          <w:szCs w:val="24"/>
          <w:lang w:val="es-AR"/>
        </w:rPr>
        <w:t>. N° 6772/15)</w:t>
      </w:r>
    </w:p>
    <w:p w:rsidR="00764799" w:rsidRPr="00764799" w:rsidRDefault="00764799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AR"/>
        </w:rPr>
      </w:pPr>
    </w:p>
    <w:p w:rsidR="00764799" w:rsidRDefault="004B187C" w:rsidP="0076479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VISTO:</w:t>
      </w:r>
      <w:r w:rsidR="00764799">
        <w:rPr>
          <w:rFonts w:ascii="Arial" w:hAnsi="Arial" w:cs="Arial"/>
          <w:b/>
          <w:sz w:val="24"/>
          <w:szCs w:val="24"/>
        </w:rPr>
        <w:t xml:space="preserve"> </w:t>
      </w:r>
      <w:r w:rsidR="00764799" w:rsidRPr="00764799">
        <w:rPr>
          <w:rFonts w:ascii="Arial" w:hAnsi="Arial" w:cs="Arial"/>
          <w:sz w:val="24"/>
          <w:szCs w:val="24"/>
        </w:rPr>
        <w:t>el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6479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f</w:t>
      </w:r>
      <w:r w:rsidR="009D387B">
        <w:rPr>
          <w:rFonts w:ascii="Arial" w:hAnsi="Arial" w:cs="Arial"/>
          <w:sz w:val="24"/>
          <w:szCs w:val="24"/>
        </w:rPr>
        <w:t xml:space="preserve">icio 764/2015 de fecha 20/11/15 remitido por la Junta Departamental de Salto, relacionado con la ampliación del Decreto </w:t>
      </w:r>
      <w:r>
        <w:rPr>
          <w:rFonts w:ascii="Arial" w:hAnsi="Arial" w:cs="Arial"/>
          <w:sz w:val="24"/>
          <w:szCs w:val="24"/>
        </w:rPr>
        <w:t xml:space="preserve"> 6833/15 SOFRILIS</w:t>
      </w:r>
      <w:r w:rsidR="00764799">
        <w:rPr>
          <w:rFonts w:ascii="Arial" w:hAnsi="Arial" w:cs="Arial"/>
          <w:sz w:val="24"/>
          <w:szCs w:val="24"/>
        </w:rPr>
        <w:t>;</w:t>
      </w:r>
    </w:p>
    <w:p w:rsidR="00764799" w:rsidRDefault="009D387B" w:rsidP="0076479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RESULTANDO: 1) </w:t>
      </w:r>
      <w:r>
        <w:rPr>
          <w:rFonts w:ascii="Arial" w:hAnsi="Arial" w:cs="Arial"/>
          <w:sz w:val="24"/>
          <w:szCs w:val="24"/>
        </w:rPr>
        <w:t xml:space="preserve"> que, oportunamente el Intendente remitió a la Junta Departamental iniciativa a efectos de </w:t>
      </w:r>
      <w:r w:rsidRPr="009D387B">
        <w:rPr>
          <w:rFonts w:ascii="Arial" w:hAnsi="Arial" w:cs="Arial"/>
          <w:sz w:val="24"/>
          <w:szCs w:val="24"/>
        </w:rPr>
        <w:t>prorrogar el vencimiento</w:t>
      </w:r>
      <w:r>
        <w:rPr>
          <w:rFonts w:ascii="Arial" w:hAnsi="Arial" w:cs="Arial"/>
          <w:sz w:val="24"/>
          <w:szCs w:val="24"/>
        </w:rPr>
        <w:t xml:space="preserve"> corriente de</w:t>
      </w:r>
      <w:r w:rsidRPr="009D387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adeudos </w:t>
      </w:r>
      <w:r w:rsidRPr="009D387B">
        <w:rPr>
          <w:rFonts w:ascii="Arial" w:hAnsi="Arial" w:cs="Arial"/>
          <w:sz w:val="24"/>
          <w:szCs w:val="24"/>
        </w:rPr>
        <w:t>de contribución</w:t>
      </w:r>
      <w:r>
        <w:rPr>
          <w:rFonts w:ascii="Arial" w:hAnsi="Arial" w:cs="Arial"/>
          <w:sz w:val="24"/>
          <w:szCs w:val="24"/>
        </w:rPr>
        <w:t xml:space="preserve"> inmobiliaria rural</w:t>
      </w:r>
      <w:r w:rsidRPr="009D387B">
        <w:rPr>
          <w:rFonts w:ascii="Arial" w:hAnsi="Arial" w:cs="Arial"/>
          <w:sz w:val="24"/>
          <w:szCs w:val="24"/>
        </w:rPr>
        <w:t xml:space="preserve"> y exone</w:t>
      </w:r>
      <w:r w:rsidR="00764799">
        <w:rPr>
          <w:rFonts w:ascii="Arial" w:hAnsi="Arial" w:cs="Arial"/>
          <w:sz w:val="24"/>
          <w:szCs w:val="24"/>
        </w:rPr>
        <w:t>ración de tasas bromatológicas;</w:t>
      </w:r>
    </w:p>
    <w:p w:rsidR="00764799" w:rsidRDefault="009D387B" w:rsidP="00764799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2) </w:t>
      </w:r>
      <w:r w:rsidR="00764799">
        <w:rPr>
          <w:rFonts w:ascii="Arial" w:hAnsi="Arial" w:cs="Arial"/>
          <w:sz w:val="24"/>
          <w:szCs w:val="24"/>
        </w:rPr>
        <w:t>que en S</w:t>
      </w:r>
      <w:r>
        <w:rPr>
          <w:rFonts w:ascii="Arial" w:hAnsi="Arial" w:cs="Arial"/>
          <w:sz w:val="24"/>
          <w:szCs w:val="24"/>
        </w:rPr>
        <w:t>esión de fecha 01/10/15 la Junta Departamental por unanimidad de 30 votos aprobó el Decreto 6833/2015 por</w:t>
      </w:r>
      <w:r w:rsidR="006B3695">
        <w:rPr>
          <w:rFonts w:ascii="Arial" w:hAnsi="Arial" w:cs="Arial"/>
          <w:sz w:val="24"/>
          <w:szCs w:val="24"/>
        </w:rPr>
        <w:t xml:space="preserve"> cuyo </w:t>
      </w:r>
      <w:r w:rsidR="00764799">
        <w:rPr>
          <w:rFonts w:ascii="Arial" w:hAnsi="Arial" w:cs="Arial"/>
          <w:sz w:val="24"/>
          <w:szCs w:val="24"/>
        </w:rPr>
        <w:t>A</w:t>
      </w:r>
      <w:r w:rsidR="006B3695" w:rsidRPr="006B3695">
        <w:rPr>
          <w:rFonts w:ascii="Arial" w:hAnsi="Arial" w:cs="Arial"/>
          <w:sz w:val="24"/>
          <w:szCs w:val="24"/>
        </w:rPr>
        <w:t>rt</w:t>
      </w:r>
      <w:r w:rsidR="00764799">
        <w:rPr>
          <w:rFonts w:ascii="Arial" w:hAnsi="Arial" w:cs="Arial"/>
          <w:sz w:val="24"/>
          <w:szCs w:val="24"/>
        </w:rPr>
        <w:t>ículo 1º</w:t>
      </w:r>
      <w:r w:rsidR="006B3695" w:rsidRPr="006B3695">
        <w:rPr>
          <w:rFonts w:ascii="Arial" w:hAnsi="Arial" w:cs="Arial"/>
          <w:sz w:val="24"/>
          <w:szCs w:val="24"/>
        </w:rPr>
        <w:t xml:space="preserve"> dispone pr</w:t>
      </w:r>
      <w:r w:rsidR="006B3695">
        <w:rPr>
          <w:rFonts w:ascii="Arial" w:hAnsi="Arial" w:cs="Arial"/>
          <w:sz w:val="24"/>
          <w:szCs w:val="24"/>
        </w:rPr>
        <w:t>o</w:t>
      </w:r>
      <w:r w:rsidR="006B3695" w:rsidRPr="006B3695">
        <w:rPr>
          <w:rFonts w:ascii="Arial" w:hAnsi="Arial" w:cs="Arial"/>
          <w:sz w:val="24"/>
          <w:szCs w:val="24"/>
        </w:rPr>
        <w:t>rroga</w:t>
      </w:r>
      <w:r w:rsidR="006B3695">
        <w:rPr>
          <w:rFonts w:ascii="Arial" w:hAnsi="Arial" w:cs="Arial"/>
          <w:sz w:val="24"/>
          <w:szCs w:val="24"/>
        </w:rPr>
        <w:t>r</w:t>
      </w:r>
      <w:r w:rsidR="006B3695" w:rsidRPr="006B3695">
        <w:rPr>
          <w:rFonts w:ascii="Arial" w:hAnsi="Arial" w:cs="Arial"/>
          <w:sz w:val="24"/>
          <w:szCs w:val="24"/>
        </w:rPr>
        <w:t xml:space="preserve"> a partir del 31 de enero de 2016 los vencimientos corrientes por adeudos de Contribución Inmobiliaria Rural previstos para setiembre y diciembre/2015, por los cuales se podrá suscribir convenio de pago hasta en doce cuotas iguales, mensuales y consecutivas, no generando el convenio recargos, multas. Asimismo, prorroga a partir del mes de enero/2016</w:t>
      </w:r>
      <w:r w:rsidR="006B3695">
        <w:rPr>
          <w:rFonts w:ascii="Arial" w:hAnsi="Arial" w:cs="Arial"/>
          <w:sz w:val="24"/>
          <w:szCs w:val="24"/>
        </w:rPr>
        <w:t xml:space="preserve"> </w:t>
      </w:r>
      <w:r w:rsidR="006B3695" w:rsidRPr="006B3695">
        <w:rPr>
          <w:rFonts w:ascii="Arial" w:hAnsi="Arial" w:cs="Arial"/>
          <w:sz w:val="24"/>
          <w:szCs w:val="24"/>
        </w:rPr>
        <w:t>los vencimientos de convenios de pago con vencimiento a partir de setiembre/2015 y de las cuo</w:t>
      </w:r>
      <w:r w:rsidR="00764799">
        <w:rPr>
          <w:rFonts w:ascii="Arial" w:hAnsi="Arial" w:cs="Arial"/>
          <w:sz w:val="24"/>
          <w:szCs w:val="24"/>
        </w:rPr>
        <w:t>tas anuales del Ejercicio 2015;</w:t>
      </w:r>
    </w:p>
    <w:p w:rsidR="00EB1068" w:rsidRDefault="00BA5293" w:rsidP="00EB1068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3) </w:t>
      </w:r>
      <w:r>
        <w:rPr>
          <w:rFonts w:ascii="Arial" w:hAnsi="Arial" w:cs="Arial"/>
          <w:sz w:val="24"/>
          <w:szCs w:val="24"/>
        </w:rPr>
        <w:t xml:space="preserve">que por el </w:t>
      </w:r>
      <w:r w:rsidR="00764799">
        <w:rPr>
          <w:rFonts w:ascii="Arial" w:hAnsi="Arial" w:cs="Arial"/>
          <w:sz w:val="24"/>
          <w:szCs w:val="24"/>
        </w:rPr>
        <w:t>Artículo</w:t>
      </w:r>
      <w:r w:rsidR="006B3695" w:rsidRPr="006B3695">
        <w:rPr>
          <w:rFonts w:ascii="Arial" w:hAnsi="Arial" w:cs="Arial"/>
          <w:sz w:val="24"/>
          <w:szCs w:val="24"/>
        </w:rPr>
        <w:t xml:space="preserve"> 2º</w:t>
      </w:r>
      <w:r>
        <w:rPr>
          <w:rFonts w:ascii="Arial" w:hAnsi="Arial" w:cs="Arial"/>
          <w:sz w:val="24"/>
          <w:szCs w:val="24"/>
        </w:rPr>
        <w:t xml:space="preserve"> se </w:t>
      </w:r>
      <w:r w:rsidR="006B3695" w:rsidRPr="006B3695">
        <w:rPr>
          <w:rFonts w:ascii="Arial" w:hAnsi="Arial" w:cs="Arial"/>
          <w:sz w:val="24"/>
          <w:szCs w:val="24"/>
        </w:rPr>
        <w:t xml:space="preserve"> exonera del pag</w:t>
      </w:r>
      <w:r w:rsidR="00EB1068">
        <w:rPr>
          <w:rFonts w:ascii="Arial" w:hAnsi="Arial" w:cs="Arial"/>
          <w:sz w:val="24"/>
          <w:szCs w:val="24"/>
        </w:rPr>
        <w:t>o de la Tasa establecida en el A</w:t>
      </w:r>
      <w:r w:rsidR="006B3695" w:rsidRPr="006B3695">
        <w:rPr>
          <w:rFonts w:ascii="Arial" w:hAnsi="Arial" w:cs="Arial"/>
          <w:sz w:val="24"/>
          <w:szCs w:val="24"/>
        </w:rPr>
        <w:t>rtículo 126 del Decreto Nº 5629/86, así como el costo de análisis de agua realizado por el laboratorio bromatológico de la Intendencia de Salto, por el período de un año a parti</w:t>
      </w:r>
      <w:r w:rsidR="00EB1068">
        <w:rPr>
          <w:rFonts w:ascii="Arial" w:hAnsi="Arial" w:cs="Arial"/>
          <w:sz w:val="24"/>
          <w:szCs w:val="24"/>
        </w:rPr>
        <w:t>r del mes de setiembre de 2015;</w:t>
      </w:r>
    </w:p>
    <w:p w:rsidR="00EB1068" w:rsidRDefault="00BA5293" w:rsidP="00EB1068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4) </w:t>
      </w:r>
      <w:r>
        <w:rPr>
          <w:rFonts w:ascii="Arial" w:hAnsi="Arial" w:cs="Arial"/>
          <w:sz w:val="24"/>
          <w:szCs w:val="24"/>
        </w:rPr>
        <w:t>que, d</w:t>
      </w:r>
      <w:r w:rsidR="00EB1068">
        <w:rPr>
          <w:rFonts w:ascii="Arial" w:hAnsi="Arial" w:cs="Arial"/>
          <w:sz w:val="24"/>
          <w:szCs w:val="24"/>
        </w:rPr>
        <w:t>e acuerdo con el A</w:t>
      </w:r>
      <w:r w:rsidR="006B3695" w:rsidRPr="006B3695">
        <w:rPr>
          <w:rFonts w:ascii="Arial" w:hAnsi="Arial" w:cs="Arial"/>
          <w:sz w:val="24"/>
          <w:szCs w:val="24"/>
        </w:rPr>
        <w:t>rtículo 3º los beneficios serán exclusivamente para los productores comprendidos en el informe de la Sociedad de Fomento Rural de la Indus</w:t>
      </w:r>
      <w:r>
        <w:rPr>
          <w:rFonts w:ascii="Arial" w:hAnsi="Arial" w:cs="Arial"/>
          <w:sz w:val="24"/>
          <w:szCs w:val="24"/>
        </w:rPr>
        <w:t>tria Láctea de Salto (SOFRILIS);</w:t>
      </w:r>
    </w:p>
    <w:p w:rsidR="00EB1068" w:rsidRDefault="00AB5DB3" w:rsidP="00EB1068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5) </w:t>
      </w:r>
      <w:r>
        <w:rPr>
          <w:rFonts w:ascii="Arial" w:hAnsi="Arial" w:cs="Arial"/>
          <w:sz w:val="24"/>
          <w:szCs w:val="24"/>
        </w:rPr>
        <w:t xml:space="preserve"> que el </w:t>
      </w:r>
      <w:r w:rsidRPr="00AB5DB3">
        <w:rPr>
          <w:rFonts w:ascii="Arial" w:hAnsi="Arial" w:cs="Arial"/>
          <w:sz w:val="24"/>
          <w:szCs w:val="24"/>
        </w:rPr>
        <w:t xml:space="preserve"> 26/10/15 la Intendencia de Salto remitió a la Junta Departamental  iniciativa tendient</w:t>
      </w:r>
      <w:r w:rsidR="00EB1068">
        <w:rPr>
          <w:rFonts w:ascii="Arial" w:hAnsi="Arial" w:cs="Arial"/>
          <w:sz w:val="24"/>
          <w:szCs w:val="24"/>
        </w:rPr>
        <w:t>e a ampliar el Decreto 6833/15;</w:t>
      </w:r>
    </w:p>
    <w:p w:rsidR="00EB1068" w:rsidRDefault="00AB5DB3" w:rsidP="00EB1068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6) </w:t>
      </w:r>
      <w:r>
        <w:rPr>
          <w:rFonts w:ascii="Arial" w:hAnsi="Arial" w:cs="Arial"/>
          <w:sz w:val="24"/>
          <w:szCs w:val="24"/>
        </w:rPr>
        <w:t>que e</w:t>
      </w:r>
      <w:r w:rsidR="00EB1068">
        <w:rPr>
          <w:rFonts w:ascii="Arial" w:hAnsi="Arial" w:cs="Arial"/>
          <w:sz w:val="24"/>
          <w:szCs w:val="24"/>
        </w:rPr>
        <w:t>n S</w:t>
      </w:r>
      <w:r w:rsidRPr="00AB5DB3">
        <w:rPr>
          <w:rFonts w:ascii="Arial" w:hAnsi="Arial" w:cs="Arial"/>
          <w:sz w:val="24"/>
          <w:szCs w:val="24"/>
        </w:rPr>
        <w:t>esión de fecha 19/11/15 la Junta Departamental, por unanimidad de 30 votos, aprobó la iniciativa remitida por la Intendencia de Salto</w:t>
      </w:r>
      <w:r w:rsidR="00EB1068">
        <w:rPr>
          <w:rFonts w:ascii="Arial" w:hAnsi="Arial" w:cs="Arial"/>
          <w:sz w:val="24"/>
          <w:szCs w:val="24"/>
        </w:rPr>
        <w:t>, dictando el Decreto 6851/2015;</w:t>
      </w:r>
    </w:p>
    <w:p w:rsidR="00AB5DB3" w:rsidRDefault="00AB5DB3" w:rsidP="00EB1068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7) </w:t>
      </w:r>
      <w:r>
        <w:rPr>
          <w:rFonts w:ascii="Arial" w:hAnsi="Arial" w:cs="Arial"/>
          <w:sz w:val="24"/>
          <w:szCs w:val="24"/>
        </w:rPr>
        <w:t xml:space="preserve"> que la norma aprobada </w:t>
      </w:r>
      <w:r w:rsidRPr="00AB5DB3">
        <w:rPr>
          <w:rFonts w:ascii="Arial" w:hAnsi="Arial" w:cs="Arial"/>
          <w:sz w:val="24"/>
          <w:szCs w:val="24"/>
        </w:rPr>
        <w:t>establece la exoneración del pago de la tasa prevista en el Art</w:t>
      </w:r>
      <w:r w:rsidR="00EB1068">
        <w:rPr>
          <w:rFonts w:ascii="Arial" w:hAnsi="Arial" w:cs="Arial"/>
          <w:sz w:val="24"/>
          <w:szCs w:val="24"/>
        </w:rPr>
        <w:t xml:space="preserve">ículo </w:t>
      </w:r>
      <w:r w:rsidRPr="00AB5DB3">
        <w:rPr>
          <w:rFonts w:ascii="Arial" w:hAnsi="Arial" w:cs="Arial"/>
          <w:sz w:val="24"/>
          <w:szCs w:val="24"/>
        </w:rPr>
        <w:t>126 del  Decreto 5629/86, así como del costo de análisis de agua realizado por el laboratorio bromatológico de la Intendencia de Salto y del pago de los tributos por concepto de Tasa</w:t>
      </w:r>
      <w:r>
        <w:rPr>
          <w:rFonts w:ascii="Arial" w:hAnsi="Arial" w:cs="Arial"/>
          <w:sz w:val="24"/>
          <w:szCs w:val="24"/>
        </w:rPr>
        <w:t>s</w:t>
      </w:r>
      <w:r w:rsidRPr="00AB5DB3">
        <w:rPr>
          <w:rFonts w:ascii="Arial" w:hAnsi="Arial" w:cs="Arial"/>
          <w:sz w:val="24"/>
          <w:szCs w:val="24"/>
        </w:rPr>
        <w:t xml:space="preserve"> de Papel Sellado y </w:t>
      </w:r>
      <w:r>
        <w:rPr>
          <w:rFonts w:ascii="Arial" w:hAnsi="Arial" w:cs="Arial"/>
          <w:sz w:val="24"/>
          <w:szCs w:val="24"/>
        </w:rPr>
        <w:t xml:space="preserve"> de </w:t>
      </w:r>
      <w:r w:rsidRPr="00AB5DB3">
        <w:rPr>
          <w:rFonts w:ascii="Arial" w:hAnsi="Arial" w:cs="Arial"/>
          <w:sz w:val="24"/>
          <w:szCs w:val="24"/>
        </w:rPr>
        <w:t>Derecho de E</w:t>
      </w:r>
      <w:r w:rsidR="00EB1068">
        <w:rPr>
          <w:rFonts w:ascii="Arial" w:hAnsi="Arial" w:cs="Arial"/>
          <w:sz w:val="24"/>
          <w:szCs w:val="24"/>
        </w:rPr>
        <w:t>xpedición, establecidas en los A</w:t>
      </w:r>
      <w:r w:rsidRPr="00AB5DB3">
        <w:rPr>
          <w:rFonts w:ascii="Arial" w:hAnsi="Arial" w:cs="Arial"/>
          <w:sz w:val="24"/>
          <w:szCs w:val="24"/>
        </w:rPr>
        <w:t xml:space="preserve">rtículos 95 y ss. </w:t>
      </w:r>
      <w:proofErr w:type="gramStart"/>
      <w:r w:rsidRPr="00AB5DB3">
        <w:rPr>
          <w:rFonts w:ascii="Arial" w:hAnsi="Arial" w:cs="Arial"/>
          <w:sz w:val="24"/>
          <w:szCs w:val="24"/>
        </w:rPr>
        <w:t>y</w:t>
      </w:r>
      <w:proofErr w:type="gramEnd"/>
      <w:r w:rsidRPr="00AB5DB3">
        <w:rPr>
          <w:rFonts w:ascii="Arial" w:hAnsi="Arial" w:cs="Arial"/>
          <w:sz w:val="24"/>
          <w:szCs w:val="24"/>
        </w:rPr>
        <w:t xml:space="preserve">  102 y ss. </w:t>
      </w:r>
      <w:proofErr w:type="gramStart"/>
      <w:r w:rsidRPr="00AB5DB3">
        <w:rPr>
          <w:rFonts w:ascii="Arial" w:hAnsi="Arial" w:cs="Arial"/>
          <w:sz w:val="24"/>
          <w:szCs w:val="24"/>
        </w:rPr>
        <w:t>del</w:t>
      </w:r>
      <w:proofErr w:type="gramEnd"/>
      <w:r w:rsidRPr="00AB5DB3">
        <w:rPr>
          <w:rFonts w:ascii="Arial" w:hAnsi="Arial" w:cs="Arial"/>
          <w:sz w:val="24"/>
          <w:szCs w:val="24"/>
        </w:rPr>
        <w:t xml:space="preserve"> Decreto 5629/86 y sus modificativas, por el período de un año a partir de setiembre/2015 para todos los trámites que deban realizar los</w:t>
      </w:r>
      <w:r>
        <w:rPr>
          <w:rFonts w:ascii="Arial" w:hAnsi="Arial" w:cs="Arial"/>
          <w:sz w:val="24"/>
          <w:szCs w:val="24"/>
        </w:rPr>
        <w:t xml:space="preserve"> </w:t>
      </w:r>
      <w:r w:rsidR="00EB1068">
        <w:rPr>
          <w:rFonts w:ascii="Arial" w:hAnsi="Arial" w:cs="Arial"/>
          <w:sz w:val="24"/>
          <w:szCs w:val="24"/>
        </w:rPr>
        <w:t>productores socios de SOFRILIS;</w:t>
      </w:r>
    </w:p>
    <w:p w:rsidR="00EB1068" w:rsidRDefault="00AB5DB3" w:rsidP="00EB106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CONSIDERANDO: 1)</w:t>
      </w:r>
      <w:r w:rsidR="007C5AB7">
        <w:rPr>
          <w:rFonts w:ascii="Arial" w:hAnsi="Arial" w:cs="Arial"/>
          <w:b/>
          <w:sz w:val="24"/>
          <w:szCs w:val="24"/>
        </w:rPr>
        <w:t xml:space="preserve"> </w:t>
      </w:r>
      <w:r w:rsidR="007C5AB7" w:rsidRPr="007C5AB7">
        <w:rPr>
          <w:rFonts w:ascii="Arial" w:hAnsi="Arial" w:cs="Arial"/>
          <w:sz w:val="24"/>
          <w:szCs w:val="24"/>
        </w:rPr>
        <w:t xml:space="preserve">que se ha dado cumplimiento </w:t>
      </w:r>
      <w:r w:rsidR="00EB1068">
        <w:rPr>
          <w:rFonts w:ascii="Arial" w:hAnsi="Arial" w:cs="Arial"/>
          <w:sz w:val="24"/>
          <w:szCs w:val="24"/>
        </w:rPr>
        <w:t>con lo dispuesto en los A</w:t>
      </w:r>
      <w:r w:rsidR="007C5AB7" w:rsidRPr="007C5AB7">
        <w:rPr>
          <w:rFonts w:ascii="Arial" w:hAnsi="Arial" w:cs="Arial"/>
          <w:sz w:val="24"/>
          <w:szCs w:val="24"/>
        </w:rPr>
        <w:t xml:space="preserve">rtículos 273 </w:t>
      </w:r>
      <w:r w:rsidR="007C5AB7">
        <w:rPr>
          <w:rFonts w:ascii="Arial" w:hAnsi="Arial" w:cs="Arial"/>
          <w:sz w:val="24"/>
          <w:szCs w:val="24"/>
        </w:rPr>
        <w:t>N</w:t>
      </w:r>
      <w:r w:rsidR="00EB1068">
        <w:rPr>
          <w:rFonts w:ascii="Arial" w:hAnsi="Arial" w:cs="Arial"/>
          <w:sz w:val="24"/>
          <w:szCs w:val="24"/>
        </w:rPr>
        <w:t>umer</w:t>
      </w:r>
      <w:r w:rsidR="007C5AB7" w:rsidRPr="007C5AB7">
        <w:rPr>
          <w:rFonts w:ascii="Arial" w:hAnsi="Arial" w:cs="Arial"/>
          <w:sz w:val="24"/>
          <w:szCs w:val="24"/>
        </w:rPr>
        <w:t xml:space="preserve">al 3° y 275 </w:t>
      </w:r>
      <w:r w:rsidR="007C5AB7">
        <w:rPr>
          <w:rFonts w:ascii="Arial" w:hAnsi="Arial" w:cs="Arial"/>
          <w:sz w:val="24"/>
          <w:szCs w:val="24"/>
        </w:rPr>
        <w:t>N</w:t>
      </w:r>
      <w:r w:rsidR="00EB1068">
        <w:rPr>
          <w:rFonts w:ascii="Arial" w:hAnsi="Arial" w:cs="Arial"/>
          <w:sz w:val="24"/>
          <w:szCs w:val="24"/>
        </w:rPr>
        <w:t>umer</w:t>
      </w:r>
      <w:r w:rsidR="007C5AB7" w:rsidRPr="007C5AB7">
        <w:rPr>
          <w:rFonts w:ascii="Arial" w:hAnsi="Arial" w:cs="Arial"/>
          <w:sz w:val="24"/>
          <w:szCs w:val="24"/>
        </w:rPr>
        <w:t>al 4° de la Constitución de la República;</w:t>
      </w:r>
    </w:p>
    <w:p w:rsidR="00EB1068" w:rsidRDefault="007C5AB7" w:rsidP="00EB1068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 w:rsidRPr="007C5AB7">
        <w:rPr>
          <w:rFonts w:ascii="Arial" w:hAnsi="Arial" w:cs="Arial"/>
          <w:b/>
          <w:sz w:val="24"/>
          <w:szCs w:val="24"/>
        </w:rPr>
        <w:t>2)</w:t>
      </w:r>
      <w:r w:rsidRPr="007C5AB7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>, respecto del Decreto Nº 6851/2015</w:t>
      </w:r>
      <w:r w:rsidRPr="007C5AB7">
        <w:rPr>
          <w:rFonts w:ascii="Arial" w:hAnsi="Arial" w:cs="Arial"/>
          <w:sz w:val="24"/>
          <w:szCs w:val="24"/>
        </w:rPr>
        <w:t xml:space="preserve"> se ha cumplido con el procedimiento preceptuado por la Ordenanza 62 en la redac</w:t>
      </w:r>
      <w:r w:rsidR="00EB1068">
        <w:rPr>
          <w:rFonts w:ascii="Arial" w:hAnsi="Arial" w:cs="Arial"/>
          <w:sz w:val="24"/>
          <w:szCs w:val="24"/>
        </w:rPr>
        <w:t>ción dada por la resolución de este Tribunal</w:t>
      </w:r>
      <w:r w:rsidRPr="007C5AB7">
        <w:rPr>
          <w:rFonts w:ascii="Arial" w:hAnsi="Arial" w:cs="Arial"/>
          <w:sz w:val="24"/>
          <w:szCs w:val="24"/>
        </w:rPr>
        <w:t xml:space="preserve"> de fecha 16.8.65;</w:t>
      </w:r>
    </w:p>
    <w:p w:rsidR="00EB1068" w:rsidRDefault="007C5AB7" w:rsidP="00EB1068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 w:rsidRPr="007C5AB7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que no se cumplió con la remisión de las actuaciones para la intervención de este Tribunal en lo que se re</w:t>
      </w:r>
      <w:r w:rsidR="00EB1068">
        <w:rPr>
          <w:rFonts w:ascii="Arial" w:hAnsi="Arial" w:cs="Arial"/>
          <w:sz w:val="24"/>
          <w:szCs w:val="24"/>
        </w:rPr>
        <w:t>laciona con el Decreto 6833/15;</w:t>
      </w:r>
    </w:p>
    <w:p w:rsidR="007C5AB7" w:rsidRPr="007C5AB7" w:rsidRDefault="007C5AB7" w:rsidP="00EB1068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 w:rsidRPr="007C5AB7">
        <w:rPr>
          <w:rFonts w:ascii="Arial" w:hAnsi="Arial" w:cs="Arial"/>
          <w:b/>
          <w:sz w:val="24"/>
          <w:szCs w:val="24"/>
        </w:rPr>
        <w:t>4)</w:t>
      </w:r>
      <w:r w:rsidRPr="007C5AB7">
        <w:rPr>
          <w:rFonts w:ascii="Arial" w:hAnsi="Arial" w:cs="Arial"/>
          <w:sz w:val="24"/>
          <w:szCs w:val="24"/>
        </w:rPr>
        <w:t xml:space="preserve"> que el efecto de la presente Modificación de Recursos deberá ser considerado en la próxima instancia presupuestal; </w:t>
      </w:r>
    </w:p>
    <w:p w:rsidR="007C5AB7" w:rsidRPr="007C5AB7" w:rsidRDefault="007C5AB7" w:rsidP="00EB1068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C5AB7">
        <w:rPr>
          <w:rFonts w:ascii="Arial" w:hAnsi="Arial" w:cs="Arial"/>
          <w:b/>
          <w:sz w:val="24"/>
          <w:szCs w:val="24"/>
        </w:rPr>
        <w:t>ATENTO:</w:t>
      </w:r>
      <w:r w:rsidRPr="007C5AB7">
        <w:rPr>
          <w:rFonts w:ascii="Arial" w:hAnsi="Arial" w:cs="Arial"/>
          <w:sz w:val="24"/>
          <w:szCs w:val="24"/>
        </w:rPr>
        <w:t xml:space="preserve"> a lo precedentemente expuesto;</w:t>
      </w:r>
    </w:p>
    <w:p w:rsidR="007C5AB7" w:rsidRPr="007C5AB7" w:rsidRDefault="007C5AB7" w:rsidP="00EB106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7C5AB7">
        <w:rPr>
          <w:rFonts w:ascii="Arial" w:hAnsi="Arial" w:cs="Arial"/>
          <w:b/>
          <w:sz w:val="24"/>
          <w:szCs w:val="24"/>
        </w:rPr>
        <w:lastRenderedPageBreak/>
        <w:t>EL TRIBUNAL ACUERDA</w:t>
      </w:r>
    </w:p>
    <w:p w:rsidR="007C5AB7" w:rsidRDefault="00EB1068" w:rsidP="00EB1068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B1068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="007C5AB7" w:rsidRPr="007C5AB7">
        <w:rPr>
          <w:rFonts w:ascii="Arial" w:hAnsi="Arial" w:cs="Arial"/>
          <w:sz w:val="24"/>
          <w:szCs w:val="24"/>
        </w:rPr>
        <w:t>No formular observaciones a la Modificación de Recursos dispuesta</w:t>
      </w:r>
      <w:r w:rsidR="007C5AB7">
        <w:rPr>
          <w:rFonts w:ascii="Arial" w:hAnsi="Arial" w:cs="Arial"/>
          <w:sz w:val="24"/>
          <w:szCs w:val="24"/>
        </w:rPr>
        <w:t xml:space="preserve"> por el Decreto 6851/2015</w:t>
      </w:r>
    </w:p>
    <w:p w:rsidR="007C5AB7" w:rsidRPr="007C5AB7" w:rsidRDefault="00EB1068" w:rsidP="00EB106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B1068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="007C5AB7" w:rsidRPr="007C5AB7">
        <w:rPr>
          <w:rFonts w:ascii="Arial" w:hAnsi="Arial" w:cs="Arial"/>
          <w:sz w:val="24"/>
          <w:szCs w:val="24"/>
        </w:rPr>
        <w:t>Téngase presente lo expresado en el Considerando 3);</w:t>
      </w:r>
    </w:p>
    <w:p w:rsidR="007C5AB7" w:rsidRDefault="00EB1068" w:rsidP="00EB1068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EB1068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Comunicar la presente R</w:t>
      </w:r>
      <w:r w:rsidR="007C5AB7" w:rsidRPr="007C5AB7">
        <w:rPr>
          <w:rFonts w:ascii="Arial" w:hAnsi="Arial" w:cs="Arial"/>
          <w:sz w:val="24"/>
          <w:szCs w:val="24"/>
        </w:rPr>
        <w:t>esolución a la Junta Departamental de Salto.</w:t>
      </w:r>
      <w:r w:rsidRPr="007C5AB7">
        <w:rPr>
          <w:rFonts w:ascii="Arial" w:hAnsi="Arial" w:cs="Arial"/>
          <w:b/>
          <w:sz w:val="18"/>
          <w:szCs w:val="18"/>
        </w:rPr>
        <w:t xml:space="preserve"> </w:t>
      </w:r>
    </w:p>
    <w:p w:rsidR="00EB1068" w:rsidRDefault="00EB1068" w:rsidP="00EB1068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EB1068" w:rsidRDefault="00EB1068" w:rsidP="00EB1068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EB1068" w:rsidRDefault="00EB1068" w:rsidP="00EB1068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EB1068" w:rsidRDefault="00EB1068" w:rsidP="00EB1068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EB1068" w:rsidRPr="00EB1068" w:rsidRDefault="00EB1068" w:rsidP="00EB1068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EB1068" w:rsidRPr="00EB1068" w:rsidRDefault="00EB1068" w:rsidP="00EB1068">
      <w:pPr>
        <w:spacing w:after="0" w:line="360" w:lineRule="auto"/>
        <w:ind w:hanging="426"/>
        <w:jc w:val="both"/>
        <w:rPr>
          <w:rFonts w:ascii="Arial" w:hAnsi="Arial" w:cs="Arial"/>
          <w:sz w:val="24"/>
          <w:szCs w:val="24"/>
        </w:rPr>
      </w:pPr>
      <w:proofErr w:type="gramStart"/>
      <w:r w:rsidRPr="00EB1068">
        <w:rPr>
          <w:rFonts w:ascii="Arial" w:hAnsi="Arial" w:cs="Arial"/>
          <w:sz w:val="24"/>
          <w:szCs w:val="24"/>
        </w:rPr>
        <w:t>dc</w:t>
      </w:r>
      <w:proofErr w:type="gramEnd"/>
    </w:p>
    <w:sectPr w:rsidR="00EB1068" w:rsidRPr="00EB1068" w:rsidSect="00EB1068">
      <w:footerReference w:type="default" r:id="rId7"/>
      <w:pgSz w:w="11906" w:h="16838" w:code="9"/>
      <w:pgMar w:top="3402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87B" w:rsidRDefault="009D387B" w:rsidP="001136B0">
      <w:pPr>
        <w:spacing w:after="0" w:line="240" w:lineRule="auto"/>
      </w:pPr>
      <w:r>
        <w:separator/>
      </w:r>
    </w:p>
  </w:endnote>
  <w:endnote w:type="continuationSeparator" w:id="0">
    <w:p w:rsidR="009D387B" w:rsidRDefault="009D387B" w:rsidP="00113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8829980"/>
      <w:docPartObj>
        <w:docPartGallery w:val="Page Numbers (Bottom of Page)"/>
        <w:docPartUnique/>
      </w:docPartObj>
    </w:sdtPr>
    <w:sdtContent>
      <w:p w:rsidR="00EB1068" w:rsidRDefault="00EB1068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EB1068" w:rsidRDefault="00EB106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87B" w:rsidRDefault="009D387B" w:rsidP="001136B0">
      <w:pPr>
        <w:spacing w:after="0" w:line="240" w:lineRule="auto"/>
      </w:pPr>
      <w:r>
        <w:separator/>
      </w:r>
    </w:p>
  </w:footnote>
  <w:footnote w:type="continuationSeparator" w:id="0">
    <w:p w:rsidR="009D387B" w:rsidRDefault="009D387B" w:rsidP="001136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628"/>
    <w:rsid w:val="001136B0"/>
    <w:rsid w:val="00475827"/>
    <w:rsid w:val="004B187C"/>
    <w:rsid w:val="00590515"/>
    <w:rsid w:val="00646628"/>
    <w:rsid w:val="006B3695"/>
    <w:rsid w:val="00764799"/>
    <w:rsid w:val="007C5AB7"/>
    <w:rsid w:val="00875349"/>
    <w:rsid w:val="009D387B"/>
    <w:rsid w:val="00AB5DB3"/>
    <w:rsid w:val="00BA5293"/>
    <w:rsid w:val="00C80E6C"/>
    <w:rsid w:val="00D80BD7"/>
    <w:rsid w:val="00EB1068"/>
    <w:rsid w:val="00FC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8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36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36B0"/>
  </w:style>
  <w:style w:type="paragraph" w:styleId="Piedepgina">
    <w:name w:val="footer"/>
    <w:basedOn w:val="Normal"/>
    <w:link w:val="PiedepginaCar"/>
    <w:uiPriority w:val="99"/>
    <w:unhideWhenUsed/>
    <w:rsid w:val="001136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36B0"/>
  </w:style>
  <w:style w:type="character" w:styleId="Hipervnculo">
    <w:name w:val="Hyperlink"/>
    <w:basedOn w:val="Fuentedeprrafopredeter"/>
    <w:uiPriority w:val="99"/>
    <w:unhideWhenUsed/>
    <w:rsid w:val="007C5A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8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36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36B0"/>
  </w:style>
  <w:style w:type="paragraph" w:styleId="Piedepgina">
    <w:name w:val="footer"/>
    <w:basedOn w:val="Normal"/>
    <w:link w:val="PiedepginaCar"/>
    <w:uiPriority w:val="99"/>
    <w:unhideWhenUsed/>
    <w:rsid w:val="001136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36B0"/>
  </w:style>
  <w:style w:type="character" w:styleId="Hipervnculo">
    <w:name w:val="Hyperlink"/>
    <w:basedOn w:val="Fuentedeprrafopredeter"/>
    <w:uiPriority w:val="99"/>
    <w:unhideWhenUsed/>
    <w:rsid w:val="007C5A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517</Words>
  <Characters>2848</Characters>
  <Application>Microsoft Office Word</Application>
  <DocSecurity>4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2</cp:revision>
  <cp:lastPrinted>2016-01-11T13:13:00Z</cp:lastPrinted>
  <dcterms:created xsi:type="dcterms:W3CDTF">2016-01-11T13:13:00Z</dcterms:created>
  <dcterms:modified xsi:type="dcterms:W3CDTF">2016-01-11T13:13:00Z</dcterms:modified>
</cp:coreProperties>
</file>