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21E" w:rsidRPr="0021021E" w:rsidRDefault="0021021E" w:rsidP="00E559A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MX" w:eastAsia="es-ES"/>
        </w:rPr>
      </w:pPr>
      <w:r w:rsidRPr="0021021E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21021E" w:rsidRPr="0021021E" w:rsidRDefault="0021021E" w:rsidP="0021021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021E" w:rsidRPr="0021021E" w:rsidRDefault="0021021E" w:rsidP="0021021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021E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21021E" w:rsidRPr="0021021E" w:rsidRDefault="0021021E" w:rsidP="0021021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021E" w:rsidRPr="0021021E" w:rsidRDefault="0021021E" w:rsidP="0021021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21021E">
        <w:rPr>
          <w:rFonts w:ascii="Arial" w:hAnsi="Arial" w:cs="Arial"/>
          <w:b/>
          <w:sz w:val="24"/>
          <w:szCs w:val="24"/>
          <w:lang w:val="es-ES_tradnl"/>
        </w:rPr>
        <w:t>EN SESION DE FECHA 23 DE DICIEMBRE DE 2015</w:t>
      </w:r>
    </w:p>
    <w:p w:rsidR="0021021E" w:rsidRPr="0021021E" w:rsidRDefault="0021021E" w:rsidP="0021021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1021E" w:rsidRPr="0021021E" w:rsidRDefault="0021021E" w:rsidP="0021021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1021E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Pr="0021021E">
        <w:rPr>
          <w:rFonts w:ascii="Arial" w:hAnsi="Arial" w:cs="Arial"/>
          <w:b/>
          <w:bCs/>
          <w:sz w:val="24"/>
          <w:szCs w:val="24"/>
          <w:lang w:val="es-MX" w:eastAsia="es-ES"/>
        </w:rPr>
        <w:t>2015-17-1-0008473</w:t>
      </w:r>
      <w:r w:rsidRPr="0021021E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21021E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21021E">
        <w:rPr>
          <w:rFonts w:ascii="Arial" w:hAnsi="Arial" w:cs="Arial"/>
          <w:b/>
          <w:sz w:val="24"/>
          <w:szCs w:val="24"/>
          <w:lang w:val="en-US"/>
        </w:rPr>
        <w:t>. N°</w:t>
      </w:r>
      <w:r w:rsidRPr="0021021E">
        <w:rPr>
          <w:rFonts w:ascii="Arial" w:hAnsi="Arial" w:cs="Arial"/>
          <w:b/>
          <w:bCs/>
          <w:sz w:val="24"/>
          <w:szCs w:val="24"/>
          <w:lang w:val="es-MX" w:eastAsia="es-ES"/>
        </w:rPr>
        <w:t>6661/15</w:t>
      </w:r>
      <w:r w:rsidRPr="0021021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1021E" w:rsidRDefault="0021021E">
      <w:pPr>
        <w:spacing w:after="0" w:line="360" w:lineRule="auto"/>
        <w:jc w:val="both"/>
        <w:rPr>
          <w:rFonts w:ascii="Arial" w:hAnsi="Arial"/>
          <w:spacing w:val="-3"/>
          <w:lang w:val="en-US"/>
        </w:rPr>
      </w:pPr>
    </w:p>
    <w:p w:rsidR="00B661B5" w:rsidRDefault="00B661B5" w:rsidP="002102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VISTO: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las actuaciones remitidas por la Administración Nacional de Usinas y Transmisiones Eléctricas relacionadas con la Licitación Pública </w:t>
      </w:r>
      <w:r w:rsidR="0021021E">
        <w:rPr>
          <w:rFonts w:ascii="Arial" w:hAnsi="Arial" w:cs="Arial"/>
          <w:sz w:val="24"/>
          <w:szCs w:val="24"/>
          <w:lang w:val="es-MX" w:eastAsia="es-ES"/>
        </w:rPr>
        <w:t xml:space="preserve">          </w:t>
      </w:r>
      <w:r>
        <w:rPr>
          <w:rFonts w:ascii="Arial" w:hAnsi="Arial" w:cs="Arial"/>
          <w:sz w:val="24"/>
          <w:szCs w:val="24"/>
          <w:lang w:val="es-MX" w:eastAsia="es-ES"/>
        </w:rPr>
        <w:t>P 46881 para la contratación de servicio de desarrollo de proyectos de TIC, solicitado por la Gerencia Tecnológica de la Información y  Telecomunicaciones;</w:t>
      </w:r>
    </w:p>
    <w:p w:rsidR="00B661B5" w:rsidRDefault="00B661B5" w:rsidP="002102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RESULTANDO:   1) </w:t>
      </w:r>
      <w:r>
        <w:rPr>
          <w:rFonts w:ascii="Arial" w:hAnsi="Arial" w:cs="Arial"/>
          <w:sz w:val="24"/>
          <w:szCs w:val="24"/>
          <w:lang w:val="es-MX" w:eastAsia="es-ES"/>
        </w:rPr>
        <w:t>que cumplido el requisito legal de publicidad, con fecha 11</w:t>
      </w:r>
      <w:r w:rsidR="0021021E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08</w:t>
      </w:r>
      <w:r w:rsidR="0021021E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 xml:space="preserve">15, se procedió al </w:t>
      </w:r>
      <w:r w:rsidR="0021021E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cto de </w:t>
      </w:r>
      <w:r w:rsidR="0021021E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 xml:space="preserve">pertura de las propuestas al que se presentaron cuatro oferentes: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Neveland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S.A., Soluciones y Servicios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Indracompany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Uruguay S.A., Porto Varese S.A y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Hexa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Sistemas S.R.L.;</w:t>
      </w:r>
    </w:p>
    <w:p w:rsidR="00B661B5" w:rsidRDefault="00B661B5" w:rsidP="0021021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2) </w:t>
      </w:r>
      <w:r>
        <w:rPr>
          <w:rFonts w:ascii="Arial" w:hAnsi="Arial" w:cs="Arial"/>
          <w:sz w:val="24"/>
          <w:szCs w:val="24"/>
          <w:lang w:val="es-MX" w:eastAsia="es-ES"/>
        </w:rPr>
        <w:t>que con fecha 14</w:t>
      </w:r>
      <w:r w:rsidR="0021021E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09</w:t>
      </w:r>
      <w:r w:rsidR="0021021E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15, la Comisión Asesora de Adjudicaciones realizó un estudio de las ofertas presentadas y las calificó técnica y económicamente, estableciendo que todas se ajustan a las especificaciones del Pliego de Condiciones Particulares, otorgándoles la siguiente calificación final:</w:t>
      </w:r>
    </w:p>
    <w:p w:rsidR="00B661B5" w:rsidRDefault="00B661B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  <w:gridCol w:w="3225"/>
      </w:tblGrid>
      <w:tr w:rsidR="00B661B5">
        <w:trPr>
          <w:trHeight w:val="489"/>
        </w:trPr>
        <w:tc>
          <w:tcPr>
            <w:tcW w:w="3225" w:type="dxa"/>
            <w:vAlign w:val="center"/>
          </w:tcPr>
          <w:p w:rsidR="00B661B5" w:rsidRDefault="00B661B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EMPRESA</w:t>
            </w:r>
          </w:p>
        </w:tc>
        <w:tc>
          <w:tcPr>
            <w:tcW w:w="3225" w:type="dxa"/>
            <w:vAlign w:val="center"/>
          </w:tcPr>
          <w:p w:rsidR="00B661B5" w:rsidRDefault="00B661B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 w:eastAsia="es-ES"/>
              </w:rPr>
            </w:pPr>
            <w:r>
              <w:rPr>
                <w:rFonts w:ascii="Arial" w:hAnsi="Arial" w:cs="Arial"/>
                <w:sz w:val="24"/>
                <w:szCs w:val="24"/>
                <w:lang w:val="es-MX" w:eastAsia="es-ES"/>
              </w:rPr>
              <w:t>CALIFICACIÓN FINAL</w:t>
            </w:r>
          </w:p>
        </w:tc>
      </w:tr>
      <w:tr w:rsidR="00B661B5">
        <w:trPr>
          <w:trHeight w:val="489"/>
        </w:trPr>
        <w:tc>
          <w:tcPr>
            <w:tcW w:w="3225" w:type="dxa"/>
            <w:vAlign w:val="center"/>
          </w:tcPr>
          <w:p w:rsidR="00B661B5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>Porto Varese S.A</w:t>
            </w:r>
          </w:p>
        </w:tc>
        <w:tc>
          <w:tcPr>
            <w:tcW w:w="3225" w:type="dxa"/>
            <w:vAlign w:val="center"/>
          </w:tcPr>
          <w:p w:rsidR="00B661B5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>100</w:t>
            </w:r>
          </w:p>
        </w:tc>
      </w:tr>
      <w:tr w:rsidR="00B661B5">
        <w:trPr>
          <w:trHeight w:val="507"/>
        </w:trPr>
        <w:tc>
          <w:tcPr>
            <w:tcW w:w="3225" w:type="dxa"/>
            <w:vAlign w:val="center"/>
          </w:tcPr>
          <w:p w:rsidR="00B661B5" w:rsidRPr="00F17294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 xml:space="preserve">Sol.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>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>Serv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 xml:space="preserve">. </w:t>
            </w:r>
            <w:proofErr w:type="spellStart"/>
            <w:r w:rsidRPr="00F17294">
              <w:rPr>
                <w:rFonts w:ascii="Arial" w:hAnsi="Arial" w:cs="Arial"/>
                <w:sz w:val="20"/>
                <w:szCs w:val="20"/>
                <w:lang w:eastAsia="es-ES"/>
              </w:rPr>
              <w:t>Indracompany</w:t>
            </w:r>
            <w:proofErr w:type="spellEnd"/>
            <w:r w:rsidRPr="00F17294">
              <w:rPr>
                <w:rFonts w:ascii="Arial" w:hAnsi="Arial" w:cs="Arial"/>
                <w:sz w:val="20"/>
                <w:szCs w:val="20"/>
                <w:lang w:eastAsia="es-ES"/>
              </w:rPr>
              <w:t xml:space="preserve"> Uruguay S.A</w:t>
            </w:r>
          </w:p>
        </w:tc>
        <w:tc>
          <w:tcPr>
            <w:tcW w:w="3225" w:type="dxa"/>
            <w:vAlign w:val="center"/>
          </w:tcPr>
          <w:p w:rsidR="00B661B5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>96,92</w:t>
            </w:r>
          </w:p>
        </w:tc>
      </w:tr>
      <w:tr w:rsidR="00B661B5">
        <w:trPr>
          <w:trHeight w:val="489"/>
        </w:trPr>
        <w:tc>
          <w:tcPr>
            <w:tcW w:w="3225" w:type="dxa"/>
            <w:vAlign w:val="center"/>
          </w:tcPr>
          <w:p w:rsidR="00B661B5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val="es-MX"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>Hexa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 xml:space="preserve"> Sistemas S.R.L</w:t>
            </w:r>
          </w:p>
        </w:tc>
        <w:tc>
          <w:tcPr>
            <w:tcW w:w="3225" w:type="dxa"/>
            <w:vAlign w:val="center"/>
          </w:tcPr>
          <w:p w:rsidR="00B661B5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s-ES"/>
              </w:rPr>
              <w:t>92,43</w:t>
            </w:r>
          </w:p>
        </w:tc>
      </w:tr>
      <w:tr w:rsidR="00B661B5">
        <w:trPr>
          <w:trHeight w:val="507"/>
        </w:trPr>
        <w:tc>
          <w:tcPr>
            <w:tcW w:w="3225" w:type="dxa"/>
            <w:vAlign w:val="center"/>
          </w:tcPr>
          <w:p w:rsidR="00B661B5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es-ES"/>
              </w:rPr>
              <w:t>Neveland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es-ES"/>
              </w:rPr>
              <w:t xml:space="preserve"> S.A</w:t>
            </w:r>
          </w:p>
        </w:tc>
        <w:tc>
          <w:tcPr>
            <w:tcW w:w="3225" w:type="dxa"/>
            <w:vAlign w:val="center"/>
          </w:tcPr>
          <w:p w:rsidR="00B661B5" w:rsidRDefault="00B661B5" w:rsidP="00E559A7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  <w:lang w:val="es-MX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MX" w:eastAsia="es-ES"/>
              </w:rPr>
              <w:t>92,22</w:t>
            </w:r>
          </w:p>
        </w:tc>
      </w:tr>
    </w:tbl>
    <w:p w:rsidR="00B661B5" w:rsidRDefault="00B661B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bookmarkStart w:id="0" w:name="_GoBack"/>
      <w:bookmarkEnd w:id="0"/>
    </w:p>
    <w:p w:rsidR="00B661B5" w:rsidRDefault="00B661B5" w:rsidP="0021021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lastRenderedPageBreak/>
        <w:t xml:space="preserve">3)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que basándose en lo establecido en el </w:t>
      </w:r>
      <w:r w:rsidR="0021021E">
        <w:rPr>
          <w:rFonts w:ascii="Arial" w:hAnsi="Arial" w:cs="Arial"/>
          <w:sz w:val="24"/>
          <w:szCs w:val="24"/>
          <w:lang w:val="es-MX" w:eastAsia="es-ES"/>
        </w:rPr>
        <w:t>N</w:t>
      </w:r>
      <w:r>
        <w:rPr>
          <w:rFonts w:ascii="Arial" w:hAnsi="Arial" w:cs="Arial"/>
          <w:sz w:val="24"/>
          <w:szCs w:val="24"/>
          <w:lang w:val="es-MX" w:eastAsia="es-ES"/>
        </w:rPr>
        <w:t xml:space="preserve">umeral 5.3 Parte I del Pliego de Condiciones Particulares y en la calificación final de cada firma, la Comisión Asesora de Adjudicaciones propuso dividir la adjudicación de la siguiente manera: 40% a Porto Varese S.A; 25 % a Soluciones y Servicios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Indracompany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Uruguay S.A.; 20% 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Hexa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Sistemas S.R.L.; y 15% 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Neveland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S.A.;</w:t>
      </w:r>
    </w:p>
    <w:p w:rsidR="00B661B5" w:rsidRDefault="00B661B5" w:rsidP="0021021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4)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con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>fecha 16</w:t>
      </w:r>
      <w:r w:rsidR="00291EF6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09</w:t>
      </w:r>
      <w:r w:rsidR="00291EF6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 xml:space="preserve">15, el Departamento de Registro y Control Presupuestal informó que el Grupo 2 ha sido imputado sin disponibilidad presupuestal suficiente para comprometer el monto de </w:t>
      </w:r>
      <w:r w:rsidR="00291EF6">
        <w:rPr>
          <w:rFonts w:ascii="Arial" w:hAnsi="Arial" w:cs="Arial"/>
          <w:sz w:val="24"/>
          <w:szCs w:val="24"/>
          <w:lang w:val="es-MX" w:eastAsia="es-ES"/>
        </w:rPr>
        <w:t xml:space="preserve">                </w:t>
      </w:r>
      <w:r>
        <w:rPr>
          <w:rFonts w:ascii="Arial" w:hAnsi="Arial" w:cs="Arial"/>
          <w:sz w:val="24"/>
          <w:szCs w:val="24"/>
          <w:lang w:val="es-MX" w:eastAsia="es-ES"/>
        </w:rPr>
        <w:t>$ 104:507.800,00 (neto de impuestos) en el Ejercicio 2015 y ejecutar en el Ejercicio 2016 y siguiente;</w:t>
      </w:r>
    </w:p>
    <w:p w:rsidR="00B661B5" w:rsidRDefault="00B661B5" w:rsidP="0021021E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 xml:space="preserve">5) </w:t>
      </w:r>
      <w:r>
        <w:rPr>
          <w:rFonts w:ascii="Arial" w:hAnsi="Arial" w:cs="Arial"/>
          <w:sz w:val="24"/>
          <w:szCs w:val="24"/>
          <w:lang w:val="es-MX" w:eastAsia="es-ES"/>
        </w:rPr>
        <w:t>que por Resolución N° 15.2585 de fecha 19</w:t>
      </w:r>
      <w:r w:rsidR="00291EF6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11</w:t>
      </w:r>
      <w:r w:rsidR="00291EF6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 xml:space="preserve">15 el Directorio dispuso adjudicar en la forma propuesta por los montos de </w:t>
      </w:r>
      <w:r w:rsidR="00291EF6">
        <w:rPr>
          <w:rFonts w:ascii="Arial" w:hAnsi="Arial" w:cs="Arial"/>
          <w:sz w:val="24"/>
          <w:szCs w:val="24"/>
          <w:lang w:val="es-MX" w:eastAsia="es-ES"/>
        </w:rPr>
        <w:t xml:space="preserve">           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$ 50:999.806,40 a Porto Varese S.A.; de $ 31:874.879,00 a Soluciones y Servicios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Indracompany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Uruguay S.A.; de $ 25:499.903,20 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Hexa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Sistemas S.R.L; y  de $ 19:124.927,40 a </w:t>
      </w:r>
      <w:proofErr w:type="spellStart"/>
      <w:r>
        <w:rPr>
          <w:rFonts w:ascii="Arial" w:hAnsi="Arial" w:cs="Arial"/>
          <w:sz w:val="24"/>
          <w:szCs w:val="24"/>
          <w:lang w:val="es-MX" w:eastAsia="es-ES"/>
        </w:rPr>
        <w:t>Neveland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 S.A., ascendiendo el total de la negociación a $ 127:499.516,00 (con previsión por ajuste de precios e IVA incluidos);</w:t>
      </w:r>
    </w:p>
    <w:p w:rsidR="00B661B5" w:rsidRDefault="00B661B5" w:rsidP="002102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CONSIDERANDO: 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la Resolución N° 15.2585 de fecha 19</w:t>
      </w:r>
      <w:r w:rsidR="00291EF6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>11</w:t>
      </w:r>
      <w:r w:rsidR="00291EF6">
        <w:rPr>
          <w:rFonts w:ascii="Arial" w:hAnsi="Arial" w:cs="Arial"/>
          <w:sz w:val="24"/>
          <w:szCs w:val="24"/>
          <w:lang w:val="es-MX" w:eastAsia="es-ES"/>
        </w:rPr>
        <w:t>/</w:t>
      </w:r>
      <w:r>
        <w:rPr>
          <w:rFonts w:ascii="Arial" w:hAnsi="Arial" w:cs="Arial"/>
          <w:sz w:val="24"/>
          <w:szCs w:val="24"/>
          <w:lang w:val="es-MX" w:eastAsia="es-ES"/>
        </w:rPr>
        <w:t xml:space="preserve">15 dispuso dividir la adjudicación entre las cuatro firmas proponentes, sin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esgrimir los fundamentos que sustentan su proceder, contraviniéndose lo establecido en </w:t>
      </w:r>
      <w:proofErr w:type="spellStart"/>
      <w:r>
        <w:rPr>
          <w:rFonts w:ascii="Arial" w:hAnsi="Arial" w:cs="Arial"/>
          <w:sz w:val="24"/>
          <w:szCs w:val="24"/>
          <w:lang w:val="es-ES" w:eastAsia="es-ES"/>
        </w:rPr>
        <w:t>el</w:t>
      </w:r>
      <w:r w:rsidR="00291EF6">
        <w:rPr>
          <w:rFonts w:ascii="Arial" w:hAnsi="Arial" w:cs="Arial"/>
          <w:sz w:val="24"/>
          <w:szCs w:val="24"/>
          <w:lang w:val="es-ES" w:eastAsia="es-ES"/>
        </w:rPr>
        <w:t>N</w:t>
      </w:r>
      <w:proofErr w:type="spellEnd"/>
      <w:r>
        <w:rPr>
          <w:rFonts w:ascii="Arial" w:hAnsi="Arial" w:cs="Arial"/>
          <w:sz w:val="24"/>
          <w:szCs w:val="24"/>
          <w:lang w:val="es-MX" w:eastAsia="es-ES"/>
        </w:rPr>
        <w:t xml:space="preserve">numeral 9.1 Parte II del Pliego de Condiciones Generales para Adquisiciones de Suministros y Servicios, que requiere que la Administración exprese razones fundadas para dividir la adjudicación </w:t>
      </w:r>
      <w:r>
        <w:rPr>
          <w:rFonts w:ascii="Arial" w:hAnsi="Arial" w:cs="Arial"/>
          <w:sz w:val="24"/>
          <w:szCs w:val="24"/>
          <w:lang w:val="es-ES" w:eastAsia="es-ES"/>
        </w:rPr>
        <w:t>y el Decreto 500/991 de 27</w:t>
      </w:r>
      <w:r w:rsidR="00291EF6">
        <w:rPr>
          <w:rFonts w:ascii="Arial" w:hAnsi="Arial" w:cs="Arial"/>
          <w:sz w:val="24"/>
          <w:szCs w:val="24"/>
          <w:lang w:val="es-ES" w:eastAsia="es-ES"/>
        </w:rPr>
        <w:t>/</w:t>
      </w:r>
      <w:r>
        <w:rPr>
          <w:rFonts w:ascii="Arial" w:hAnsi="Arial" w:cs="Arial"/>
          <w:sz w:val="24"/>
          <w:szCs w:val="24"/>
          <w:lang w:val="es-ES" w:eastAsia="es-ES"/>
        </w:rPr>
        <w:t>09</w:t>
      </w:r>
      <w:r w:rsidR="00291EF6">
        <w:rPr>
          <w:rFonts w:ascii="Arial" w:hAnsi="Arial" w:cs="Arial"/>
          <w:sz w:val="24"/>
          <w:szCs w:val="24"/>
          <w:lang w:val="es-ES" w:eastAsia="es-ES"/>
        </w:rPr>
        <w:t>/</w:t>
      </w:r>
      <w:r>
        <w:rPr>
          <w:rFonts w:ascii="Arial" w:hAnsi="Arial" w:cs="Arial"/>
          <w:sz w:val="24"/>
          <w:szCs w:val="24"/>
          <w:lang w:val="es-ES" w:eastAsia="es-ES"/>
        </w:rPr>
        <w:t>91, que establece que “Todo acto administrativo deberá ser motivado, explicándose las razones de hecho y de derecho que lo fundamentan”;</w:t>
      </w:r>
    </w:p>
    <w:p w:rsidR="00B661B5" w:rsidRDefault="00B661B5" w:rsidP="0021021E">
      <w:pPr>
        <w:spacing w:after="0" w:line="360" w:lineRule="auto"/>
        <w:ind w:firstLine="3119"/>
        <w:jc w:val="both"/>
        <w:rPr>
          <w:rFonts w:ascii="Arial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>2)</w:t>
      </w:r>
      <w:r>
        <w:rPr>
          <w:rFonts w:ascii="Arial" w:hAnsi="Arial" w:cs="Arial"/>
          <w:sz w:val="24"/>
          <w:szCs w:val="24"/>
          <w:lang w:val="es-ES" w:eastAsia="es-ES"/>
        </w:rPr>
        <w:t xml:space="preserve"> que asimismo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se contravino lo dispuesto por el </w:t>
      </w:r>
      <w:r w:rsidR="00291EF6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rtículo 15 del TOCAF, al comprometerse un gasto sin disponibilidad presupuestal suficiente en el rubro de imputación para atenderlo;</w:t>
      </w:r>
    </w:p>
    <w:p w:rsidR="00B661B5" w:rsidRDefault="00B661B5" w:rsidP="002102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b/>
          <w:bCs/>
          <w:sz w:val="24"/>
          <w:szCs w:val="24"/>
          <w:lang w:val="es-ES" w:eastAsia="es-ES"/>
        </w:rPr>
        <w:t xml:space="preserve">ATENTO: </w:t>
      </w:r>
      <w:r>
        <w:rPr>
          <w:rFonts w:ascii="Arial" w:hAnsi="Arial" w:cs="Arial"/>
          <w:sz w:val="24"/>
          <w:szCs w:val="24"/>
          <w:lang w:val="es-ES" w:eastAsia="es-ES"/>
        </w:rPr>
        <w:t xml:space="preserve">a lo expuesto y a lo dispuesto por el  </w:t>
      </w:r>
      <w:r w:rsidR="00291EF6">
        <w:rPr>
          <w:rFonts w:ascii="Arial" w:hAnsi="Arial" w:cs="Arial"/>
          <w:sz w:val="24"/>
          <w:szCs w:val="24"/>
          <w:lang w:val="es-ES" w:eastAsia="es-ES"/>
        </w:rPr>
        <w:t>A</w:t>
      </w:r>
      <w:r>
        <w:rPr>
          <w:rFonts w:ascii="Arial" w:hAnsi="Arial" w:cs="Arial"/>
          <w:sz w:val="24"/>
          <w:szCs w:val="24"/>
          <w:lang w:val="es-ES" w:eastAsia="es-ES"/>
        </w:rPr>
        <w:t xml:space="preserve">rtículo 211 </w:t>
      </w:r>
      <w:r w:rsidR="00291EF6">
        <w:rPr>
          <w:rFonts w:ascii="Arial" w:hAnsi="Arial" w:cs="Arial"/>
          <w:sz w:val="24"/>
          <w:szCs w:val="24"/>
          <w:lang w:val="es-ES" w:eastAsia="es-ES"/>
        </w:rPr>
        <w:t>L</w:t>
      </w:r>
      <w:r>
        <w:rPr>
          <w:rFonts w:ascii="Arial" w:hAnsi="Arial" w:cs="Arial"/>
          <w:sz w:val="24"/>
          <w:szCs w:val="24"/>
          <w:lang w:val="es-ES" w:eastAsia="es-ES"/>
        </w:rPr>
        <w:t>iteral B) de la Constitución de la República;</w:t>
      </w:r>
    </w:p>
    <w:p w:rsidR="00B661B5" w:rsidRPr="0021021E" w:rsidRDefault="00B661B5" w:rsidP="0021021E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B661B5" w:rsidRDefault="00B661B5" w:rsidP="002102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lastRenderedPageBreak/>
        <w:t>Observar el gasto</w:t>
      </w:r>
      <w:r w:rsidR="0021021E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B661B5" w:rsidRDefault="00B661B5" w:rsidP="002102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Devolver las actuaciones.</w:t>
      </w:r>
    </w:p>
    <w:p w:rsidR="00B661B5" w:rsidRDefault="00B661B5" w:rsidP="0021021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B661B5" w:rsidRDefault="0021021E" w:rsidP="0021021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bf</w:t>
      </w:r>
      <w:proofErr w:type="spellEnd"/>
      <w:proofErr w:type="gramEnd"/>
    </w:p>
    <w:sectPr w:rsidR="00B661B5" w:rsidSect="0021021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29D"/>
    <w:multiLevelType w:val="hybridMultilevel"/>
    <w:tmpl w:val="029A3C40"/>
    <w:lvl w:ilvl="0" w:tplc="DD06B4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B5"/>
    <w:rsid w:val="0021021E"/>
    <w:rsid w:val="00291EF6"/>
    <w:rsid w:val="00B661B5"/>
    <w:rsid w:val="00E559A7"/>
    <w:rsid w:val="00F1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</vt:lpstr>
    </vt:vector>
  </TitlesOfParts>
  <Company>Tribunal de Cuentas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BEATRIZ FERNANDEZ</cp:lastModifiedBy>
  <cp:revision>2</cp:revision>
  <cp:lastPrinted>2015-12-15T12:45:00Z</cp:lastPrinted>
  <dcterms:created xsi:type="dcterms:W3CDTF">2015-12-28T16:39:00Z</dcterms:created>
  <dcterms:modified xsi:type="dcterms:W3CDTF">2015-12-28T16:39:00Z</dcterms:modified>
</cp:coreProperties>
</file>