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F5" w:rsidRPr="00762CF5" w:rsidRDefault="00762CF5" w:rsidP="00D7695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CF5">
        <w:rPr>
          <w:rFonts w:cs="Arial"/>
          <w:b/>
          <w:lang w:val="es-ES_tradnl"/>
        </w:rPr>
        <w:t>RESOLUCION ADOPTADA POR EL</w:t>
      </w:r>
    </w:p>
    <w:p w:rsidR="00762CF5" w:rsidRPr="00762CF5" w:rsidRDefault="00762CF5" w:rsidP="00762CF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62CF5" w:rsidRPr="00762CF5" w:rsidRDefault="00762CF5" w:rsidP="00762CF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CF5">
        <w:rPr>
          <w:rFonts w:cs="Arial"/>
          <w:b/>
          <w:lang w:val="es-ES_tradnl"/>
        </w:rPr>
        <w:t>TRIBUNAL DE CUENTAS</w:t>
      </w:r>
    </w:p>
    <w:p w:rsidR="00762CF5" w:rsidRPr="00762CF5" w:rsidRDefault="00762CF5" w:rsidP="00762CF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62CF5" w:rsidRPr="00762CF5" w:rsidRDefault="00762CF5" w:rsidP="00762CF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CF5">
        <w:rPr>
          <w:rFonts w:cs="Arial"/>
          <w:b/>
          <w:lang w:val="es-ES_tradnl"/>
        </w:rPr>
        <w:t>EN SESION DE FECHA 23 DE DICIEMBRE DE 2015</w:t>
      </w:r>
    </w:p>
    <w:p w:rsidR="00762CF5" w:rsidRPr="00762CF5" w:rsidRDefault="00762CF5" w:rsidP="00762CF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762CF5" w:rsidRPr="00D7695D" w:rsidRDefault="00762CF5" w:rsidP="00762CF5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D7695D">
        <w:rPr>
          <w:rFonts w:cs="Arial"/>
          <w:b/>
          <w:lang w:val="es-UY"/>
        </w:rPr>
        <w:t xml:space="preserve">(E. E. Nº </w:t>
      </w:r>
      <w:r w:rsidRPr="00762CF5">
        <w:rPr>
          <w:rFonts w:cs="Arial"/>
          <w:b/>
          <w:bCs/>
          <w:lang w:val="es-MX"/>
        </w:rPr>
        <w:t>2015-17-1-0008246</w:t>
      </w:r>
      <w:r w:rsidRPr="00D7695D">
        <w:rPr>
          <w:rFonts w:cs="Arial"/>
          <w:b/>
          <w:lang w:val="es-UY"/>
        </w:rPr>
        <w:t xml:space="preserve">, </w:t>
      </w:r>
      <w:proofErr w:type="spellStart"/>
      <w:r w:rsidRPr="00D7695D">
        <w:rPr>
          <w:rFonts w:cs="Arial"/>
          <w:b/>
          <w:lang w:val="es-UY"/>
        </w:rPr>
        <w:t>Ent</w:t>
      </w:r>
      <w:proofErr w:type="spellEnd"/>
      <w:r w:rsidRPr="00D7695D">
        <w:rPr>
          <w:rFonts w:cs="Arial"/>
          <w:b/>
          <w:lang w:val="es-UY"/>
        </w:rPr>
        <w:t xml:space="preserve">. N° </w:t>
      </w:r>
      <w:r w:rsidRPr="00762CF5">
        <w:rPr>
          <w:rFonts w:cs="Arial"/>
          <w:b/>
          <w:lang w:val="es-MX"/>
        </w:rPr>
        <w:t>6494/15</w:t>
      </w:r>
      <w:r w:rsidRPr="00D7695D">
        <w:rPr>
          <w:rFonts w:cs="Arial"/>
          <w:b/>
          <w:lang w:val="es-UY"/>
        </w:rPr>
        <w:t>)</w:t>
      </w:r>
    </w:p>
    <w:p w:rsidR="00762CF5" w:rsidRPr="00D7695D" w:rsidRDefault="00762CF5" w:rsidP="00762CF5">
      <w:pPr>
        <w:tabs>
          <w:tab w:val="center" w:pos="4253"/>
        </w:tabs>
        <w:suppressAutoHyphens/>
        <w:jc w:val="center"/>
        <w:rPr>
          <w:rFonts w:cs="Arial"/>
          <w:spacing w:val="-3"/>
          <w:lang w:val="es-UY"/>
        </w:rPr>
      </w:pPr>
    </w:p>
    <w:p w:rsidR="00762CF5" w:rsidRPr="00D7695D" w:rsidRDefault="00762CF5" w:rsidP="00762CF5">
      <w:pPr>
        <w:tabs>
          <w:tab w:val="center" w:pos="4253"/>
        </w:tabs>
        <w:suppressAutoHyphens/>
        <w:jc w:val="center"/>
        <w:rPr>
          <w:rFonts w:cs="Arial"/>
          <w:spacing w:val="-3"/>
          <w:lang w:val="es-UY"/>
        </w:rPr>
      </w:pPr>
    </w:p>
    <w:p w:rsidR="00A0393A" w:rsidRDefault="00A0393A" w:rsidP="00762CF5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b/>
          <w:lang w:val="es-MX"/>
        </w:rPr>
        <w:t>VISTO:</w:t>
      </w:r>
      <w:r>
        <w:rPr>
          <w:lang w:val="es-MX"/>
        </w:rPr>
        <w:t xml:space="preserve"> las actuaciones remitidas por la Administración de las Obras Sanitarias del Estado, relacionadas con la Licitación Pública Internacional </w:t>
      </w:r>
      <w:r w:rsidR="00D7695D">
        <w:rPr>
          <w:lang w:val="es-MX"/>
        </w:rPr>
        <w:t xml:space="preserve">      </w:t>
      </w:r>
      <w:r>
        <w:rPr>
          <w:lang w:val="es-MX"/>
        </w:rPr>
        <w:t xml:space="preserve">N° </w:t>
      </w:r>
      <w:r>
        <w:rPr>
          <w:rFonts w:cs="Arial"/>
          <w:lang w:val="es-MX"/>
        </w:rPr>
        <w:t>15.292 para la detección y reducción de agua no contabilizada en la cuidad de Rivera, en el marco del Proyecto financiado con el Préstamo N° 8183 UR –OSE Sustentable y Eficiente;</w:t>
      </w:r>
    </w:p>
    <w:p w:rsidR="00A0393A" w:rsidRDefault="00762CF5" w:rsidP="00762CF5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RESULTANDO</w:t>
      </w:r>
      <w:proofErr w:type="gramStart"/>
      <w:r>
        <w:rPr>
          <w:rFonts w:cs="Arial"/>
          <w:b/>
          <w:lang w:val="es-MX"/>
        </w:rPr>
        <w:t xml:space="preserve">:  </w:t>
      </w:r>
      <w:r w:rsidR="00A0393A">
        <w:rPr>
          <w:rFonts w:cs="Arial"/>
          <w:b/>
          <w:lang w:val="es-MX"/>
        </w:rPr>
        <w:t>1</w:t>
      </w:r>
      <w:proofErr w:type="gramEnd"/>
      <w:r w:rsidR="00A0393A">
        <w:rPr>
          <w:rFonts w:cs="Arial"/>
          <w:b/>
          <w:lang w:val="es-MX"/>
        </w:rPr>
        <w:t xml:space="preserve">) </w:t>
      </w:r>
      <w:r w:rsidR="00A0393A">
        <w:rPr>
          <w:rFonts w:cs="Arial"/>
          <w:lang w:val="es-MX"/>
        </w:rPr>
        <w:t xml:space="preserve">que cumplido el requisito legal de publicidad, con fecha </w:t>
      </w:r>
      <w:r w:rsidR="00A0393A" w:rsidRPr="00452615">
        <w:rPr>
          <w:lang w:val="es-MX"/>
        </w:rPr>
        <w:t>05</w:t>
      </w:r>
      <w:r w:rsidR="00D7695D">
        <w:rPr>
          <w:lang w:val="es-MX"/>
        </w:rPr>
        <w:t>/</w:t>
      </w:r>
      <w:r w:rsidR="00A0393A" w:rsidRPr="00452615">
        <w:rPr>
          <w:lang w:val="es-MX"/>
        </w:rPr>
        <w:t>05</w:t>
      </w:r>
      <w:r w:rsidR="00D7695D">
        <w:rPr>
          <w:lang w:val="es-MX"/>
        </w:rPr>
        <w:t>/</w:t>
      </w:r>
      <w:r w:rsidR="00A0393A" w:rsidRPr="00452615">
        <w:rPr>
          <w:lang w:val="es-MX"/>
        </w:rPr>
        <w:t>15</w:t>
      </w:r>
      <w:r w:rsidR="00A0393A">
        <w:rPr>
          <w:rFonts w:cs="Arial"/>
          <w:lang w:val="es-MX"/>
        </w:rPr>
        <w:t xml:space="preserve">, se procedió al </w:t>
      </w:r>
      <w:r w:rsidR="00D7695D">
        <w:rPr>
          <w:rFonts w:cs="Arial"/>
          <w:lang w:val="es-MX"/>
        </w:rPr>
        <w:t>A</w:t>
      </w:r>
      <w:r w:rsidR="00A0393A">
        <w:rPr>
          <w:rFonts w:cs="Arial"/>
          <w:lang w:val="es-MX"/>
        </w:rPr>
        <w:t xml:space="preserve">cto de </w:t>
      </w:r>
      <w:r w:rsidR="00D7695D">
        <w:rPr>
          <w:rFonts w:cs="Arial"/>
          <w:lang w:val="es-MX"/>
        </w:rPr>
        <w:t>A</w:t>
      </w:r>
      <w:r w:rsidR="00A0393A">
        <w:rPr>
          <w:rFonts w:cs="Arial"/>
          <w:lang w:val="es-MX"/>
        </w:rPr>
        <w:t xml:space="preserve">pertura de las ofertas, al que se presentaron tres oferentes: </w:t>
      </w:r>
      <w:proofErr w:type="spellStart"/>
      <w:r w:rsidR="00A0393A" w:rsidRPr="00A0393A">
        <w:rPr>
          <w:lang w:val="es-UY"/>
        </w:rPr>
        <w:t>Stiler</w:t>
      </w:r>
      <w:proofErr w:type="spellEnd"/>
      <w:r w:rsidR="00A0393A" w:rsidRPr="00A0393A">
        <w:rPr>
          <w:lang w:val="es-UY"/>
        </w:rPr>
        <w:t xml:space="preserve"> </w:t>
      </w:r>
      <w:r w:rsidR="009F26C7">
        <w:rPr>
          <w:lang w:val="es-UY"/>
        </w:rPr>
        <w:t>S.A.,</w:t>
      </w:r>
      <w:r w:rsidR="00A0393A">
        <w:rPr>
          <w:lang w:val="es-UY"/>
        </w:rPr>
        <w:t xml:space="preserve"> </w:t>
      </w:r>
      <w:proofErr w:type="spellStart"/>
      <w:r w:rsidR="00A0393A" w:rsidRPr="00A0393A">
        <w:rPr>
          <w:lang w:val="es-UY"/>
        </w:rPr>
        <w:t>Teyma</w:t>
      </w:r>
      <w:proofErr w:type="spellEnd"/>
      <w:r w:rsidR="00A0393A" w:rsidRPr="00A0393A">
        <w:rPr>
          <w:lang w:val="es-UY"/>
        </w:rPr>
        <w:t xml:space="preserve"> Uruguay S.A.</w:t>
      </w:r>
      <w:r w:rsidR="00A0393A">
        <w:rPr>
          <w:lang w:val="es-UY"/>
        </w:rPr>
        <w:t xml:space="preserve"> y </w:t>
      </w:r>
      <w:proofErr w:type="spellStart"/>
      <w:r w:rsidR="00A0393A">
        <w:rPr>
          <w:lang w:val="es-MX"/>
        </w:rPr>
        <w:t>Montelecnor</w:t>
      </w:r>
      <w:proofErr w:type="spellEnd"/>
      <w:r w:rsidR="00A0393A">
        <w:rPr>
          <w:lang w:val="es-MX"/>
        </w:rPr>
        <w:t xml:space="preserve"> S.A.</w:t>
      </w:r>
      <w:r w:rsidR="00A0393A">
        <w:rPr>
          <w:rFonts w:cs="Arial"/>
          <w:lang w:val="es-MX"/>
        </w:rPr>
        <w:t>;</w:t>
      </w:r>
    </w:p>
    <w:p w:rsidR="00A0393A" w:rsidRDefault="00A0393A" w:rsidP="00762CF5">
      <w:pPr>
        <w:spacing w:line="360" w:lineRule="auto"/>
        <w:ind w:firstLine="2835"/>
        <w:jc w:val="both"/>
        <w:rPr>
          <w:bCs/>
          <w:lang w:val="es-MX"/>
        </w:rPr>
      </w:pPr>
      <w:r>
        <w:rPr>
          <w:b/>
          <w:lang w:val="es-MX"/>
        </w:rPr>
        <w:t xml:space="preserve">2) </w:t>
      </w:r>
      <w:r>
        <w:rPr>
          <w:lang w:val="es-MX"/>
        </w:rPr>
        <w:t>que efectuado el análisis primario de las ofertas presentadas, l</w:t>
      </w:r>
      <w:r>
        <w:rPr>
          <w:bCs/>
          <w:lang w:val="es-MX"/>
        </w:rPr>
        <w:t>a Comisión  Asesora de Adjudicaci</w:t>
      </w:r>
      <w:r w:rsidR="009F26C7">
        <w:rPr>
          <w:bCs/>
          <w:lang w:val="es-MX"/>
        </w:rPr>
        <w:t xml:space="preserve">ones informo que no se </w:t>
      </w:r>
      <w:r w:rsidR="00D7695D">
        <w:rPr>
          <w:bCs/>
          <w:lang w:val="es-MX"/>
        </w:rPr>
        <w:t>advirtieron</w:t>
      </w:r>
      <w:r>
        <w:rPr>
          <w:bCs/>
          <w:lang w:val="es-MX"/>
        </w:rPr>
        <w:t xml:space="preserve"> apartamientos sustanciales a las exigencias formales del Pliego de Condiciones Particulares y con fecha 15</w:t>
      </w:r>
      <w:r w:rsidR="00D7695D">
        <w:rPr>
          <w:bCs/>
          <w:lang w:val="es-MX"/>
        </w:rPr>
        <w:t>/</w:t>
      </w:r>
      <w:r>
        <w:rPr>
          <w:bCs/>
          <w:lang w:val="es-MX"/>
        </w:rPr>
        <w:t>06</w:t>
      </w:r>
      <w:r w:rsidR="00D7695D">
        <w:rPr>
          <w:bCs/>
          <w:lang w:val="es-MX"/>
        </w:rPr>
        <w:t>/</w:t>
      </w:r>
      <w:r>
        <w:rPr>
          <w:bCs/>
          <w:lang w:val="es-MX"/>
        </w:rPr>
        <w:t>15</w:t>
      </w:r>
      <w:r w:rsidR="009F26C7">
        <w:rPr>
          <w:bCs/>
          <w:lang w:val="es-MX"/>
        </w:rPr>
        <w:t>,</w:t>
      </w:r>
      <w:r>
        <w:rPr>
          <w:bCs/>
          <w:lang w:val="es-MX"/>
        </w:rPr>
        <w:t xml:space="preserve"> </w:t>
      </w:r>
      <w:r w:rsidR="00463EAB">
        <w:rPr>
          <w:bCs/>
          <w:lang w:val="es-MX"/>
        </w:rPr>
        <w:t>decidió pasar a un cuarto intermedio</w:t>
      </w:r>
      <w:r w:rsidR="009F26C7">
        <w:rPr>
          <w:bCs/>
          <w:lang w:val="es-MX"/>
        </w:rPr>
        <w:t>,</w:t>
      </w:r>
      <w:r w:rsidR="00463EAB">
        <w:rPr>
          <w:bCs/>
          <w:lang w:val="es-MX"/>
        </w:rPr>
        <w:t xml:space="preserve"> a efectos de continuar con el estudio técnico de las ofertas;</w:t>
      </w:r>
    </w:p>
    <w:p w:rsidR="00463EAB" w:rsidRDefault="00463EAB" w:rsidP="00762CF5">
      <w:pPr>
        <w:spacing w:line="360" w:lineRule="auto"/>
        <w:ind w:firstLine="2835"/>
        <w:jc w:val="both"/>
        <w:rPr>
          <w:bCs/>
          <w:lang w:val="es-MX"/>
        </w:rPr>
      </w:pPr>
      <w:r w:rsidRPr="00463EAB">
        <w:rPr>
          <w:b/>
          <w:bCs/>
          <w:lang w:val="es-MX"/>
        </w:rPr>
        <w:t>3)</w:t>
      </w:r>
      <w:r>
        <w:rPr>
          <w:b/>
          <w:bCs/>
          <w:lang w:val="es-MX"/>
        </w:rPr>
        <w:t xml:space="preserve"> </w:t>
      </w:r>
      <w:r>
        <w:rPr>
          <w:bCs/>
          <w:lang w:val="es-MX"/>
        </w:rPr>
        <w:t>que con fecha 03</w:t>
      </w:r>
      <w:r w:rsidR="00D7695D">
        <w:rPr>
          <w:bCs/>
          <w:lang w:val="es-MX"/>
        </w:rPr>
        <w:t>/</w:t>
      </w:r>
      <w:r>
        <w:rPr>
          <w:bCs/>
          <w:lang w:val="es-MX"/>
        </w:rPr>
        <w:t>07</w:t>
      </w:r>
      <w:r w:rsidR="00D7695D">
        <w:rPr>
          <w:bCs/>
          <w:lang w:val="es-MX"/>
        </w:rPr>
        <w:t>/</w:t>
      </w:r>
      <w:r>
        <w:rPr>
          <w:bCs/>
          <w:lang w:val="es-MX"/>
        </w:rPr>
        <w:t>15</w:t>
      </w:r>
      <w:r w:rsidR="009F26C7">
        <w:rPr>
          <w:bCs/>
          <w:lang w:val="es-MX"/>
        </w:rPr>
        <w:t>,</w:t>
      </w:r>
      <w:r>
        <w:rPr>
          <w:bCs/>
          <w:lang w:val="es-MX"/>
        </w:rPr>
        <w:t xml:space="preserve"> la Comisión Asesora de Adjudicaciones solicitó a </w:t>
      </w:r>
      <w:proofErr w:type="spellStart"/>
      <w:r>
        <w:rPr>
          <w:bCs/>
          <w:lang w:val="es-MX"/>
        </w:rPr>
        <w:t>Montelecnor</w:t>
      </w:r>
      <w:proofErr w:type="spellEnd"/>
      <w:r>
        <w:rPr>
          <w:bCs/>
          <w:lang w:val="es-MX"/>
        </w:rPr>
        <w:t xml:space="preserve"> S.A. la presentación de información complementaria</w:t>
      </w:r>
      <w:r w:rsidR="008E002E">
        <w:rPr>
          <w:bCs/>
          <w:lang w:val="es-MX"/>
        </w:rPr>
        <w:t xml:space="preserve"> dentro del plazo de cinco días hábiles</w:t>
      </w:r>
      <w:r w:rsidR="009876D6">
        <w:rPr>
          <w:bCs/>
          <w:lang w:val="es-MX"/>
        </w:rPr>
        <w:t xml:space="preserve"> y, </w:t>
      </w:r>
      <w:r w:rsidR="008E002E" w:rsidRPr="008E002E">
        <w:rPr>
          <w:bCs/>
          <w:lang w:val="es-MX"/>
        </w:rPr>
        <w:t xml:space="preserve">habiéndose presentado </w:t>
      </w:r>
      <w:r w:rsidR="008E002E">
        <w:rPr>
          <w:bCs/>
          <w:lang w:val="es-MX"/>
        </w:rPr>
        <w:t>dicha información en tiempo y forma, con fecha 21</w:t>
      </w:r>
      <w:r w:rsidR="00D7695D">
        <w:rPr>
          <w:bCs/>
          <w:lang w:val="es-MX"/>
        </w:rPr>
        <w:t>/</w:t>
      </w:r>
      <w:r w:rsidR="008E002E">
        <w:rPr>
          <w:bCs/>
          <w:lang w:val="es-MX"/>
        </w:rPr>
        <w:t>07</w:t>
      </w:r>
      <w:r w:rsidR="00D7695D">
        <w:rPr>
          <w:bCs/>
          <w:lang w:val="es-MX"/>
        </w:rPr>
        <w:t>/</w:t>
      </w:r>
      <w:r w:rsidR="008E002E">
        <w:rPr>
          <w:bCs/>
          <w:lang w:val="es-MX"/>
        </w:rPr>
        <w:t>15, la Comisión Asesora de Adjudicaciones concluyó que las ofertas presentadas cumplen con las exigencias técnicas establecidas en</w:t>
      </w:r>
      <w:r w:rsidR="009F26C7">
        <w:rPr>
          <w:bCs/>
          <w:lang w:val="es-MX"/>
        </w:rPr>
        <w:t xml:space="preserve"> las bases del llamado y propuso</w:t>
      </w:r>
      <w:r w:rsidR="008E002E">
        <w:rPr>
          <w:bCs/>
          <w:lang w:val="es-MX"/>
        </w:rPr>
        <w:t xml:space="preserve"> adjudicar a </w:t>
      </w:r>
      <w:proofErr w:type="spellStart"/>
      <w:r w:rsidR="008E002E">
        <w:rPr>
          <w:bCs/>
          <w:lang w:val="es-MX"/>
        </w:rPr>
        <w:t>Montelecnor</w:t>
      </w:r>
      <w:proofErr w:type="spellEnd"/>
      <w:r w:rsidR="008E002E">
        <w:rPr>
          <w:bCs/>
          <w:lang w:val="es-MX"/>
        </w:rPr>
        <w:t xml:space="preserve"> S.A. </w:t>
      </w:r>
      <w:r w:rsidR="009F26C7">
        <w:rPr>
          <w:bCs/>
          <w:lang w:val="es-MX"/>
        </w:rPr>
        <w:t xml:space="preserve">por presentar el mejor precio, </w:t>
      </w:r>
      <w:r w:rsidR="008E002E">
        <w:rPr>
          <w:bCs/>
          <w:lang w:val="es-MX"/>
        </w:rPr>
        <w:t xml:space="preserve">conforme con el siguiente detalle:  </w:t>
      </w:r>
    </w:p>
    <w:tbl>
      <w:tblPr>
        <w:tblStyle w:val="Tablaconcuadrcula"/>
        <w:tblW w:w="8915" w:type="dxa"/>
        <w:tblLook w:val="04A0" w:firstRow="1" w:lastRow="0" w:firstColumn="1" w:lastColumn="0" w:noHBand="0" w:noVBand="1"/>
      </w:tblPr>
      <w:tblGrid>
        <w:gridCol w:w="1479"/>
        <w:gridCol w:w="1607"/>
        <w:gridCol w:w="1465"/>
        <w:gridCol w:w="1465"/>
        <w:gridCol w:w="1403"/>
        <w:gridCol w:w="1496"/>
      </w:tblGrid>
      <w:tr w:rsidR="008E002E" w:rsidTr="008E002E">
        <w:trPr>
          <w:trHeight w:val="907"/>
        </w:trPr>
        <w:tc>
          <w:tcPr>
            <w:tcW w:w="1485" w:type="dxa"/>
            <w:vAlign w:val="center"/>
          </w:tcPr>
          <w:p w:rsidR="008E002E" w:rsidRPr="00211E11" w:rsidRDefault="008E002E" w:rsidP="008E002E">
            <w:pPr>
              <w:spacing w:line="360" w:lineRule="auto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1486" w:type="dxa"/>
            <w:vAlign w:val="center"/>
          </w:tcPr>
          <w:p w:rsidR="008E002E" w:rsidRPr="00211E11" w:rsidRDefault="008E002E" w:rsidP="008E002E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211E11">
              <w:rPr>
                <w:b/>
                <w:sz w:val="16"/>
                <w:szCs w:val="16"/>
                <w:lang w:val="es-MX"/>
              </w:rPr>
              <w:t>MONEDA NACIONAL</w:t>
            </w:r>
          </w:p>
        </w:tc>
        <w:tc>
          <w:tcPr>
            <w:tcW w:w="1486" w:type="dxa"/>
            <w:vAlign w:val="center"/>
          </w:tcPr>
          <w:p w:rsidR="008E002E" w:rsidRPr="00211E11" w:rsidRDefault="008E002E" w:rsidP="008E002E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211E11">
              <w:rPr>
                <w:b/>
                <w:sz w:val="16"/>
                <w:szCs w:val="16"/>
                <w:lang w:val="es-MX"/>
              </w:rPr>
              <w:t>DÓLARES</w:t>
            </w:r>
          </w:p>
        </w:tc>
        <w:tc>
          <w:tcPr>
            <w:tcW w:w="1486" w:type="dxa"/>
            <w:vAlign w:val="center"/>
          </w:tcPr>
          <w:p w:rsidR="008E002E" w:rsidRPr="00211E11" w:rsidRDefault="008E002E" w:rsidP="008E002E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211E11">
              <w:rPr>
                <w:b/>
                <w:sz w:val="16"/>
                <w:szCs w:val="16"/>
                <w:lang w:val="es-MX"/>
              </w:rPr>
              <w:t>EUROS</w:t>
            </w:r>
          </w:p>
        </w:tc>
        <w:tc>
          <w:tcPr>
            <w:tcW w:w="1486" w:type="dxa"/>
            <w:vAlign w:val="center"/>
          </w:tcPr>
          <w:p w:rsidR="008E002E" w:rsidRPr="00211E11" w:rsidRDefault="008E002E" w:rsidP="008E002E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211E11">
              <w:rPr>
                <w:b/>
                <w:sz w:val="16"/>
                <w:szCs w:val="16"/>
                <w:lang w:val="es-MX"/>
              </w:rPr>
              <w:t>M.I</w:t>
            </w:r>
          </w:p>
        </w:tc>
        <w:tc>
          <w:tcPr>
            <w:tcW w:w="1486" w:type="dxa"/>
            <w:vAlign w:val="center"/>
          </w:tcPr>
          <w:p w:rsidR="008E002E" w:rsidRPr="00211E11" w:rsidRDefault="008E002E" w:rsidP="008E002E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211E11">
              <w:rPr>
                <w:b/>
                <w:sz w:val="16"/>
                <w:szCs w:val="16"/>
                <w:lang w:val="es-MX"/>
              </w:rPr>
              <w:t xml:space="preserve">LL.SS </w:t>
            </w:r>
          </w:p>
          <w:p w:rsidR="008E002E" w:rsidRPr="00211E11" w:rsidRDefault="008E002E" w:rsidP="008E002E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211E11">
              <w:rPr>
                <w:b/>
                <w:sz w:val="16"/>
                <w:szCs w:val="16"/>
                <w:lang w:val="es-MX"/>
              </w:rPr>
              <w:t>(75,8 % DE M.I)</w:t>
            </w:r>
          </w:p>
        </w:tc>
      </w:tr>
      <w:tr w:rsidR="008E002E" w:rsidTr="008E002E">
        <w:trPr>
          <w:trHeight w:val="1988"/>
        </w:trPr>
        <w:tc>
          <w:tcPr>
            <w:tcW w:w="1485" w:type="dxa"/>
            <w:vAlign w:val="center"/>
          </w:tcPr>
          <w:p w:rsidR="008E002E" w:rsidRPr="00211E11" w:rsidRDefault="008E002E" w:rsidP="008E002E">
            <w:pPr>
              <w:spacing w:line="360" w:lineRule="auto"/>
              <w:jc w:val="center"/>
              <w:rPr>
                <w:b/>
                <w:sz w:val="16"/>
                <w:szCs w:val="16"/>
                <w:lang w:val="es-MX"/>
              </w:rPr>
            </w:pPr>
            <w:r w:rsidRPr="00211E11">
              <w:rPr>
                <w:b/>
                <w:sz w:val="16"/>
                <w:szCs w:val="16"/>
                <w:lang w:val="es-MX"/>
              </w:rPr>
              <w:t>TOTAL OBRA BÁSICA + IMPREVISTOS +AJUSTE PARAMÉTRICO (IMPUESTOS INCLUIDOS)</w:t>
            </w:r>
          </w:p>
        </w:tc>
        <w:tc>
          <w:tcPr>
            <w:tcW w:w="1486" w:type="dxa"/>
            <w:vAlign w:val="center"/>
          </w:tcPr>
          <w:p w:rsidR="008E002E" w:rsidRPr="00211E11" w:rsidRDefault="008E002E" w:rsidP="008E002E">
            <w:pPr>
              <w:spacing w:line="360" w:lineRule="aut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111:445.128,87</w:t>
            </w:r>
          </w:p>
        </w:tc>
        <w:tc>
          <w:tcPr>
            <w:tcW w:w="1486" w:type="dxa"/>
            <w:vAlign w:val="center"/>
          </w:tcPr>
          <w:p w:rsidR="008E002E" w:rsidRPr="00211E11" w:rsidRDefault="008E002E" w:rsidP="008E002E">
            <w:pPr>
              <w:spacing w:line="360" w:lineRule="aut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178.765,72</w:t>
            </w:r>
          </w:p>
        </w:tc>
        <w:tc>
          <w:tcPr>
            <w:tcW w:w="1486" w:type="dxa"/>
            <w:vAlign w:val="center"/>
          </w:tcPr>
          <w:p w:rsidR="008E002E" w:rsidRPr="00211E11" w:rsidRDefault="008E002E" w:rsidP="008E002E">
            <w:pPr>
              <w:spacing w:line="360" w:lineRule="aut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118.213,86</w:t>
            </w:r>
          </w:p>
        </w:tc>
        <w:tc>
          <w:tcPr>
            <w:tcW w:w="1486" w:type="dxa"/>
            <w:vAlign w:val="center"/>
          </w:tcPr>
          <w:p w:rsidR="008E002E" w:rsidRPr="00211E11" w:rsidRDefault="008E002E" w:rsidP="008E002E">
            <w:pPr>
              <w:spacing w:line="360" w:lineRule="auto"/>
              <w:jc w:val="center"/>
              <w:rPr>
                <w:sz w:val="20"/>
                <w:lang w:val="es-MX"/>
              </w:rPr>
            </w:pPr>
          </w:p>
        </w:tc>
        <w:tc>
          <w:tcPr>
            <w:tcW w:w="1486" w:type="dxa"/>
            <w:vAlign w:val="center"/>
          </w:tcPr>
          <w:p w:rsidR="008E002E" w:rsidRPr="00211E11" w:rsidRDefault="008E002E" w:rsidP="008E002E">
            <w:pPr>
              <w:spacing w:line="360" w:lineRule="auto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15:409.758,99</w:t>
            </w:r>
          </w:p>
        </w:tc>
      </w:tr>
    </w:tbl>
    <w:p w:rsidR="008E002E" w:rsidRDefault="008E002E" w:rsidP="00A0393A">
      <w:pPr>
        <w:spacing w:line="360" w:lineRule="auto"/>
        <w:jc w:val="both"/>
        <w:rPr>
          <w:bCs/>
          <w:lang w:val="es-MX"/>
        </w:rPr>
      </w:pPr>
    </w:p>
    <w:p w:rsidR="00A0393A" w:rsidRPr="009A67B1" w:rsidRDefault="009876D6" w:rsidP="00762CF5">
      <w:pPr>
        <w:spacing w:line="360" w:lineRule="auto"/>
        <w:ind w:firstLine="2835"/>
        <w:jc w:val="both"/>
        <w:rPr>
          <w:lang w:val="es-MX"/>
        </w:rPr>
      </w:pPr>
      <w:r>
        <w:rPr>
          <w:b/>
          <w:bCs/>
          <w:lang w:val="es-MX"/>
        </w:rPr>
        <w:t>4</w:t>
      </w:r>
      <w:r w:rsidR="00A0393A" w:rsidRPr="008E002E">
        <w:rPr>
          <w:b/>
          <w:bCs/>
          <w:lang w:val="es-MX"/>
        </w:rPr>
        <w:t>)</w:t>
      </w:r>
      <w:r w:rsidR="00A0393A">
        <w:rPr>
          <w:bCs/>
          <w:lang w:val="es-MX"/>
        </w:rPr>
        <w:t xml:space="preserve"> que por Resolución </w:t>
      </w:r>
      <w:r w:rsidR="00A0393A">
        <w:t xml:space="preserve">Nº </w:t>
      </w:r>
      <w:r w:rsidR="008E002E">
        <w:t>1168/15</w:t>
      </w:r>
      <w:r w:rsidR="00A0393A">
        <w:t xml:space="preserve"> de fecha </w:t>
      </w:r>
      <w:r w:rsidR="008E002E">
        <w:t>14</w:t>
      </w:r>
      <w:r w:rsidR="00D7695D">
        <w:t>/</w:t>
      </w:r>
      <w:r w:rsidR="008E002E">
        <w:t>10</w:t>
      </w:r>
      <w:r w:rsidR="00D7695D">
        <w:t>/</w:t>
      </w:r>
      <w:r w:rsidR="008E002E">
        <w:t>15</w:t>
      </w:r>
      <w:r w:rsidR="00A0393A">
        <w:t xml:space="preserve">, el </w:t>
      </w:r>
      <w:r w:rsidR="00A0393A">
        <w:rPr>
          <w:b/>
        </w:rPr>
        <w:t xml:space="preserve">     </w:t>
      </w:r>
      <w:r w:rsidR="00A0393A">
        <w:t>Directorio dispuso la adjudicación en la forma propuesta</w:t>
      </w:r>
      <w:r w:rsidR="008E002E">
        <w:t xml:space="preserve"> y </w:t>
      </w:r>
      <w:r w:rsidR="009F26C7">
        <w:rPr>
          <w:bCs/>
          <w:lang w:val="es-MX"/>
        </w:rPr>
        <w:t>autorizó</w:t>
      </w:r>
      <w:r w:rsidR="008E002E">
        <w:rPr>
          <w:bCs/>
          <w:lang w:val="es-MX"/>
        </w:rPr>
        <w:t xml:space="preserve"> un crédito por las sumas </w:t>
      </w:r>
      <w:r w:rsidR="008E002E" w:rsidRPr="008E002E">
        <w:rPr>
          <w:bCs/>
          <w:lang w:val="es-MX"/>
        </w:rPr>
        <w:t xml:space="preserve">de $126:854.888,09, U$S178.765,72 y €118.213,80 que se desglosa de la siguiente manera: $66:435.248,35 más impuestos por concepto de obra básica, más 10% de imprevistos de obra, más 25% de ajuste paramétrico; U$S 121.098,58 más impuestos por concepto de equipos, más 10% de imprevistos de obra, más 10% de ajuste paramétrico; €80.079,84 más impuestos por concepto de equipos u materiales, más 10% de imprevistos de obra, más 10% de ajuste paramétrico y $10:776.055,24 por concepto de Leyes Sociales de la obra básica, más 10% de imprevistos de obra, más 30% de ajuste paramétrico del jornal, a fin de atender el gasto resultante de la contratación, montos que se imputarán en pesos uruguayos, </w:t>
      </w:r>
      <w:r w:rsidR="008E002E">
        <w:rPr>
          <w:bCs/>
          <w:lang w:val="es-MX"/>
        </w:rPr>
        <w:t>dólares estadounidenses y euros;</w:t>
      </w:r>
    </w:p>
    <w:p w:rsidR="00A0393A" w:rsidRDefault="009876D6" w:rsidP="00762CF5">
      <w:pPr>
        <w:pStyle w:val="Textoindependiente"/>
        <w:ind w:firstLine="2835"/>
        <w:rPr>
          <w:bCs w:val="0"/>
        </w:rPr>
      </w:pPr>
      <w:r>
        <w:rPr>
          <w:b/>
          <w:lang w:val="es-ES"/>
        </w:rPr>
        <w:t>5</w:t>
      </w:r>
      <w:r w:rsidR="00A0393A">
        <w:rPr>
          <w:b/>
          <w:lang w:val="es-ES"/>
        </w:rPr>
        <w:t>)</w:t>
      </w:r>
      <w:r w:rsidR="00A0393A">
        <w:rPr>
          <w:lang w:val="es-ES"/>
        </w:rPr>
        <w:t xml:space="preserve"> que con fecha </w:t>
      </w:r>
      <w:r w:rsidR="008E002E">
        <w:rPr>
          <w:bCs w:val="0"/>
        </w:rPr>
        <w:t>17</w:t>
      </w:r>
      <w:r w:rsidR="00D7695D">
        <w:rPr>
          <w:bCs w:val="0"/>
        </w:rPr>
        <w:t>/</w:t>
      </w:r>
      <w:r w:rsidR="008E002E">
        <w:rPr>
          <w:bCs w:val="0"/>
        </w:rPr>
        <w:t>11</w:t>
      </w:r>
      <w:r w:rsidR="00D7695D">
        <w:rPr>
          <w:bCs w:val="0"/>
        </w:rPr>
        <w:t>/</w:t>
      </w:r>
      <w:r w:rsidR="008E002E">
        <w:rPr>
          <w:bCs w:val="0"/>
        </w:rPr>
        <w:t>15</w:t>
      </w:r>
      <w:r w:rsidR="00A0393A">
        <w:rPr>
          <w:bCs w:val="0"/>
        </w:rPr>
        <w:t>, C</w:t>
      </w:r>
      <w:r w:rsidR="009F26C7">
        <w:rPr>
          <w:bCs w:val="0"/>
        </w:rPr>
        <w:t>ontabilidad Presupuestal informó</w:t>
      </w:r>
      <w:r w:rsidR="00A0393A">
        <w:rPr>
          <w:bCs w:val="0"/>
        </w:rPr>
        <w:t xml:space="preserve"> que</w:t>
      </w:r>
      <w:r w:rsidR="008E002E" w:rsidRPr="008E002E">
        <w:t xml:space="preserve"> </w:t>
      </w:r>
      <w:r w:rsidR="008E002E">
        <w:t>se</w:t>
      </w:r>
      <w:r w:rsidR="008E002E" w:rsidRPr="00AC4AFC">
        <w:rPr>
          <w:lang w:val="es-ES"/>
        </w:rPr>
        <w:t xml:space="preserve"> imputaron los montos de </w:t>
      </w:r>
      <w:r w:rsidR="008E002E">
        <w:t xml:space="preserve">$ 1:903.903 más IVA, </w:t>
      </w:r>
      <w:r w:rsidR="00D7695D">
        <w:t xml:space="preserve">    </w:t>
      </w:r>
      <w:r w:rsidR="008E002E">
        <w:t xml:space="preserve">$ 321.037 por cargas sociales y $ 3:058.194 más IVA </w:t>
      </w:r>
      <w:r w:rsidR="008E002E" w:rsidRPr="00AC4AFC">
        <w:t xml:space="preserve">con cargo al </w:t>
      </w:r>
      <w:r w:rsidR="008E002E" w:rsidRPr="00E06CA8">
        <w:t>año 2015,</w:t>
      </w:r>
      <w:r w:rsidR="008E002E" w:rsidRPr="00AC4AFC">
        <w:t xml:space="preserve"> Objeto </w:t>
      </w:r>
      <w:r w:rsidR="008E002E">
        <w:t>313</w:t>
      </w:r>
      <w:r w:rsidR="008E002E" w:rsidRPr="00AC4AFC">
        <w:t>, del Presupuesto de Compras 2014 (vigente por prórroga automática),</w:t>
      </w:r>
      <w:r w:rsidR="008E002E" w:rsidRPr="00E06CA8">
        <w:t xml:space="preserve"> sin disponibilidad suficiente </w:t>
      </w:r>
      <w:r w:rsidR="00682465">
        <w:t>en el Grupo 3 “Bienes de Uso”</w:t>
      </w:r>
      <w:r w:rsidR="00A0393A">
        <w:rPr>
          <w:bCs w:val="0"/>
        </w:rPr>
        <w:t>;</w:t>
      </w:r>
    </w:p>
    <w:p w:rsidR="00A0393A" w:rsidRDefault="00762CF5" w:rsidP="00762CF5">
      <w:pPr>
        <w:spacing w:line="360" w:lineRule="auto"/>
        <w:ind w:firstLine="851"/>
        <w:jc w:val="both"/>
      </w:pPr>
      <w:r>
        <w:rPr>
          <w:b/>
          <w:lang w:val="es-MX"/>
        </w:rPr>
        <w:t>CONSIDERANDO</w:t>
      </w:r>
      <w:proofErr w:type="gramStart"/>
      <w:r>
        <w:rPr>
          <w:b/>
          <w:lang w:val="es-MX"/>
        </w:rPr>
        <w:t xml:space="preserve">:  </w:t>
      </w:r>
      <w:r w:rsidR="00A0393A">
        <w:rPr>
          <w:b/>
          <w:lang w:val="es-MX"/>
        </w:rPr>
        <w:t>1</w:t>
      </w:r>
      <w:proofErr w:type="gramEnd"/>
      <w:r w:rsidR="00A0393A">
        <w:rPr>
          <w:b/>
          <w:lang w:val="es-MX"/>
        </w:rPr>
        <w:t xml:space="preserve">) </w:t>
      </w:r>
      <w:r w:rsidR="00A0393A">
        <w:rPr>
          <w:lang w:val="es-MX"/>
        </w:rPr>
        <w:t xml:space="preserve">que </w:t>
      </w:r>
      <w:r w:rsidR="00A0393A">
        <w:rPr>
          <w:rFonts w:cs="Arial"/>
          <w:bCs/>
          <w:lang w:val="es-MX"/>
        </w:rPr>
        <w:t xml:space="preserve">el procedimiento se efectuó al amparo de las bases del llamado establecidas conforme a las normas del BIRF, </w:t>
      </w:r>
      <w:r w:rsidR="00A0393A">
        <w:rPr>
          <w:rFonts w:cs="Arial"/>
          <w:lang w:val="es-MX"/>
        </w:rPr>
        <w:t xml:space="preserve">en el marco del Proyecto financiado con el Préstamo N° 8183 UR –OSE Sustentable y Eficiente,  </w:t>
      </w:r>
      <w:r w:rsidR="00A0393A">
        <w:t xml:space="preserve">aplicable en razón de lo dispuesto por el </w:t>
      </w:r>
      <w:r>
        <w:t>A</w:t>
      </w:r>
      <w:r w:rsidR="00A0393A">
        <w:t>rtículo 45 del T.O.C.A.F;</w:t>
      </w:r>
    </w:p>
    <w:p w:rsidR="00A0393A" w:rsidRDefault="00A0393A" w:rsidP="00762CF5">
      <w:pPr>
        <w:spacing w:line="360" w:lineRule="auto"/>
        <w:ind w:firstLine="3119"/>
        <w:jc w:val="both"/>
        <w:rPr>
          <w:rFonts w:cs="Arial"/>
          <w:lang w:val="es-MX"/>
        </w:rPr>
      </w:pPr>
      <w:r>
        <w:rPr>
          <w:b/>
        </w:rPr>
        <w:t>2)</w:t>
      </w:r>
      <w:r>
        <w:t xml:space="preserve"> que no obstante se contravino lo dispuesto por el </w:t>
      </w:r>
      <w:r w:rsidR="00762CF5">
        <w:t>A</w:t>
      </w:r>
      <w:r>
        <w:t>rtículo 15 del TOCAF, al haber</w:t>
      </w:r>
      <w:r w:rsidR="00F26544">
        <w:t>se</w:t>
      </w:r>
      <w:r>
        <w:t xml:space="preserve"> comprometido el gasto sin que exista disponibilidad presupuestal en el rubro de imputación contable;</w:t>
      </w:r>
    </w:p>
    <w:p w:rsidR="00A0393A" w:rsidRPr="00762CF5" w:rsidRDefault="00A0393A" w:rsidP="00762CF5">
      <w:pPr>
        <w:spacing w:line="360" w:lineRule="auto"/>
        <w:ind w:firstLine="851"/>
        <w:jc w:val="both"/>
        <w:rPr>
          <w:bCs/>
          <w:lang w:val="es-MX"/>
        </w:rPr>
      </w:pPr>
      <w:r>
        <w:rPr>
          <w:b/>
          <w:bCs/>
          <w:lang w:val="es-MX"/>
        </w:rPr>
        <w:t xml:space="preserve">ATENTO: </w:t>
      </w:r>
      <w:r>
        <w:rPr>
          <w:bCs/>
          <w:lang w:val="es-MX"/>
        </w:rPr>
        <w:t xml:space="preserve">a lo expuesto y a lo dispuesto por el </w:t>
      </w:r>
      <w:r w:rsidR="00762CF5">
        <w:rPr>
          <w:bCs/>
          <w:lang w:val="es-MX"/>
        </w:rPr>
        <w:t>A</w:t>
      </w:r>
      <w:r>
        <w:rPr>
          <w:bCs/>
          <w:lang w:val="es-MX"/>
        </w:rPr>
        <w:t xml:space="preserve">rtículo 211 </w:t>
      </w:r>
      <w:r w:rsidR="00762CF5">
        <w:rPr>
          <w:bCs/>
          <w:lang w:val="es-MX"/>
        </w:rPr>
        <w:t>L</w:t>
      </w:r>
      <w:r>
        <w:rPr>
          <w:bCs/>
          <w:lang w:val="es-MX"/>
        </w:rPr>
        <w:t>iteral B) de la Constitución de la República;</w:t>
      </w:r>
    </w:p>
    <w:p w:rsidR="00A0393A" w:rsidRDefault="00A0393A" w:rsidP="00762CF5">
      <w:pPr>
        <w:pStyle w:val="Ttulo1"/>
        <w:jc w:val="center"/>
      </w:pPr>
      <w:r>
        <w:t>EL TRIBUNAL ACUERDA</w:t>
      </w:r>
    </w:p>
    <w:p w:rsidR="00A0393A" w:rsidRDefault="00A0393A" w:rsidP="00762CF5">
      <w:pPr>
        <w:pStyle w:val="Textoindependiente"/>
        <w:numPr>
          <w:ilvl w:val="0"/>
          <w:numId w:val="10"/>
        </w:numPr>
        <w:tabs>
          <w:tab w:val="clear" w:pos="720"/>
          <w:tab w:val="num" w:pos="284"/>
        </w:tabs>
        <w:ind w:left="0" w:firstLine="0"/>
        <w:rPr>
          <w:rFonts w:cs="Arial"/>
        </w:rPr>
      </w:pPr>
      <w:r>
        <w:rPr>
          <w:rFonts w:cs="Arial"/>
        </w:rPr>
        <w:t>Observar el gasto por lo expresado en el Considerando 2)</w:t>
      </w:r>
      <w:r w:rsidR="00762CF5">
        <w:rPr>
          <w:rFonts w:cs="Arial"/>
        </w:rPr>
        <w:t>;</w:t>
      </w:r>
      <w:r>
        <w:rPr>
          <w:rFonts w:cs="Arial"/>
        </w:rPr>
        <w:t xml:space="preserve"> </w:t>
      </w:r>
    </w:p>
    <w:p w:rsidR="00A0393A" w:rsidRDefault="00A0393A" w:rsidP="00762CF5">
      <w:pPr>
        <w:numPr>
          <w:ilvl w:val="0"/>
          <w:numId w:val="10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cs="Arial"/>
        </w:rPr>
      </w:pPr>
      <w:r>
        <w:rPr>
          <w:rFonts w:cs="Arial"/>
        </w:rPr>
        <w:t>Devolver las actuaciones.</w:t>
      </w:r>
    </w:p>
    <w:p w:rsidR="00A0393A" w:rsidRDefault="00A0393A" w:rsidP="00762CF5">
      <w:pPr>
        <w:spacing w:line="360" w:lineRule="auto"/>
        <w:jc w:val="both"/>
        <w:rPr>
          <w:lang w:val="es-MX"/>
        </w:rPr>
      </w:pPr>
    </w:p>
    <w:p w:rsidR="00E06CA8" w:rsidRDefault="00E06CA8" w:rsidP="00762CF5">
      <w:pPr>
        <w:spacing w:line="360" w:lineRule="auto"/>
        <w:jc w:val="both"/>
      </w:pPr>
    </w:p>
    <w:p w:rsidR="00E06CA8" w:rsidRDefault="00E06CA8" w:rsidP="00762CF5">
      <w:pPr>
        <w:spacing w:line="360" w:lineRule="auto"/>
        <w:jc w:val="both"/>
      </w:pPr>
    </w:p>
    <w:p w:rsidR="00E06CA8" w:rsidRDefault="00E06CA8" w:rsidP="00762CF5">
      <w:pPr>
        <w:spacing w:line="360" w:lineRule="auto"/>
        <w:jc w:val="both"/>
      </w:pPr>
    </w:p>
    <w:p w:rsidR="00E06CA8" w:rsidRDefault="00412A21" w:rsidP="00762CF5">
      <w:pPr>
        <w:spacing w:line="360" w:lineRule="auto"/>
        <w:jc w:val="both"/>
      </w:pPr>
      <w:r>
        <w:t>bf</w:t>
      </w:r>
      <w:bookmarkStart w:id="0" w:name="_GoBack"/>
      <w:bookmarkEnd w:id="0"/>
    </w:p>
    <w:p w:rsidR="00E06CA8" w:rsidRDefault="00E06CA8" w:rsidP="00DD07AB">
      <w:pPr>
        <w:spacing w:line="360" w:lineRule="auto"/>
        <w:jc w:val="both"/>
      </w:pPr>
    </w:p>
    <w:sectPr w:rsidR="00E06CA8" w:rsidSect="00412A21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056"/>
    <w:multiLevelType w:val="hybridMultilevel"/>
    <w:tmpl w:val="6E02C99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6BB1"/>
    <w:multiLevelType w:val="hybridMultilevel"/>
    <w:tmpl w:val="A19A2816"/>
    <w:lvl w:ilvl="0" w:tplc="59185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11250E"/>
    <w:multiLevelType w:val="hybridMultilevel"/>
    <w:tmpl w:val="C854DB0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F6590"/>
    <w:multiLevelType w:val="hybridMultilevel"/>
    <w:tmpl w:val="E4AC432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42B7D"/>
    <w:multiLevelType w:val="hybridMultilevel"/>
    <w:tmpl w:val="D02A787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C230A"/>
    <w:multiLevelType w:val="hybridMultilevel"/>
    <w:tmpl w:val="893C242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05217"/>
    <w:multiLevelType w:val="hybridMultilevel"/>
    <w:tmpl w:val="11983D0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F629D"/>
    <w:multiLevelType w:val="hybridMultilevel"/>
    <w:tmpl w:val="E6FE4C18"/>
    <w:lvl w:ilvl="0" w:tplc="822EA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6C0E5D"/>
    <w:multiLevelType w:val="hybridMultilevel"/>
    <w:tmpl w:val="B9544E0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B06C8"/>
    <w:multiLevelType w:val="hybridMultilevel"/>
    <w:tmpl w:val="BFC460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6653D"/>
    <w:multiLevelType w:val="hybridMultilevel"/>
    <w:tmpl w:val="E4AC432A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DB"/>
    <w:rsid w:val="00003958"/>
    <w:rsid w:val="00025EC3"/>
    <w:rsid w:val="000A5D25"/>
    <w:rsid w:val="00177E92"/>
    <w:rsid w:val="00185DC0"/>
    <w:rsid w:val="001951CF"/>
    <w:rsid w:val="00197358"/>
    <w:rsid w:val="001E198E"/>
    <w:rsid w:val="001F4A03"/>
    <w:rsid w:val="00211E11"/>
    <w:rsid w:val="00212B97"/>
    <w:rsid w:val="0030224F"/>
    <w:rsid w:val="00310EF8"/>
    <w:rsid w:val="0034070E"/>
    <w:rsid w:val="00396CDB"/>
    <w:rsid w:val="003B6045"/>
    <w:rsid w:val="003F3677"/>
    <w:rsid w:val="00412A21"/>
    <w:rsid w:val="00436044"/>
    <w:rsid w:val="00452615"/>
    <w:rsid w:val="00463EAB"/>
    <w:rsid w:val="004651DB"/>
    <w:rsid w:val="004B174C"/>
    <w:rsid w:val="004F3F55"/>
    <w:rsid w:val="00510178"/>
    <w:rsid w:val="005B6A6B"/>
    <w:rsid w:val="005C17B4"/>
    <w:rsid w:val="005E228D"/>
    <w:rsid w:val="00654725"/>
    <w:rsid w:val="00682465"/>
    <w:rsid w:val="006A7C41"/>
    <w:rsid w:val="006B7E19"/>
    <w:rsid w:val="006C1781"/>
    <w:rsid w:val="006E14C5"/>
    <w:rsid w:val="006F016D"/>
    <w:rsid w:val="006F1E1F"/>
    <w:rsid w:val="0074383F"/>
    <w:rsid w:val="00762CF5"/>
    <w:rsid w:val="00767CE8"/>
    <w:rsid w:val="007A1C64"/>
    <w:rsid w:val="007C4204"/>
    <w:rsid w:val="007F11BE"/>
    <w:rsid w:val="007F2376"/>
    <w:rsid w:val="00847E00"/>
    <w:rsid w:val="00875039"/>
    <w:rsid w:val="008976E5"/>
    <w:rsid w:val="008B4169"/>
    <w:rsid w:val="008E002E"/>
    <w:rsid w:val="00921793"/>
    <w:rsid w:val="00934279"/>
    <w:rsid w:val="00971C95"/>
    <w:rsid w:val="009876D6"/>
    <w:rsid w:val="00992321"/>
    <w:rsid w:val="00993901"/>
    <w:rsid w:val="009962D5"/>
    <w:rsid w:val="009A67B1"/>
    <w:rsid w:val="009F26C7"/>
    <w:rsid w:val="00A02E45"/>
    <w:rsid w:val="00A0393A"/>
    <w:rsid w:val="00A21A30"/>
    <w:rsid w:val="00A8181E"/>
    <w:rsid w:val="00AA4FA7"/>
    <w:rsid w:val="00AB6222"/>
    <w:rsid w:val="00AD7CFC"/>
    <w:rsid w:val="00AF2B8B"/>
    <w:rsid w:val="00B77A00"/>
    <w:rsid w:val="00BB03C9"/>
    <w:rsid w:val="00BD3084"/>
    <w:rsid w:val="00BE0B98"/>
    <w:rsid w:val="00BF3146"/>
    <w:rsid w:val="00C01B0E"/>
    <w:rsid w:val="00C13757"/>
    <w:rsid w:val="00C7131A"/>
    <w:rsid w:val="00C823DA"/>
    <w:rsid w:val="00C95ECC"/>
    <w:rsid w:val="00CF5504"/>
    <w:rsid w:val="00D02656"/>
    <w:rsid w:val="00D16AD6"/>
    <w:rsid w:val="00D367D7"/>
    <w:rsid w:val="00D44DF2"/>
    <w:rsid w:val="00D64D86"/>
    <w:rsid w:val="00D7695D"/>
    <w:rsid w:val="00DC4B1B"/>
    <w:rsid w:val="00DD07AB"/>
    <w:rsid w:val="00DD6C42"/>
    <w:rsid w:val="00E06CA8"/>
    <w:rsid w:val="00E10ED7"/>
    <w:rsid w:val="00E31C35"/>
    <w:rsid w:val="00E53067"/>
    <w:rsid w:val="00E541CB"/>
    <w:rsid w:val="00E805D4"/>
    <w:rsid w:val="00E81AE1"/>
    <w:rsid w:val="00E972A0"/>
    <w:rsid w:val="00EC1564"/>
    <w:rsid w:val="00EC5472"/>
    <w:rsid w:val="00F26544"/>
    <w:rsid w:val="00F31183"/>
    <w:rsid w:val="00F7053E"/>
    <w:rsid w:val="00FD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D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96CDB"/>
    <w:pPr>
      <w:keepNext/>
      <w:spacing w:line="360" w:lineRule="auto"/>
      <w:jc w:val="both"/>
      <w:outlineLvl w:val="0"/>
    </w:pPr>
    <w:rPr>
      <w:rFonts w:cs="Arial"/>
      <w:b/>
      <w:bCs/>
      <w:lang w:val="es-MX"/>
    </w:rPr>
  </w:style>
  <w:style w:type="paragraph" w:styleId="Ttulo2">
    <w:name w:val="heading 2"/>
    <w:basedOn w:val="Normal"/>
    <w:next w:val="Normal"/>
    <w:link w:val="Ttulo2Car"/>
    <w:qFormat/>
    <w:rsid w:val="00396CDB"/>
    <w:pPr>
      <w:keepNext/>
      <w:spacing w:line="360" w:lineRule="auto"/>
      <w:jc w:val="center"/>
      <w:outlineLvl w:val="1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6CDB"/>
    <w:rPr>
      <w:rFonts w:ascii="Arial" w:eastAsia="Times New Roman" w:hAnsi="Arial" w:cs="Arial"/>
      <w:b/>
      <w:bCs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96CDB"/>
    <w:rPr>
      <w:rFonts w:ascii="Arial" w:eastAsia="Times New Roman" w:hAnsi="Arial" w:cs="Times New Roman"/>
      <w:b/>
      <w:bCs/>
      <w:sz w:val="24"/>
      <w:szCs w:val="20"/>
      <w:lang w:val="es-MX" w:eastAsia="es-ES"/>
    </w:rPr>
  </w:style>
  <w:style w:type="paragraph" w:styleId="Ttulo">
    <w:name w:val="Title"/>
    <w:basedOn w:val="Normal"/>
    <w:link w:val="TtuloCar"/>
    <w:qFormat/>
    <w:rsid w:val="00396CDB"/>
    <w:pPr>
      <w:spacing w:line="360" w:lineRule="auto"/>
      <w:jc w:val="center"/>
    </w:pPr>
    <w:rPr>
      <w:rFonts w:cs="Arial"/>
      <w:b/>
      <w:u w:val="single"/>
      <w:lang w:val="es-MX"/>
    </w:rPr>
  </w:style>
  <w:style w:type="character" w:customStyle="1" w:styleId="TtuloCar">
    <w:name w:val="Título Car"/>
    <w:basedOn w:val="Fuentedeprrafopredeter"/>
    <w:link w:val="Ttulo"/>
    <w:rsid w:val="00396CDB"/>
    <w:rPr>
      <w:rFonts w:ascii="Arial" w:eastAsia="Times New Roman" w:hAnsi="Arial" w:cs="Arial"/>
      <w:b/>
      <w:sz w:val="24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396CDB"/>
    <w:pPr>
      <w:spacing w:line="360" w:lineRule="auto"/>
      <w:jc w:val="both"/>
    </w:pPr>
    <w:rPr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96CDB"/>
    <w:rPr>
      <w:rFonts w:ascii="Arial" w:eastAsia="Times New Roman" w:hAnsi="Arial" w:cs="Times New Roman"/>
      <w:bC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B17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17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793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D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96CDB"/>
    <w:pPr>
      <w:keepNext/>
      <w:spacing w:line="360" w:lineRule="auto"/>
      <w:jc w:val="both"/>
      <w:outlineLvl w:val="0"/>
    </w:pPr>
    <w:rPr>
      <w:rFonts w:cs="Arial"/>
      <w:b/>
      <w:bCs/>
      <w:lang w:val="es-MX"/>
    </w:rPr>
  </w:style>
  <w:style w:type="paragraph" w:styleId="Ttulo2">
    <w:name w:val="heading 2"/>
    <w:basedOn w:val="Normal"/>
    <w:next w:val="Normal"/>
    <w:link w:val="Ttulo2Car"/>
    <w:qFormat/>
    <w:rsid w:val="00396CDB"/>
    <w:pPr>
      <w:keepNext/>
      <w:spacing w:line="360" w:lineRule="auto"/>
      <w:jc w:val="center"/>
      <w:outlineLvl w:val="1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6CDB"/>
    <w:rPr>
      <w:rFonts w:ascii="Arial" w:eastAsia="Times New Roman" w:hAnsi="Arial" w:cs="Arial"/>
      <w:b/>
      <w:bCs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96CDB"/>
    <w:rPr>
      <w:rFonts w:ascii="Arial" w:eastAsia="Times New Roman" w:hAnsi="Arial" w:cs="Times New Roman"/>
      <w:b/>
      <w:bCs/>
      <w:sz w:val="24"/>
      <w:szCs w:val="20"/>
      <w:lang w:val="es-MX" w:eastAsia="es-ES"/>
    </w:rPr>
  </w:style>
  <w:style w:type="paragraph" w:styleId="Ttulo">
    <w:name w:val="Title"/>
    <w:basedOn w:val="Normal"/>
    <w:link w:val="TtuloCar"/>
    <w:qFormat/>
    <w:rsid w:val="00396CDB"/>
    <w:pPr>
      <w:spacing w:line="360" w:lineRule="auto"/>
      <w:jc w:val="center"/>
    </w:pPr>
    <w:rPr>
      <w:rFonts w:cs="Arial"/>
      <w:b/>
      <w:u w:val="single"/>
      <w:lang w:val="es-MX"/>
    </w:rPr>
  </w:style>
  <w:style w:type="character" w:customStyle="1" w:styleId="TtuloCar">
    <w:name w:val="Título Car"/>
    <w:basedOn w:val="Fuentedeprrafopredeter"/>
    <w:link w:val="Ttulo"/>
    <w:rsid w:val="00396CDB"/>
    <w:rPr>
      <w:rFonts w:ascii="Arial" w:eastAsia="Times New Roman" w:hAnsi="Arial" w:cs="Arial"/>
      <w:b/>
      <w:sz w:val="24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396CDB"/>
    <w:pPr>
      <w:spacing w:line="360" w:lineRule="auto"/>
      <w:jc w:val="both"/>
    </w:pPr>
    <w:rPr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96CDB"/>
    <w:rPr>
      <w:rFonts w:ascii="Arial" w:eastAsia="Times New Roman" w:hAnsi="Arial" w:cs="Times New Roman"/>
      <w:bC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B17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17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793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EE97-68FD-4E0A-BC69-EE5992AC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BEATRIZ FERNANDEZ</cp:lastModifiedBy>
  <cp:revision>3</cp:revision>
  <cp:lastPrinted>2015-10-29T19:38:00Z</cp:lastPrinted>
  <dcterms:created xsi:type="dcterms:W3CDTF">2015-12-28T14:57:00Z</dcterms:created>
  <dcterms:modified xsi:type="dcterms:W3CDTF">2015-12-28T14:58:00Z</dcterms:modified>
</cp:coreProperties>
</file>