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FF" w:rsidRPr="006577FF" w:rsidRDefault="006577FF" w:rsidP="006577FF">
      <w:pPr>
        <w:tabs>
          <w:tab w:val="center" w:pos="4253"/>
        </w:tabs>
        <w:spacing w:after="0" w:line="240" w:lineRule="auto"/>
        <w:jc w:val="center"/>
        <w:rPr>
          <w:rFonts w:ascii="Helvetica" w:hAnsi="Helvetica"/>
          <w:b/>
          <w:sz w:val="24"/>
          <w:szCs w:val="24"/>
          <w:lang w:val="es-ES_tradnl"/>
        </w:rPr>
      </w:pPr>
      <w:r w:rsidRPr="006577FF">
        <w:rPr>
          <w:rFonts w:ascii="Helvetica" w:hAnsi="Helvetica"/>
          <w:b/>
          <w:sz w:val="24"/>
          <w:szCs w:val="24"/>
          <w:lang w:val="es-ES_tradnl"/>
        </w:rPr>
        <w:t>RESOLUCION ADOPTADA POR EL</w:t>
      </w:r>
    </w:p>
    <w:p w:rsidR="006577FF" w:rsidRPr="006577FF" w:rsidRDefault="006577FF" w:rsidP="006577FF">
      <w:pPr>
        <w:tabs>
          <w:tab w:val="left" w:pos="-720"/>
        </w:tabs>
        <w:spacing w:after="0" w:line="240" w:lineRule="auto"/>
        <w:jc w:val="center"/>
        <w:rPr>
          <w:rFonts w:ascii="Helvetica" w:hAnsi="Helvetica"/>
          <w:b/>
          <w:sz w:val="24"/>
          <w:szCs w:val="24"/>
          <w:lang w:val="es-ES_tradnl"/>
        </w:rPr>
      </w:pPr>
    </w:p>
    <w:p w:rsidR="006577FF" w:rsidRPr="006577FF" w:rsidRDefault="006577FF" w:rsidP="006577FF">
      <w:pPr>
        <w:tabs>
          <w:tab w:val="center" w:pos="4253"/>
        </w:tabs>
        <w:spacing w:after="0" w:line="240" w:lineRule="auto"/>
        <w:jc w:val="center"/>
        <w:rPr>
          <w:rFonts w:ascii="Helvetica" w:hAnsi="Helvetica"/>
          <w:b/>
          <w:sz w:val="24"/>
          <w:szCs w:val="24"/>
          <w:lang w:val="es-ES_tradnl"/>
        </w:rPr>
      </w:pPr>
      <w:r w:rsidRPr="006577FF">
        <w:rPr>
          <w:rFonts w:ascii="Helvetica" w:hAnsi="Helvetica"/>
          <w:b/>
          <w:sz w:val="24"/>
          <w:szCs w:val="24"/>
          <w:lang w:val="es-ES_tradnl"/>
        </w:rPr>
        <w:t>TRIBUNAL DE CUENTAS</w:t>
      </w:r>
    </w:p>
    <w:p w:rsidR="006577FF" w:rsidRPr="006577FF" w:rsidRDefault="006577FF" w:rsidP="006577FF">
      <w:pPr>
        <w:tabs>
          <w:tab w:val="left" w:pos="-720"/>
        </w:tabs>
        <w:spacing w:after="0" w:line="240" w:lineRule="auto"/>
        <w:jc w:val="center"/>
        <w:rPr>
          <w:rFonts w:ascii="Helvetica" w:hAnsi="Helvetica"/>
          <w:b/>
          <w:sz w:val="24"/>
          <w:szCs w:val="24"/>
          <w:lang w:val="es-ES_tradnl"/>
        </w:rPr>
      </w:pPr>
    </w:p>
    <w:p w:rsidR="006577FF" w:rsidRPr="006577FF" w:rsidRDefault="006577FF" w:rsidP="006577FF">
      <w:pPr>
        <w:tabs>
          <w:tab w:val="center" w:pos="4253"/>
        </w:tabs>
        <w:spacing w:after="0" w:line="240" w:lineRule="auto"/>
        <w:jc w:val="center"/>
        <w:rPr>
          <w:rFonts w:ascii="Helvetica" w:hAnsi="Helvetica"/>
          <w:b/>
          <w:sz w:val="24"/>
          <w:szCs w:val="24"/>
          <w:lang w:val="es-ES_tradnl"/>
        </w:rPr>
      </w:pPr>
      <w:r w:rsidRPr="006577FF">
        <w:rPr>
          <w:rFonts w:ascii="Helvetica" w:hAnsi="Helvetica"/>
          <w:b/>
          <w:sz w:val="24"/>
          <w:szCs w:val="24"/>
          <w:lang w:val="es-ES_tradnl"/>
        </w:rPr>
        <w:t>EN SESION DE FECHA  9 DE DICIEMBRE  DE 2015</w:t>
      </w:r>
    </w:p>
    <w:p w:rsidR="006577FF" w:rsidRPr="006577FF" w:rsidRDefault="006577FF" w:rsidP="006577FF">
      <w:pPr>
        <w:tabs>
          <w:tab w:val="center" w:pos="4253"/>
        </w:tabs>
        <w:spacing w:after="0" w:line="240" w:lineRule="auto"/>
        <w:jc w:val="center"/>
        <w:rPr>
          <w:rFonts w:ascii="Helvetica" w:hAnsi="Helvetica"/>
          <w:b/>
          <w:sz w:val="24"/>
          <w:szCs w:val="24"/>
          <w:lang w:val="es-ES_tradnl"/>
        </w:rPr>
      </w:pPr>
    </w:p>
    <w:p w:rsidR="006577FF" w:rsidRPr="006577FF" w:rsidRDefault="006577FF" w:rsidP="006577FF">
      <w:pPr>
        <w:tabs>
          <w:tab w:val="center" w:pos="4253"/>
        </w:tabs>
        <w:spacing w:after="0" w:line="240" w:lineRule="auto"/>
        <w:jc w:val="center"/>
        <w:rPr>
          <w:rFonts w:ascii="Helvetica" w:hAnsi="Helvetica"/>
          <w:b/>
          <w:sz w:val="24"/>
          <w:szCs w:val="24"/>
          <w:lang w:val="es-AR"/>
        </w:rPr>
      </w:pPr>
      <w:r w:rsidRPr="006577FF">
        <w:rPr>
          <w:rFonts w:ascii="Helvetica" w:hAnsi="Helvetica"/>
          <w:b/>
          <w:sz w:val="24"/>
          <w:szCs w:val="24"/>
          <w:lang w:val="es-AR"/>
        </w:rPr>
        <w:t xml:space="preserve">(E. E. Nº 2014-17-1-0009390, </w:t>
      </w:r>
      <w:proofErr w:type="spellStart"/>
      <w:r w:rsidRPr="006577FF">
        <w:rPr>
          <w:rFonts w:ascii="Helvetica" w:hAnsi="Helvetica"/>
          <w:b/>
          <w:sz w:val="24"/>
          <w:szCs w:val="24"/>
          <w:lang w:val="es-AR"/>
        </w:rPr>
        <w:t>Ent</w:t>
      </w:r>
      <w:proofErr w:type="spellEnd"/>
      <w:r w:rsidRPr="006577FF">
        <w:rPr>
          <w:rFonts w:ascii="Helvetica" w:hAnsi="Helvetica"/>
          <w:b/>
          <w:sz w:val="24"/>
          <w:szCs w:val="24"/>
          <w:lang w:val="es-AR"/>
        </w:rPr>
        <w:t>. N° 6154/15)</w:t>
      </w:r>
    </w:p>
    <w:p w:rsidR="006577FF" w:rsidRPr="006577FF" w:rsidRDefault="006577FF">
      <w:pPr>
        <w:tabs>
          <w:tab w:val="center" w:pos="4253"/>
        </w:tabs>
        <w:jc w:val="center"/>
        <w:rPr>
          <w:rFonts w:ascii="Arial" w:hAnsi="Arial"/>
          <w:spacing w:val="-3"/>
          <w:lang w:val="es-AR"/>
        </w:rPr>
      </w:pPr>
    </w:p>
    <w:p w:rsidR="003F538D" w:rsidRDefault="006577FF" w:rsidP="006577FF">
      <w:pPr>
        <w:spacing w:after="0" w:line="360" w:lineRule="auto"/>
        <w:ind w:firstLine="851"/>
        <w:jc w:val="both"/>
        <w:rPr>
          <w:rFonts w:ascii="Times New Roman" w:hAnsi="Times New Roman" w:cs="Times New Roman"/>
        </w:rPr>
      </w:pPr>
      <w:r>
        <w:rPr>
          <w:rFonts w:ascii="Arial" w:hAnsi="Arial" w:cs="Arial"/>
          <w:b/>
          <w:bCs/>
          <w:sz w:val="24"/>
          <w:szCs w:val="24"/>
          <w:lang w:val="es-ES"/>
        </w:rPr>
        <w:t>VISTO:</w:t>
      </w:r>
      <w:r w:rsidR="003F538D">
        <w:rPr>
          <w:rFonts w:ascii="Arial" w:hAnsi="Arial" w:cs="Arial"/>
          <w:sz w:val="24"/>
          <w:szCs w:val="24"/>
          <w:lang w:val="es-ES"/>
        </w:rPr>
        <w:t xml:space="preserve"> las actuaciones remitidas por la Administración de las Obras Sanita</w:t>
      </w:r>
      <w:r>
        <w:rPr>
          <w:rFonts w:ascii="Arial" w:hAnsi="Arial" w:cs="Arial"/>
          <w:sz w:val="24"/>
          <w:szCs w:val="24"/>
          <w:lang w:val="es-ES"/>
        </w:rPr>
        <w:t>rias del Estado, relacionadas con el</w:t>
      </w:r>
      <w:r w:rsidR="003F538D">
        <w:rPr>
          <w:rFonts w:ascii="Arial" w:hAnsi="Arial" w:cs="Arial"/>
          <w:sz w:val="24"/>
          <w:szCs w:val="24"/>
          <w:lang w:val="es-ES"/>
        </w:rPr>
        <w:t xml:space="preserve"> llamado para la contratación de financiamiento de inversiones, por hasta 40:000.000 de unidades indexadas; </w:t>
      </w:r>
    </w:p>
    <w:p w:rsidR="006577FF" w:rsidRDefault="003F538D" w:rsidP="006577FF">
      <w:pPr>
        <w:pStyle w:val="Textoindependiente"/>
        <w:spacing w:line="360" w:lineRule="auto"/>
        <w:ind w:firstLine="851"/>
      </w:pPr>
      <w:r>
        <w:rPr>
          <w:b/>
          <w:bCs/>
        </w:rPr>
        <w:t xml:space="preserve">RESULTANDO: 1) </w:t>
      </w:r>
      <w:r>
        <w:t>que por Resolución de Directorio Nº 140/13 dictada el 20/2/13, se aprobó la utilización del Decreto 194/006 en OSE, y se delegó en la Gerencia Financiera-Contable, previa comunicación a la Gerencia General, la aprobación del llamado a la contratación del financiamiento y su respectivas bases;</w:t>
      </w:r>
    </w:p>
    <w:p w:rsidR="006577FF" w:rsidRDefault="003F538D" w:rsidP="006577FF">
      <w:pPr>
        <w:pStyle w:val="Textoindependiente"/>
        <w:spacing w:line="360" w:lineRule="auto"/>
        <w:ind w:firstLine="2694"/>
      </w:pPr>
      <w:r w:rsidRPr="006577FF">
        <w:rPr>
          <w:b/>
        </w:rPr>
        <w:t>2</w:t>
      </w:r>
      <w:r>
        <w:rPr>
          <w:b/>
          <w:bCs/>
        </w:rPr>
        <w:t>)</w:t>
      </w:r>
      <w:r>
        <w:t xml:space="preserve"> que por Resolución del Directorio Nº 238/13 del 6/3/13, se delegó en la Gerencia General la selección de la oferta más conveniente para la Administración, en el marco de la utilización del procedimiento de contratación de financiamiento en el sector financiero, debiendo poner en conocimiento al Directorio, a la mayor brevedad posible;</w:t>
      </w:r>
    </w:p>
    <w:p w:rsidR="006577FF" w:rsidRDefault="003F538D" w:rsidP="006577FF">
      <w:pPr>
        <w:pStyle w:val="Textoindependiente"/>
        <w:spacing w:line="360" w:lineRule="auto"/>
        <w:ind w:firstLine="2694"/>
      </w:pPr>
      <w:r w:rsidRPr="006577FF">
        <w:rPr>
          <w:b/>
        </w:rPr>
        <w:t>3</w:t>
      </w:r>
      <w:r>
        <w:rPr>
          <w:b/>
          <w:bCs/>
        </w:rPr>
        <w:t>)</w:t>
      </w:r>
      <w:r>
        <w:t xml:space="preserve"> que, teniendo en cuenta la intención de OSE de tomar fondos por hasta 40:000.000 UI (unidades indexadas cuarenta millones) o su equivalente en moneda nacional, por un plazo mínimo de cinco años (cuatro años de amortización y un año de gracia), con pago de interés mensual y amortización cuatrimestral, se cursaron  invitaciones a d</w:t>
      </w:r>
      <w:r w:rsidR="006577FF">
        <w:t>iversas instituciones bancarias</w:t>
      </w:r>
      <w:r>
        <w:t>,</w:t>
      </w:r>
      <w:r w:rsidR="006577FF">
        <w:t xml:space="preserve"> </w:t>
      </w:r>
      <w:r>
        <w:t>a efectos de cotizar el financiamiento solicitado;</w:t>
      </w:r>
    </w:p>
    <w:p w:rsidR="006577FF" w:rsidRDefault="003F538D" w:rsidP="006577FF">
      <w:pPr>
        <w:pStyle w:val="Textoindependiente"/>
        <w:spacing w:line="360" w:lineRule="auto"/>
        <w:ind w:firstLine="2694"/>
      </w:pPr>
      <w:r w:rsidRPr="006577FF">
        <w:rPr>
          <w:b/>
        </w:rPr>
        <w:t>4</w:t>
      </w:r>
      <w:r>
        <w:rPr>
          <w:b/>
          <w:bCs/>
        </w:rPr>
        <w:t>)</w:t>
      </w:r>
      <w:r>
        <w:t xml:space="preserve"> que habiéndos</w:t>
      </w:r>
      <w:r w:rsidR="006577FF">
        <w:t>e recibido las propuestas, por A</w:t>
      </w:r>
      <w:r>
        <w:t xml:space="preserve">cta </w:t>
      </w:r>
      <w:r w:rsidR="006577FF">
        <w:t>labrada el 26/10/15, se aconsejó</w:t>
      </w:r>
      <w:r>
        <w:t xml:space="preserve">  adjudicar $ 60:000.000 al Banco Citibank, por ofrecer menor tasa,  a un plazo de 5 años incluyendo un año de gracia para </w:t>
      </w:r>
      <w:r>
        <w:lastRenderedPageBreak/>
        <w:t>amo</w:t>
      </w:r>
      <w:r w:rsidR="006577FF">
        <w:t>rtizaciones a una tasa de 16,75</w:t>
      </w:r>
      <w:r>
        <w:t>% más la</w:t>
      </w:r>
      <w:r w:rsidR="006577FF">
        <w:t xml:space="preserve"> tasa de control y de la CJPB</w:t>
      </w:r>
      <w:r>
        <w:t xml:space="preserve"> y 10:000.000 UI, al Banco </w:t>
      </w:r>
      <w:proofErr w:type="spellStart"/>
      <w:r>
        <w:t>Itaú</w:t>
      </w:r>
      <w:proofErr w:type="spellEnd"/>
      <w:r>
        <w:t>, en razón de presentar</w:t>
      </w:r>
      <w:r w:rsidR="006577FF">
        <w:t xml:space="preserve"> mayor disponibilidad de línea;</w:t>
      </w:r>
    </w:p>
    <w:p w:rsidR="006577FF" w:rsidRDefault="003F538D" w:rsidP="006577FF">
      <w:pPr>
        <w:pStyle w:val="Textoindependiente"/>
        <w:spacing w:line="360" w:lineRule="auto"/>
        <w:ind w:firstLine="2694"/>
      </w:pPr>
      <w:r w:rsidRPr="006577FF">
        <w:rPr>
          <w:b/>
        </w:rPr>
        <w:t>5</w:t>
      </w:r>
      <w:r>
        <w:rPr>
          <w:b/>
          <w:bCs/>
        </w:rPr>
        <w:t>)</w:t>
      </w:r>
      <w:r>
        <w:t xml:space="preserve"> que la Sub Gerencia General Servicios y Logística, por Resolución de fecha 27.10.15, adjudicó  en la forma  sugerida;</w:t>
      </w:r>
    </w:p>
    <w:p w:rsidR="006577FF" w:rsidRDefault="003F538D" w:rsidP="006577FF">
      <w:pPr>
        <w:pStyle w:val="Textoindependiente"/>
        <w:spacing w:line="360" w:lineRule="auto"/>
        <w:ind w:firstLine="2694"/>
      </w:pPr>
      <w:r>
        <w:rPr>
          <w:b/>
          <w:bCs/>
        </w:rPr>
        <w:t xml:space="preserve">6) </w:t>
      </w:r>
      <w:r>
        <w:t>que la Contadora Delegada el día 28.10.15, intervino el gasto, por un importe de $ 60:000.000 y 10:000.000 UI;</w:t>
      </w:r>
    </w:p>
    <w:p w:rsidR="003F538D" w:rsidRDefault="003F538D" w:rsidP="006577FF">
      <w:pPr>
        <w:pStyle w:val="Textoindependiente"/>
        <w:spacing w:line="360" w:lineRule="auto"/>
        <w:ind w:firstLine="2694"/>
      </w:pPr>
      <w:r>
        <w:rPr>
          <w:b/>
          <w:bCs/>
        </w:rPr>
        <w:t>7)</w:t>
      </w:r>
      <w:r>
        <w:t xml:space="preserve"> que las presentes actuaciones ingresaron a este Tribunal, con fecha 11.11.15; </w:t>
      </w:r>
    </w:p>
    <w:p w:rsidR="00BB6B80" w:rsidRDefault="003F538D" w:rsidP="00BB6B80">
      <w:pPr>
        <w:pStyle w:val="Textoindependiente"/>
        <w:spacing w:line="360" w:lineRule="auto"/>
        <w:ind w:firstLine="851"/>
      </w:pPr>
      <w:r>
        <w:rPr>
          <w:b/>
          <w:bCs/>
        </w:rPr>
        <w:t xml:space="preserve">CONSIDERANDO: 1) </w:t>
      </w:r>
      <w:r>
        <w:t>que el procedimiento especial de contratación de financiamien</w:t>
      </w:r>
      <w:r w:rsidR="00BB6B80">
        <w:t>to fue autorizado para UTE por D</w:t>
      </w:r>
      <w:r>
        <w:t>ecreto 194/006, contando con el dictamen favorable del Tribunal de Cuentas, de conf</w:t>
      </w:r>
      <w:r w:rsidR="00BB6B80">
        <w:t>ormidad con lo previsto en el A</w:t>
      </w:r>
      <w:r>
        <w:t>rt</w:t>
      </w:r>
      <w:r w:rsidR="00BB6B80">
        <w:t>ículo</w:t>
      </w:r>
      <w:r>
        <w:t xml:space="preserve"> 37 del TOCAF;</w:t>
      </w:r>
    </w:p>
    <w:p w:rsidR="00BB6B80" w:rsidRDefault="003F538D" w:rsidP="00BB6B80">
      <w:pPr>
        <w:pStyle w:val="Textoindependiente"/>
        <w:spacing w:line="360" w:lineRule="auto"/>
        <w:ind w:firstLine="2977"/>
      </w:pPr>
      <w:r>
        <w:rPr>
          <w:b/>
          <w:bCs/>
        </w:rPr>
        <w:t xml:space="preserve">2) </w:t>
      </w:r>
      <w:r w:rsidRPr="00BB6B80">
        <w:rPr>
          <w:iCs/>
        </w:rPr>
        <w:t>que</w:t>
      </w:r>
      <w:r>
        <w:rPr>
          <w:i/>
          <w:iCs/>
        </w:rPr>
        <w:t xml:space="preserve"> </w:t>
      </w:r>
      <w:r>
        <w:t xml:space="preserve">según lo dispone el inciso final del </w:t>
      </w:r>
      <w:r w:rsidR="00BB6B80">
        <w:t>A</w:t>
      </w:r>
      <w:r>
        <w:t>rt</w:t>
      </w:r>
      <w:r w:rsidR="00BB6B80">
        <w:t>ículo</w:t>
      </w:r>
      <w:r>
        <w:t xml:space="preserve"> 37 del TOCAF,</w:t>
      </w:r>
      <w:r>
        <w:rPr>
          <w:i/>
          <w:iCs/>
        </w:rPr>
        <w:t xml:space="preserve"> “las restantes administraciones podrán aplicar los regímenes y procedimientos autorizados precedentemente</w:t>
      </w:r>
      <w:r>
        <w:t>”;</w:t>
      </w:r>
    </w:p>
    <w:p w:rsidR="00BB6B80" w:rsidRDefault="003F538D" w:rsidP="00BB6B80">
      <w:pPr>
        <w:pStyle w:val="Textoindependiente"/>
        <w:spacing w:line="360" w:lineRule="auto"/>
        <w:ind w:firstLine="2977"/>
      </w:pPr>
      <w:r>
        <w:rPr>
          <w:b/>
          <w:bCs/>
        </w:rPr>
        <w:t>3)</w:t>
      </w:r>
      <w:r w:rsidR="00BB6B80">
        <w:t xml:space="preserve"> que de acuerdo con los N</w:t>
      </w:r>
      <w:r>
        <w:t>u</w:t>
      </w:r>
      <w:r w:rsidR="00BB6B80">
        <w:t>merales XI y XII del Anexo del D</w:t>
      </w:r>
      <w:r>
        <w:t>ecreto 194/006, una vez adjudicadas las ofertas, se procederá a la intervención de legalidad por parte del Contador Delegado y, una vez firmados los contratos correspondientes, se deberán remitir todas las actuaciones al Tribunal de Cuentas en un plazo de cinco días;</w:t>
      </w:r>
    </w:p>
    <w:p w:rsidR="003F538D" w:rsidRDefault="003F538D" w:rsidP="00BB6B80">
      <w:pPr>
        <w:pStyle w:val="Textoindependiente"/>
        <w:spacing w:line="360" w:lineRule="auto"/>
        <w:ind w:firstLine="2977"/>
      </w:pPr>
      <w:r>
        <w:rPr>
          <w:b/>
          <w:bCs/>
        </w:rPr>
        <w:t xml:space="preserve">4) </w:t>
      </w:r>
      <w:r>
        <w:t>que estos obrados fueron remitidos al Tribunal con fecha 11 de noviembre de 2015, y no consta en las actuaciones remitidas, la fecha en que fueron suscritos los contratos correspondientes, por lo que no se puede verificar si se ha dado cumplimiento al requisito formal señalado;</w:t>
      </w:r>
    </w:p>
    <w:p w:rsidR="003F538D" w:rsidRDefault="00BB6B80" w:rsidP="00BB6B80">
      <w:pPr>
        <w:pStyle w:val="Textoindependiente"/>
        <w:spacing w:line="360" w:lineRule="auto"/>
        <w:ind w:firstLine="851"/>
      </w:pPr>
      <w:r>
        <w:rPr>
          <w:b/>
          <w:bCs/>
        </w:rPr>
        <w:t>ATENTO</w:t>
      </w:r>
      <w:proofErr w:type="gramStart"/>
      <w:r>
        <w:rPr>
          <w:b/>
          <w:bCs/>
        </w:rPr>
        <w:t xml:space="preserve">:  </w:t>
      </w:r>
      <w:r w:rsidR="003F538D">
        <w:t>a</w:t>
      </w:r>
      <w:proofErr w:type="gramEnd"/>
      <w:r w:rsidR="003F538D">
        <w:t xml:space="preserve"> lo precedentemente expuesto;</w:t>
      </w:r>
    </w:p>
    <w:p w:rsidR="00BB6B80" w:rsidRDefault="00BB6B80">
      <w:pPr>
        <w:pStyle w:val="Textoindependiente"/>
        <w:spacing w:line="360" w:lineRule="auto"/>
        <w:jc w:val="center"/>
        <w:rPr>
          <w:b/>
          <w:bCs/>
        </w:rPr>
      </w:pPr>
    </w:p>
    <w:p w:rsidR="00BB6B80" w:rsidRDefault="00BB6B80">
      <w:pPr>
        <w:pStyle w:val="Textoindependiente"/>
        <w:spacing w:line="360" w:lineRule="auto"/>
        <w:jc w:val="center"/>
        <w:rPr>
          <w:b/>
          <w:bCs/>
        </w:rPr>
      </w:pPr>
    </w:p>
    <w:p w:rsidR="003F538D" w:rsidRDefault="00BB6B80">
      <w:pPr>
        <w:pStyle w:val="Textoindependiente"/>
        <w:spacing w:line="360" w:lineRule="auto"/>
        <w:jc w:val="center"/>
        <w:rPr>
          <w:b/>
          <w:bCs/>
        </w:rPr>
      </w:pPr>
      <w:r>
        <w:rPr>
          <w:b/>
          <w:bCs/>
        </w:rPr>
        <w:lastRenderedPageBreak/>
        <w:t>EL TRIBUNAL ACUERDA</w:t>
      </w:r>
    </w:p>
    <w:p w:rsidR="003F538D" w:rsidRDefault="003F538D">
      <w:pPr>
        <w:pStyle w:val="Textoindependiente"/>
        <w:numPr>
          <w:ilvl w:val="0"/>
          <w:numId w:val="1"/>
        </w:numPr>
        <w:spacing w:line="360" w:lineRule="auto"/>
      </w:pPr>
      <w:bookmarkStart w:id="0" w:name="_GoBack"/>
      <w:bookmarkEnd w:id="0"/>
      <w:r>
        <w:t>Téngase presente lo señalado en el Considerando 4) de la presente Resolución;</w:t>
      </w:r>
    </w:p>
    <w:p w:rsidR="003F538D" w:rsidRDefault="003F538D">
      <w:pPr>
        <w:pStyle w:val="Textoindependiente"/>
        <w:numPr>
          <w:ilvl w:val="0"/>
          <w:numId w:val="1"/>
        </w:numPr>
        <w:spacing w:line="360" w:lineRule="auto"/>
      </w:pPr>
      <w:r>
        <w:t>Comunicar a la Contadora Delegada; y</w:t>
      </w:r>
    </w:p>
    <w:p w:rsidR="00BB6B80" w:rsidRPr="00BB6B80" w:rsidRDefault="003F538D" w:rsidP="00BB6B80">
      <w:pPr>
        <w:pStyle w:val="Textoindependiente"/>
        <w:numPr>
          <w:ilvl w:val="0"/>
          <w:numId w:val="1"/>
        </w:numPr>
        <w:spacing w:line="360" w:lineRule="auto"/>
        <w:rPr>
          <w:b/>
          <w:bCs/>
        </w:rPr>
      </w:pPr>
      <w:r>
        <w:t>Devolver las actuaciones a la Administración actuante.</w:t>
      </w:r>
    </w:p>
    <w:p w:rsidR="00BB6B80" w:rsidRDefault="00BB6B80" w:rsidP="00BB6B80">
      <w:pPr>
        <w:pStyle w:val="Textoindependiente"/>
        <w:spacing w:line="360" w:lineRule="auto"/>
      </w:pPr>
    </w:p>
    <w:p w:rsidR="00BB6B80" w:rsidRDefault="00BB6B80" w:rsidP="00BB6B80">
      <w:pPr>
        <w:pStyle w:val="Textoindependiente"/>
        <w:spacing w:line="360" w:lineRule="auto"/>
      </w:pPr>
    </w:p>
    <w:p w:rsidR="00BB6B80" w:rsidRDefault="00BB6B80" w:rsidP="00BB6B80">
      <w:pPr>
        <w:pStyle w:val="Textoindependiente"/>
        <w:spacing w:line="360" w:lineRule="auto"/>
      </w:pPr>
    </w:p>
    <w:p w:rsidR="00BB6B80" w:rsidRDefault="00BB6B80" w:rsidP="00BB6B80">
      <w:pPr>
        <w:pStyle w:val="Textoindependiente"/>
        <w:spacing w:line="360" w:lineRule="auto"/>
      </w:pPr>
    </w:p>
    <w:p w:rsidR="00BB6B80" w:rsidRDefault="00BB6B80" w:rsidP="00BB6B80">
      <w:pPr>
        <w:pStyle w:val="Textoindependiente"/>
        <w:spacing w:line="360" w:lineRule="auto"/>
      </w:pPr>
    </w:p>
    <w:p w:rsidR="003F538D" w:rsidRDefault="00BB6B80" w:rsidP="00BB6B80">
      <w:pPr>
        <w:pStyle w:val="Textoindependiente"/>
        <w:spacing w:line="360" w:lineRule="auto"/>
        <w:ind w:hanging="426"/>
        <w:rPr>
          <w:b/>
          <w:bCs/>
        </w:rPr>
      </w:pPr>
      <w:proofErr w:type="gramStart"/>
      <w:r>
        <w:t>dc</w:t>
      </w:r>
      <w:proofErr w:type="gramEnd"/>
      <w:r>
        <w:rPr>
          <w:b/>
          <w:bCs/>
        </w:rPr>
        <w:t xml:space="preserve"> </w:t>
      </w:r>
    </w:p>
    <w:sectPr w:rsidR="003F538D" w:rsidSect="00BB6B80">
      <w:footerReference w:type="default" r:id="rId9"/>
      <w:pgSz w:w="11906" w:h="16838" w:code="9"/>
      <w:pgMar w:top="3402"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38D" w:rsidRDefault="003F538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F538D" w:rsidRDefault="003F538D">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80" w:rsidRDefault="00BB6B80">
    <w:pPr>
      <w:pStyle w:val="Piedepgina"/>
      <w:jc w:val="center"/>
    </w:pPr>
    <w:r>
      <w:fldChar w:fldCharType="begin"/>
    </w:r>
    <w:r>
      <w:instrText>PAGE   \* MERGEFORMAT</w:instrText>
    </w:r>
    <w:r>
      <w:fldChar w:fldCharType="separate"/>
    </w:r>
    <w:r w:rsidRPr="00BB6B80">
      <w:rPr>
        <w:noProof/>
        <w:lang w:val="es-ES"/>
      </w:rPr>
      <w:t>3</w:t>
    </w:r>
    <w:r>
      <w:fldChar w:fldCharType="end"/>
    </w:r>
  </w:p>
  <w:p w:rsidR="00BB6B80" w:rsidRDefault="00BB6B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38D" w:rsidRDefault="003F538D">
      <w:pPr>
        <w:spacing w:after="0" w:line="240" w:lineRule="auto"/>
        <w:rPr>
          <w:rFonts w:ascii="Times New Roman" w:hAnsi="Times New Roman" w:cs="Times New Roman"/>
        </w:rPr>
      </w:pPr>
      <w:r>
        <w:rPr>
          <w:rFonts w:ascii="Times New Roman" w:hAnsi="Times New Roman" w:cs="Times New Roman"/>
          <w:color w:val="000000"/>
        </w:rPr>
        <w:separator/>
      </w:r>
    </w:p>
  </w:footnote>
  <w:footnote w:type="continuationSeparator" w:id="0">
    <w:p w:rsidR="003F538D" w:rsidRDefault="003F538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629B9"/>
    <w:multiLevelType w:val="multilevel"/>
    <w:tmpl w:val="296204FC"/>
    <w:lvl w:ilvl="0">
      <w:start w:val="1"/>
      <w:numFmt w:val="decimal"/>
      <w:lvlText w:val="%1)"/>
      <w:lvlJc w:val="left"/>
      <w:pPr>
        <w:ind w:left="720" w:hanging="360"/>
      </w:pPr>
      <w:rPr>
        <w:rFonts w:ascii="Arial" w:hAnsi="Arial" w:cs="Arial" w:hint="default"/>
        <w:b/>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8D"/>
    <w:rsid w:val="003F538D"/>
    <w:rsid w:val="006577FF"/>
    <w:rsid w:val="00BB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200" w:line="276" w:lineRule="auto"/>
      <w:textAlignment w:val="baseline"/>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1"/>
    <w:uiPriority w:val="99"/>
    <w:pPr>
      <w:spacing w:after="0" w:line="240" w:lineRule="auto"/>
      <w:jc w:val="both"/>
    </w:pPr>
    <w:rPr>
      <w:rFonts w:ascii="Arial" w:hAnsi="Arial" w:cs="Arial"/>
      <w:sz w:val="24"/>
      <w:szCs w:val="24"/>
      <w:lang w:val="es-ES" w:eastAsia="es-ES"/>
    </w:rPr>
  </w:style>
  <w:style w:type="character" w:customStyle="1" w:styleId="TextoindependienteCar1">
    <w:name w:val="Texto independiente Car1"/>
    <w:basedOn w:val="Fuentedeprrafopredeter"/>
    <w:link w:val="Textoindependiente"/>
    <w:uiPriority w:val="99"/>
    <w:semiHidden/>
    <w:rsid w:val="003F538D"/>
    <w:rPr>
      <w:rFonts w:ascii="Calibri" w:hAnsi="Calibri" w:cs="Calibri"/>
      <w:lang w:val="es-UY"/>
    </w:rPr>
  </w:style>
  <w:style w:type="character" w:customStyle="1" w:styleId="TextoindependienteCar">
    <w:name w:val="Texto independiente Car"/>
    <w:basedOn w:val="Fuentedeprrafopredeter"/>
    <w:uiPriority w:val="99"/>
    <w:rPr>
      <w:rFonts w:ascii="Arial" w:hAnsi="Arial" w:cs="Arial"/>
      <w:sz w:val="24"/>
      <w:szCs w:val="24"/>
      <w:lang w:val="es-ES" w:eastAsia="es-ES"/>
    </w:rPr>
  </w:style>
  <w:style w:type="paragraph" w:styleId="Encabezado">
    <w:name w:val="header"/>
    <w:basedOn w:val="Normal"/>
    <w:link w:val="EncabezadoCar"/>
    <w:uiPriority w:val="99"/>
    <w:unhideWhenUsed/>
    <w:rsid w:val="00BB6B80"/>
    <w:pPr>
      <w:tabs>
        <w:tab w:val="center" w:pos="4419"/>
        <w:tab w:val="right" w:pos="8838"/>
      </w:tabs>
    </w:pPr>
  </w:style>
  <w:style w:type="character" w:customStyle="1" w:styleId="EncabezadoCar">
    <w:name w:val="Encabezado Car"/>
    <w:basedOn w:val="Fuentedeprrafopredeter"/>
    <w:link w:val="Encabezado"/>
    <w:uiPriority w:val="99"/>
    <w:rsid w:val="00BB6B80"/>
    <w:rPr>
      <w:rFonts w:ascii="Calibri" w:hAnsi="Calibri" w:cs="Calibri"/>
      <w:lang w:val="es-UY"/>
    </w:rPr>
  </w:style>
  <w:style w:type="paragraph" w:styleId="Piedepgina">
    <w:name w:val="footer"/>
    <w:basedOn w:val="Normal"/>
    <w:link w:val="PiedepginaCar"/>
    <w:uiPriority w:val="99"/>
    <w:unhideWhenUsed/>
    <w:rsid w:val="00BB6B80"/>
    <w:pPr>
      <w:tabs>
        <w:tab w:val="center" w:pos="4419"/>
        <w:tab w:val="right" w:pos="8838"/>
      </w:tabs>
    </w:pPr>
  </w:style>
  <w:style w:type="character" w:customStyle="1" w:styleId="PiedepginaCar">
    <w:name w:val="Pie de página Car"/>
    <w:basedOn w:val="Fuentedeprrafopredeter"/>
    <w:link w:val="Piedepgina"/>
    <w:uiPriority w:val="99"/>
    <w:rsid w:val="00BB6B80"/>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200" w:line="276" w:lineRule="auto"/>
      <w:textAlignment w:val="baseline"/>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1"/>
    <w:uiPriority w:val="99"/>
    <w:pPr>
      <w:spacing w:after="0" w:line="240" w:lineRule="auto"/>
      <w:jc w:val="both"/>
    </w:pPr>
    <w:rPr>
      <w:rFonts w:ascii="Arial" w:hAnsi="Arial" w:cs="Arial"/>
      <w:sz w:val="24"/>
      <w:szCs w:val="24"/>
      <w:lang w:val="es-ES" w:eastAsia="es-ES"/>
    </w:rPr>
  </w:style>
  <w:style w:type="character" w:customStyle="1" w:styleId="TextoindependienteCar1">
    <w:name w:val="Texto independiente Car1"/>
    <w:basedOn w:val="Fuentedeprrafopredeter"/>
    <w:link w:val="Textoindependiente"/>
    <w:uiPriority w:val="99"/>
    <w:semiHidden/>
    <w:rsid w:val="003F538D"/>
    <w:rPr>
      <w:rFonts w:ascii="Calibri" w:hAnsi="Calibri" w:cs="Calibri"/>
      <w:lang w:val="es-UY"/>
    </w:rPr>
  </w:style>
  <w:style w:type="character" w:customStyle="1" w:styleId="TextoindependienteCar">
    <w:name w:val="Texto independiente Car"/>
    <w:basedOn w:val="Fuentedeprrafopredeter"/>
    <w:uiPriority w:val="99"/>
    <w:rPr>
      <w:rFonts w:ascii="Arial" w:hAnsi="Arial" w:cs="Arial"/>
      <w:sz w:val="24"/>
      <w:szCs w:val="24"/>
      <w:lang w:val="es-ES" w:eastAsia="es-ES"/>
    </w:rPr>
  </w:style>
  <w:style w:type="paragraph" w:styleId="Encabezado">
    <w:name w:val="header"/>
    <w:basedOn w:val="Normal"/>
    <w:link w:val="EncabezadoCar"/>
    <w:uiPriority w:val="99"/>
    <w:unhideWhenUsed/>
    <w:rsid w:val="00BB6B80"/>
    <w:pPr>
      <w:tabs>
        <w:tab w:val="center" w:pos="4419"/>
        <w:tab w:val="right" w:pos="8838"/>
      </w:tabs>
    </w:pPr>
  </w:style>
  <w:style w:type="character" w:customStyle="1" w:styleId="EncabezadoCar">
    <w:name w:val="Encabezado Car"/>
    <w:basedOn w:val="Fuentedeprrafopredeter"/>
    <w:link w:val="Encabezado"/>
    <w:uiPriority w:val="99"/>
    <w:rsid w:val="00BB6B80"/>
    <w:rPr>
      <w:rFonts w:ascii="Calibri" w:hAnsi="Calibri" w:cs="Calibri"/>
      <w:lang w:val="es-UY"/>
    </w:rPr>
  </w:style>
  <w:style w:type="paragraph" w:styleId="Piedepgina">
    <w:name w:val="footer"/>
    <w:basedOn w:val="Normal"/>
    <w:link w:val="PiedepginaCar"/>
    <w:uiPriority w:val="99"/>
    <w:unhideWhenUsed/>
    <w:rsid w:val="00BB6B80"/>
    <w:pPr>
      <w:tabs>
        <w:tab w:val="center" w:pos="4419"/>
        <w:tab w:val="right" w:pos="8838"/>
      </w:tabs>
    </w:pPr>
  </w:style>
  <w:style w:type="character" w:customStyle="1" w:styleId="PiedepginaCar">
    <w:name w:val="Pie de página Car"/>
    <w:basedOn w:val="Fuentedeprrafopredeter"/>
    <w:link w:val="Piedepgina"/>
    <w:uiPriority w:val="99"/>
    <w:rsid w:val="00BB6B80"/>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BF018-55EB-441D-A214-92BC3AC2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520</Words>
  <Characters>2860</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CARPETA No</vt:lpstr>
    </vt:vector>
  </TitlesOfParts>
  <Company>Tribunal de Cuentas</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No</dc:title>
  <dc:creator>JORGE EDUARDO MAESO RUIZ</dc:creator>
  <cp:lastModifiedBy>Tribunal1</cp:lastModifiedBy>
  <cp:revision>2</cp:revision>
  <cp:lastPrinted>2015-12-16T13:11:00Z</cp:lastPrinted>
  <dcterms:created xsi:type="dcterms:W3CDTF">2015-12-16T13:15:00Z</dcterms:created>
  <dcterms:modified xsi:type="dcterms:W3CDTF">2015-12-16T13:15:00Z</dcterms:modified>
</cp:coreProperties>
</file>