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EA" w:rsidRPr="00F65A90" w:rsidRDefault="00F351EA">
      <w:pPr>
        <w:tabs>
          <w:tab w:val="center" w:pos="4253"/>
        </w:tabs>
        <w:suppressAutoHyphens/>
        <w:jc w:val="center"/>
        <w:rPr>
          <w:rFonts w:ascii="Arial" w:hAnsi="Arial" w:cs="Arial"/>
          <w:b/>
          <w:lang w:val="es-ES_tradnl"/>
        </w:rPr>
      </w:pPr>
      <w:bookmarkStart w:id="0" w:name="_GoBack"/>
      <w:bookmarkEnd w:id="0"/>
      <w:r w:rsidRPr="00F65A90">
        <w:rPr>
          <w:rFonts w:ascii="Arial" w:hAnsi="Arial" w:cs="Arial"/>
          <w:b/>
          <w:lang w:val="es-ES_tradnl"/>
        </w:rPr>
        <w:t>RESOLUCION ADOPTADA POR EL</w:t>
      </w:r>
    </w:p>
    <w:p w:rsidR="00F351EA" w:rsidRPr="00F65A90" w:rsidRDefault="00F351EA">
      <w:pPr>
        <w:tabs>
          <w:tab w:val="left" w:pos="-720"/>
        </w:tabs>
        <w:suppressAutoHyphens/>
        <w:jc w:val="center"/>
        <w:rPr>
          <w:rFonts w:ascii="Arial" w:hAnsi="Arial" w:cs="Arial"/>
          <w:b/>
          <w:lang w:val="es-ES_tradnl"/>
        </w:rPr>
      </w:pPr>
    </w:p>
    <w:p w:rsidR="00F351EA" w:rsidRPr="00F65A90" w:rsidRDefault="00F351EA">
      <w:pPr>
        <w:tabs>
          <w:tab w:val="center" w:pos="4253"/>
        </w:tabs>
        <w:suppressAutoHyphens/>
        <w:jc w:val="center"/>
        <w:rPr>
          <w:rFonts w:ascii="Arial" w:hAnsi="Arial" w:cs="Arial"/>
          <w:b/>
          <w:lang w:val="es-ES_tradnl"/>
        </w:rPr>
      </w:pPr>
      <w:r w:rsidRPr="00F65A90">
        <w:rPr>
          <w:rFonts w:ascii="Arial" w:hAnsi="Arial" w:cs="Arial"/>
          <w:b/>
          <w:lang w:val="es-ES_tradnl"/>
        </w:rPr>
        <w:t>TRIBUNAL DE CUENTAS</w:t>
      </w:r>
    </w:p>
    <w:p w:rsidR="00F351EA" w:rsidRPr="00F65A90" w:rsidRDefault="00F351EA">
      <w:pPr>
        <w:tabs>
          <w:tab w:val="left" w:pos="-720"/>
        </w:tabs>
        <w:suppressAutoHyphens/>
        <w:jc w:val="center"/>
        <w:rPr>
          <w:rFonts w:ascii="Arial" w:hAnsi="Arial" w:cs="Arial"/>
          <w:b/>
          <w:lang w:val="es-ES_tradnl"/>
        </w:rPr>
      </w:pPr>
    </w:p>
    <w:p w:rsidR="00F351EA" w:rsidRPr="00F65A90" w:rsidRDefault="00F351EA">
      <w:pPr>
        <w:tabs>
          <w:tab w:val="center" w:pos="4253"/>
        </w:tabs>
        <w:suppressAutoHyphens/>
        <w:jc w:val="center"/>
        <w:rPr>
          <w:rFonts w:ascii="Arial" w:hAnsi="Arial" w:cs="Arial"/>
          <w:b/>
          <w:lang w:val="es-ES_tradnl"/>
        </w:rPr>
      </w:pPr>
      <w:r w:rsidRPr="00F65A90">
        <w:rPr>
          <w:rFonts w:ascii="Arial" w:hAnsi="Arial" w:cs="Arial"/>
          <w:b/>
          <w:lang w:val="es-ES_tradnl"/>
        </w:rPr>
        <w:t>EN SESION DE FECHA 30 DE DICIEMBRE DE 2015</w:t>
      </w:r>
    </w:p>
    <w:p w:rsidR="00F351EA" w:rsidRPr="00F65A90" w:rsidRDefault="00F351EA">
      <w:pPr>
        <w:tabs>
          <w:tab w:val="center" w:pos="4253"/>
        </w:tabs>
        <w:suppressAutoHyphens/>
        <w:jc w:val="center"/>
        <w:rPr>
          <w:rFonts w:ascii="Arial" w:hAnsi="Arial" w:cs="Arial"/>
          <w:b/>
          <w:lang w:val="es-ES_tradnl"/>
        </w:rPr>
      </w:pPr>
    </w:p>
    <w:p w:rsidR="00F351EA" w:rsidRPr="00F65A90" w:rsidRDefault="00F351EA">
      <w:pPr>
        <w:tabs>
          <w:tab w:val="center" w:pos="4253"/>
        </w:tabs>
        <w:suppressAutoHyphens/>
        <w:jc w:val="center"/>
        <w:rPr>
          <w:rFonts w:ascii="Arial" w:hAnsi="Arial" w:cs="Arial"/>
          <w:b/>
          <w:lang w:val="en-US"/>
        </w:rPr>
      </w:pPr>
      <w:r w:rsidRPr="00F65A90">
        <w:rPr>
          <w:rFonts w:ascii="Arial" w:hAnsi="Arial" w:cs="Arial"/>
          <w:b/>
          <w:lang w:val="en-US"/>
        </w:rPr>
        <w:t xml:space="preserve">(E. E. Nº </w:t>
      </w:r>
      <w:r w:rsidR="00202D10" w:rsidRPr="00F65A90">
        <w:rPr>
          <w:rFonts w:ascii="Arial" w:hAnsi="Arial" w:cs="Arial"/>
          <w:b/>
          <w:lang w:val="en-US"/>
        </w:rPr>
        <w:t>2015-17-1-0005843</w:t>
      </w:r>
      <w:r w:rsidRPr="00F65A90">
        <w:rPr>
          <w:rFonts w:ascii="Arial" w:hAnsi="Arial" w:cs="Arial"/>
          <w:b/>
          <w:lang w:val="en-US"/>
        </w:rPr>
        <w:t xml:space="preserve">, </w:t>
      </w:r>
      <w:proofErr w:type="spellStart"/>
      <w:proofErr w:type="gramStart"/>
      <w:r w:rsidRPr="00F65A90">
        <w:rPr>
          <w:rFonts w:ascii="Arial" w:hAnsi="Arial" w:cs="Arial"/>
          <w:b/>
          <w:lang w:val="en-US"/>
        </w:rPr>
        <w:t>Ent</w:t>
      </w:r>
      <w:proofErr w:type="spellEnd"/>
      <w:proofErr w:type="gramEnd"/>
      <w:r w:rsidRPr="00F65A90">
        <w:rPr>
          <w:rFonts w:ascii="Arial" w:hAnsi="Arial" w:cs="Arial"/>
          <w:b/>
          <w:lang w:val="en-US"/>
        </w:rPr>
        <w:t>. N°</w:t>
      </w:r>
      <w:r w:rsidR="00202D10" w:rsidRPr="00F65A90">
        <w:rPr>
          <w:rFonts w:ascii="Arial" w:hAnsi="Arial" w:cs="Arial"/>
          <w:b/>
          <w:lang w:val="en-US"/>
        </w:rPr>
        <w:t xml:space="preserve"> </w:t>
      </w:r>
      <w:proofErr w:type="spellStart"/>
      <w:r w:rsidR="00202D10" w:rsidRPr="00F65A90">
        <w:rPr>
          <w:rFonts w:ascii="Arial" w:hAnsi="Arial" w:cs="Arial"/>
          <w:b/>
          <w:lang w:val="en-US"/>
        </w:rPr>
        <w:t>inic</w:t>
      </w:r>
      <w:proofErr w:type="spellEnd"/>
      <w:r w:rsidR="00202D10" w:rsidRPr="00F65A90">
        <w:rPr>
          <w:rFonts w:ascii="Arial" w:hAnsi="Arial" w:cs="Arial"/>
          <w:b/>
          <w:lang w:val="en-US"/>
        </w:rPr>
        <w:t>/15</w:t>
      </w:r>
      <w:r w:rsidRPr="00F65A90">
        <w:rPr>
          <w:rFonts w:ascii="Arial" w:hAnsi="Arial" w:cs="Arial"/>
          <w:b/>
          <w:lang w:val="en-US"/>
        </w:rPr>
        <w:t>)</w:t>
      </w:r>
    </w:p>
    <w:p w:rsidR="00F351EA" w:rsidRPr="00F65A90" w:rsidRDefault="00F351EA">
      <w:pPr>
        <w:tabs>
          <w:tab w:val="center" w:pos="4253"/>
        </w:tabs>
        <w:suppressAutoHyphens/>
        <w:jc w:val="center"/>
        <w:rPr>
          <w:rFonts w:ascii="Arial" w:hAnsi="Arial" w:cs="Arial"/>
          <w:spacing w:val="-3"/>
          <w:lang w:val="en-US"/>
        </w:rPr>
      </w:pPr>
    </w:p>
    <w:p w:rsidR="00F351EA" w:rsidRPr="00F65A90" w:rsidRDefault="00F351EA">
      <w:pPr>
        <w:tabs>
          <w:tab w:val="center" w:pos="4253"/>
        </w:tabs>
        <w:suppressAutoHyphens/>
        <w:rPr>
          <w:rFonts w:ascii="Arial" w:hAnsi="Arial" w:cs="Arial"/>
          <w:spacing w:val="-3"/>
          <w:lang w:val="en-US"/>
        </w:rPr>
      </w:pPr>
    </w:p>
    <w:p w:rsidR="00E23156" w:rsidRPr="00F65A90" w:rsidRDefault="00E413F2" w:rsidP="00B654EB">
      <w:pPr>
        <w:tabs>
          <w:tab w:val="left" w:pos="-1418"/>
          <w:tab w:val="left" w:pos="567"/>
        </w:tabs>
        <w:suppressAutoHyphens/>
        <w:spacing w:line="360" w:lineRule="auto"/>
        <w:ind w:firstLine="851"/>
        <w:jc w:val="both"/>
        <w:rPr>
          <w:rFonts w:ascii="Arial" w:hAnsi="Arial" w:cs="Arial"/>
          <w:spacing w:val="-3"/>
          <w:lang w:val="es-ES_tradnl"/>
        </w:rPr>
      </w:pPr>
      <w:r w:rsidRPr="00F65A90">
        <w:rPr>
          <w:rFonts w:ascii="Arial" w:hAnsi="Arial" w:cs="Arial"/>
          <w:b/>
          <w:spacing w:val="-3"/>
          <w:lang w:val="es-ES_tradnl"/>
        </w:rPr>
        <w:t xml:space="preserve">VISTO: </w:t>
      </w:r>
      <w:r w:rsidRPr="00F65A90">
        <w:rPr>
          <w:rFonts w:ascii="Arial" w:hAnsi="Arial" w:cs="Arial"/>
          <w:spacing w:val="-3"/>
          <w:lang w:val="es-ES_tradnl"/>
        </w:rPr>
        <w:t xml:space="preserve">que este Tribunal ha examinado </w:t>
      </w:r>
      <w:r w:rsidR="004E595E" w:rsidRPr="00F65A90">
        <w:rPr>
          <w:rFonts w:ascii="Arial" w:hAnsi="Arial" w:cs="Arial"/>
          <w:spacing w:val="-3"/>
          <w:lang w:val="es-ES_tradnl"/>
        </w:rPr>
        <w:t xml:space="preserve">el Balance de ejecución presupuestal </w:t>
      </w:r>
      <w:r w:rsidRPr="00F65A90">
        <w:rPr>
          <w:rFonts w:ascii="Arial" w:hAnsi="Arial" w:cs="Arial"/>
          <w:spacing w:val="-3"/>
          <w:lang w:val="es-ES_tradnl"/>
        </w:rPr>
        <w:t>de la C</w:t>
      </w:r>
      <w:r w:rsidR="00462DB6" w:rsidRPr="00F65A90">
        <w:rPr>
          <w:rFonts w:ascii="Arial" w:hAnsi="Arial" w:cs="Arial"/>
          <w:spacing w:val="-3"/>
          <w:lang w:val="es-ES_tradnl"/>
        </w:rPr>
        <w:t xml:space="preserve">omisión Administrativa </w:t>
      </w:r>
      <w:r w:rsidR="004E595E" w:rsidRPr="00F65A90">
        <w:rPr>
          <w:rFonts w:ascii="Arial" w:hAnsi="Arial" w:cs="Arial"/>
          <w:spacing w:val="-3"/>
          <w:lang w:val="es-ES_tradnl"/>
        </w:rPr>
        <w:t>correspondiente</w:t>
      </w:r>
      <w:r w:rsidRPr="00F65A90">
        <w:rPr>
          <w:rFonts w:ascii="Arial" w:hAnsi="Arial" w:cs="Arial"/>
          <w:spacing w:val="-3"/>
          <w:lang w:val="es-ES_tradnl"/>
        </w:rPr>
        <w:t xml:space="preserve"> al Ejercicio 201</w:t>
      </w:r>
      <w:r w:rsidR="00D30EC6" w:rsidRPr="00F65A90">
        <w:rPr>
          <w:rFonts w:ascii="Arial" w:hAnsi="Arial" w:cs="Arial"/>
          <w:spacing w:val="-3"/>
          <w:lang w:val="es-ES_tradnl"/>
        </w:rPr>
        <w:t>4</w:t>
      </w:r>
      <w:r w:rsidRPr="00F65A90">
        <w:rPr>
          <w:rFonts w:ascii="Arial" w:hAnsi="Arial" w:cs="Arial"/>
          <w:spacing w:val="-3"/>
          <w:lang w:val="es-ES_tradnl"/>
        </w:rPr>
        <w:t xml:space="preserve"> así como el cumplimiento de las disposiciones legales vigentes;</w:t>
      </w:r>
    </w:p>
    <w:p w:rsidR="00E23156" w:rsidRPr="00F65A90" w:rsidRDefault="00E413F2" w:rsidP="00B654EB">
      <w:pPr>
        <w:tabs>
          <w:tab w:val="left" w:pos="-1418"/>
          <w:tab w:val="left" w:pos="567"/>
        </w:tabs>
        <w:suppressAutoHyphens/>
        <w:spacing w:line="360" w:lineRule="auto"/>
        <w:ind w:firstLine="851"/>
        <w:jc w:val="both"/>
        <w:rPr>
          <w:rFonts w:ascii="Arial" w:hAnsi="Arial" w:cs="Arial"/>
          <w:lang w:val="es-MX"/>
        </w:rPr>
      </w:pPr>
      <w:r w:rsidRPr="00F65A90">
        <w:rPr>
          <w:rFonts w:ascii="Arial" w:hAnsi="Arial" w:cs="Arial"/>
          <w:b/>
          <w:spacing w:val="-3"/>
          <w:lang w:val="es-ES_tradnl"/>
        </w:rPr>
        <w:t>RESULTANDO:</w:t>
      </w:r>
      <w:r w:rsidRPr="00F65A90">
        <w:rPr>
          <w:rFonts w:ascii="Arial" w:hAnsi="Arial" w:cs="Arial"/>
          <w:spacing w:val="-3"/>
          <w:lang w:val="es-ES_tradnl"/>
        </w:rPr>
        <w:t xml:space="preserve"> </w:t>
      </w:r>
      <w:r w:rsidRPr="00F65A90">
        <w:rPr>
          <w:rFonts w:ascii="Arial" w:hAnsi="Arial" w:cs="Arial"/>
          <w:lang w:val="es-MX"/>
        </w:rPr>
        <w:t>que la auditoría fue practicada de acuerdo con los Principios Fundamentales de Auditoría (ISSAI, 100 y 200) de la Organización Internacional de Entidades Fiscalizadoras Superiores (INTOSAI);</w:t>
      </w:r>
    </w:p>
    <w:p w:rsidR="00E23156" w:rsidRPr="00F65A90" w:rsidRDefault="00E413F2" w:rsidP="00B654EB">
      <w:pPr>
        <w:tabs>
          <w:tab w:val="left" w:pos="-1418"/>
          <w:tab w:val="left" w:pos="567"/>
        </w:tabs>
        <w:suppressAutoHyphens/>
        <w:spacing w:line="360" w:lineRule="auto"/>
        <w:ind w:firstLine="851"/>
        <w:jc w:val="both"/>
        <w:rPr>
          <w:rFonts w:ascii="Arial" w:hAnsi="Arial" w:cs="Arial"/>
          <w:spacing w:val="-3"/>
          <w:lang w:val="es-ES_tradnl"/>
        </w:rPr>
      </w:pPr>
      <w:r w:rsidRPr="00F65A90">
        <w:rPr>
          <w:rFonts w:ascii="Arial" w:hAnsi="Arial" w:cs="Arial"/>
          <w:b/>
          <w:spacing w:val="-3"/>
          <w:lang w:val="es-ES_tradnl"/>
        </w:rPr>
        <w:t>CONSIDERANDO:</w:t>
      </w:r>
      <w:r w:rsidRPr="00F65A90">
        <w:rPr>
          <w:rFonts w:ascii="Arial" w:hAnsi="Arial" w:cs="Arial"/>
          <w:spacing w:val="-3"/>
          <w:lang w:val="es-ES_tradnl"/>
        </w:rPr>
        <w:t xml:space="preserve"> que las conclusiones y evidencias obtenidas son las que se expresan en el Informe de Auditoría, que incluye Dictamen </w:t>
      </w:r>
      <w:r w:rsidR="009C0178" w:rsidRPr="00F65A90">
        <w:rPr>
          <w:rFonts w:ascii="Arial" w:hAnsi="Arial" w:cs="Arial"/>
          <w:spacing w:val="-3"/>
          <w:lang w:val="es-ES_tradnl"/>
        </w:rPr>
        <w:t>e Informe a la Administración;</w:t>
      </w:r>
    </w:p>
    <w:p w:rsidR="00E413F2" w:rsidRPr="00F65A90" w:rsidRDefault="00E413F2" w:rsidP="00B654EB">
      <w:pPr>
        <w:tabs>
          <w:tab w:val="left" w:pos="-1418"/>
          <w:tab w:val="left" w:pos="567"/>
        </w:tabs>
        <w:suppressAutoHyphens/>
        <w:spacing w:line="360" w:lineRule="auto"/>
        <w:ind w:firstLine="851"/>
        <w:jc w:val="both"/>
        <w:rPr>
          <w:rFonts w:ascii="Arial" w:hAnsi="Arial" w:cs="Arial"/>
          <w:spacing w:val="-3"/>
          <w:lang w:val="es-ES_tradnl"/>
        </w:rPr>
      </w:pPr>
      <w:r w:rsidRPr="00F65A90">
        <w:rPr>
          <w:rFonts w:ascii="Arial" w:hAnsi="Arial" w:cs="Arial"/>
          <w:b/>
          <w:spacing w:val="-3"/>
          <w:lang w:val="es-ES_tradnl"/>
        </w:rPr>
        <w:t>ATENTO:</w:t>
      </w:r>
      <w:r w:rsidRPr="00F65A90">
        <w:rPr>
          <w:rFonts w:ascii="Arial" w:hAnsi="Arial" w:cs="Arial"/>
          <w:spacing w:val="-3"/>
          <w:lang w:val="es-ES_tradnl"/>
        </w:rPr>
        <w:t xml:space="preserve"> a lo dispuesto por el Artículo 211 Literal C) de la Constitución de la República;</w:t>
      </w:r>
    </w:p>
    <w:p w:rsidR="00E413F2" w:rsidRPr="00F65A90" w:rsidRDefault="00E413F2">
      <w:pPr>
        <w:pStyle w:val="Ttulo8"/>
        <w:tabs>
          <w:tab w:val="clear" w:pos="0"/>
        </w:tabs>
        <w:spacing w:line="360" w:lineRule="auto"/>
        <w:rPr>
          <w:rFonts w:ascii="Arial" w:hAnsi="Arial" w:cs="Arial"/>
          <w:szCs w:val="24"/>
        </w:rPr>
      </w:pPr>
      <w:r w:rsidRPr="00F65A90">
        <w:rPr>
          <w:rFonts w:ascii="Arial" w:hAnsi="Arial" w:cs="Arial"/>
          <w:szCs w:val="24"/>
        </w:rPr>
        <w:t>EL TRIBUNAL ACUERDA</w:t>
      </w:r>
    </w:p>
    <w:p w:rsidR="00E413F2" w:rsidRPr="00F65A90" w:rsidRDefault="00E413F2">
      <w:pPr>
        <w:pStyle w:val="Textodenotaalfinal"/>
        <w:numPr>
          <w:ilvl w:val="0"/>
          <w:numId w:val="1"/>
        </w:numPr>
        <w:tabs>
          <w:tab w:val="left" w:pos="-1418"/>
        </w:tabs>
        <w:suppressAutoHyphens/>
        <w:spacing w:line="360" w:lineRule="auto"/>
        <w:jc w:val="both"/>
        <w:rPr>
          <w:rFonts w:ascii="Arial" w:hAnsi="Arial" w:cs="Arial"/>
          <w:spacing w:val="-3"/>
          <w:szCs w:val="24"/>
          <w:lang w:val="es-ES_tradnl"/>
        </w:rPr>
      </w:pPr>
      <w:r w:rsidRPr="00F65A90">
        <w:rPr>
          <w:rFonts w:ascii="Arial" w:hAnsi="Arial" w:cs="Arial"/>
          <w:spacing w:val="-3"/>
          <w:szCs w:val="24"/>
          <w:lang w:val="es-ES_tradnl"/>
        </w:rPr>
        <w:t>Emitir su Dictamen respecto a</w:t>
      </w:r>
      <w:r w:rsidR="004E595E" w:rsidRPr="00F65A90">
        <w:rPr>
          <w:rFonts w:ascii="Arial" w:hAnsi="Arial" w:cs="Arial"/>
          <w:spacing w:val="-3"/>
          <w:szCs w:val="24"/>
          <w:lang w:val="es-ES_tradnl"/>
        </w:rPr>
        <w:t xml:space="preserve">l Balance de ejecución presupuestal </w:t>
      </w:r>
      <w:r w:rsidRPr="00F65A90">
        <w:rPr>
          <w:rFonts w:ascii="Arial" w:hAnsi="Arial" w:cs="Arial"/>
          <w:spacing w:val="-3"/>
          <w:szCs w:val="24"/>
          <w:lang w:val="es-ES_tradnl"/>
        </w:rPr>
        <w:t xml:space="preserve"> co</w:t>
      </w:r>
      <w:r w:rsidR="00D30EC6" w:rsidRPr="00F65A90">
        <w:rPr>
          <w:rFonts w:ascii="Arial" w:hAnsi="Arial" w:cs="Arial"/>
          <w:spacing w:val="-3"/>
          <w:szCs w:val="24"/>
          <w:lang w:val="es-ES_tradnl"/>
        </w:rPr>
        <w:t>rrespondiente al Ejercicio 2014</w:t>
      </w:r>
      <w:r w:rsidRPr="00F65A90">
        <w:rPr>
          <w:rFonts w:ascii="Arial" w:hAnsi="Arial" w:cs="Arial"/>
          <w:spacing w:val="-3"/>
          <w:szCs w:val="24"/>
          <w:lang w:val="es-ES_tradnl"/>
        </w:rPr>
        <w:t xml:space="preserve"> de la C</w:t>
      </w:r>
      <w:r w:rsidR="00462DB6" w:rsidRPr="00F65A90">
        <w:rPr>
          <w:rFonts w:ascii="Arial" w:hAnsi="Arial" w:cs="Arial"/>
          <w:spacing w:val="-3"/>
          <w:szCs w:val="24"/>
          <w:lang w:val="es-ES_tradnl"/>
        </w:rPr>
        <w:t xml:space="preserve">omisión Administrativa </w:t>
      </w:r>
      <w:r w:rsidRPr="00F65A90">
        <w:rPr>
          <w:rFonts w:ascii="Arial" w:hAnsi="Arial" w:cs="Arial"/>
          <w:spacing w:val="-3"/>
          <w:szCs w:val="24"/>
          <w:lang w:val="es-ES_tradnl"/>
        </w:rPr>
        <w:t>en los términos del Informe de Auditoría que se adjunta;</w:t>
      </w:r>
    </w:p>
    <w:p w:rsidR="00E413F2" w:rsidRPr="00F65A90" w:rsidRDefault="00E413F2">
      <w:pPr>
        <w:numPr>
          <w:ilvl w:val="0"/>
          <w:numId w:val="1"/>
        </w:numPr>
        <w:tabs>
          <w:tab w:val="left" w:pos="-1418"/>
        </w:tabs>
        <w:suppressAutoHyphens/>
        <w:spacing w:line="360" w:lineRule="auto"/>
        <w:jc w:val="both"/>
        <w:rPr>
          <w:rFonts w:ascii="Arial" w:hAnsi="Arial" w:cs="Arial"/>
          <w:spacing w:val="-3"/>
          <w:lang w:val="es-ES_tradnl"/>
        </w:rPr>
      </w:pPr>
      <w:r w:rsidRPr="00F65A90">
        <w:rPr>
          <w:rFonts w:ascii="Arial" w:hAnsi="Arial" w:cs="Arial"/>
          <w:spacing w:val="-3"/>
          <w:lang w:val="es-ES_tradnl"/>
        </w:rPr>
        <w:t>Comunicar la presente Resolución a la C</w:t>
      </w:r>
      <w:r w:rsidR="00462DB6" w:rsidRPr="00F65A90">
        <w:rPr>
          <w:rFonts w:ascii="Arial" w:hAnsi="Arial" w:cs="Arial"/>
          <w:spacing w:val="-3"/>
          <w:lang w:val="es-ES_tradnl"/>
        </w:rPr>
        <w:t>omisión Administrativa</w:t>
      </w:r>
      <w:r w:rsidRPr="00F65A90">
        <w:rPr>
          <w:rFonts w:ascii="Arial" w:hAnsi="Arial" w:cs="Arial"/>
          <w:spacing w:val="-3"/>
          <w:lang w:val="es-ES_tradnl"/>
        </w:rPr>
        <w:t>;</w:t>
      </w:r>
      <w:r w:rsidR="00E23156" w:rsidRPr="00F65A90">
        <w:rPr>
          <w:rFonts w:ascii="Arial" w:hAnsi="Arial" w:cs="Arial"/>
          <w:spacing w:val="-3"/>
          <w:lang w:val="es-ES_tradnl"/>
        </w:rPr>
        <w:t xml:space="preserve"> y</w:t>
      </w:r>
    </w:p>
    <w:p w:rsidR="00E413F2" w:rsidRPr="00F65A90" w:rsidRDefault="00E413F2">
      <w:pPr>
        <w:numPr>
          <w:ilvl w:val="0"/>
          <w:numId w:val="1"/>
        </w:numPr>
        <w:tabs>
          <w:tab w:val="left" w:pos="-1418"/>
        </w:tabs>
        <w:suppressAutoHyphens/>
        <w:spacing w:line="360" w:lineRule="auto"/>
        <w:jc w:val="both"/>
        <w:rPr>
          <w:rFonts w:ascii="Arial" w:hAnsi="Arial" w:cs="Arial"/>
          <w:spacing w:val="-3"/>
          <w:lang w:val="es-ES_tradnl"/>
        </w:rPr>
      </w:pPr>
      <w:r w:rsidRPr="00F65A90">
        <w:rPr>
          <w:rFonts w:ascii="Arial" w:hAnsi="Arial" w:cs="Arial"/>
          <w:spacing w:val="-3"/>
          <w:lang w:val="es-ES_tradnl"/>
        </w:rPr>
        <w:t>Dar cuenta a la Asamblea General.</w:t>
      </w:r>
    </w:p>
    <w:p w:rsidR="00E413F2" w:rsidRDefault="00E413F2">
      <w:pPr>
        <w:tabs>
          <w:tab w:val="left" w:pos="-1418"/>
        </w:tabs>
        <w:suppressAutoHyphens/>
        <w:spacing w:line="360" w:lineRule="auto"/>
        <w:jc w:val="both"/>
        <w:rPr>
          <w:rFonts w:ascii="Arial" w:hAnsi="Arial" w:cs="Arial"/>
          <w:spacing w:val="-3"/>
          <w:lang w:val="es-ES_tradnl"/>
        </w:rPr>
      </w:pPr>
    </w:p>
    <w:p w:rsidR="00B654EB" w:rsidRDefault="00B654EB">
      <w:pPr>
        <w:tabs>
          <w:tab w:val="left" w:pos="-1418"/>
        </w:tabs>
        <w:suppressAutoHyphens/>
        <w:spacing w:line="360" w:lineRule="auto"/>
        <w:jc w:val="both"/>
        <w:rPr>
          <w:rFonts w:ascii="Arial" w:hAnsi="Arial" w:cs="Arial"/>
          <w:spacing w:val="-3"/>
          <w:lang w:val="es-ES_tradnl"/>
        </w:rPr>
      </w:pPr>
    </w:p>
    <w:p w:rsidR="00B654EB" w:rsidRDefault="00B654EB">
      <w:pPr>
        <w:tabs>
          <w:tab w:val="left" w:pos="-1418"/>
        </w:tabs>
        <w:suppressAutoHyphens/>
        <w:spacing w:line="360" w:lineRule="auto"/>
        <w:jc w:val="both"/>
        <w:rPr>
          <w:rFonts w:ascii="Arial" w:hAnsi="Arial" w:cs="Arial"/>
          <w:spacing w:val="-3"/>
          <w:lang w:val="es-ES_tradnl"/>
        </w:rPr>
      </w:pPr>
    </w:p>
    <w:p w:rsidR="00B654EB" w:rsidRDefault="00B654EB">
      <w:pPr>
        <w:tabs>
          <w:tab w:val="left" w:pos="-1418"/>
        </w:tabs>
        <w:suppressAutoHyphens/>
        <w:spacing w:line="360" w:lineRule="auto"/>
        <w:jc w:val="both"/>
        <w:rPr>
          <w:rFonts w:ascii="Arial" w:hAnsi="Arial" w:cs="Arial"/>
          <w:spacing w:val="-3"/>
          <w:lang w:val="es-ES_tradnl"/>
        </w:rPr>
      </w:pPr>
    </w:p>
    <w:p w:rsidR="00B654EB" w:rsidRPr="00F65A90" w:rsidRDefault="00B654EB">
      <w:pPr>
        <w:tabs>
          <w:tab w:val="left" w:pos="-1418"/>
        </w:tabs>
        <w:suppressAutoHyphens/>
        <w:spacing w:line="360" w:lineRule="auto"/>
        <w:jc w:val="both"/>
        <w:rPr>
          <w:rFonts w:ascii="Arial" w:hAnsi="Arial" w:cs="Arial"/>
          <w:spacing w:val="-3"/>
          <w:lang w:val="es-ES_tradnl"/>
        </w:rPr>
      </w:pPr>
    </w:p>
    <w:p w:rsidR="00A26EE7" w:rsidRPr="00F65A90" w:rsidRDefault="00A26EE7">
      <w:pPr>
        <w:tabs>
          <w:tab w:val="left" w:pos="-1418"/>
        </w:tabs>
        <w:suppressAutoHyphens/>
        <w:spacing w:line="360" w:lineRule="auto"/>
        <w:jc w:val="both"/>
        <w:rPr>
          <w:rFonts w:ascii="Arial" w:hAnsi="Arial" w:cs="Arial"/>
          <w:spacing w:val="-3"/>
          <w:lang w:val="es-ES_tradnl"/>
        </w:rPr>
      </w:pPr>
    </w:p>
    <w:p w:rsidR="00F65A90" w:rsidRDefault="00F65A90" w:rsidP="00B654EB">
      <w:pPr>
        <w:spacing w:line="360" w:lineRule="auto"/>
        <w:jc w:val="center"/>
        <w:rPr>
          <w:rFonts w:ascii="Arial" w:hAnsi="Arial" w:cs="Arial"/>
          <w:b/>
        </w:rPr>
      </w:pPr>
      <w:r w:rsidRPr="00F65A90">
        <w:rPr>
          <w:rFonts w:ascii="Arial" w:hAnsi="Arial" w:cs="Arial"/>
          <w:b/>
        </w:rPr>
        <w:lastRenderedPageBreak/>
        <w:t>DICTAMEN</w:t>
      </w:r>
    </w:p>
    <w:p w:rsidR="00B654EB" w:rsidRPr="00F65A90" w:rsidRDefault="00B654EB" w:rsidP="00B654EB">
      <w:pPr>
        <w:spacing w:line="360" w:lineRule="auto"/>
        <w:jc w:val="center"/>
        <w:rPr>
          <w:rFonts w:ascii="Arial" w:hAnsi="Arial" w:cs="Arial"/>
          <w:b/>
        </w:rPr>
      </w:pPr>
    </w:p>
    <w:p w:rsidR="00F65A90" w:rsidRPr="00F65A90" w:rsidRDefault="00F65A90" w:rsidP="00BA5452">
      <w:pPr>
        <w:spacing w:line="360" w:lineRule="auto"/>
        <w:jc w:val="both"/>
        <w:rPr>
          <w:rFonts w:ascii="Arial" w:hAnsi="Arial" w:cs="Arial"/>
        </w:rPr>
      </w:pPr>
      <w:r w:rsidRPr="00F65A90">
        <w:rPr>
          <w:rFonts w:ascii="Arial" w:hAnsi="Arial" w:cs="Arial"/>
        </w:rPr>
        <w:t>El Tribunal de Cuentas ha examinado el balance de ejecución presupuestal de la Comisión Administrativa que se adjun</w:t>
      </w:r>
      <w:r w:rsidR="00B654EB">
        <w:rPr>
          <w:rFonts w:ascii="Arial" w:hAnsi="Arial" w:cs="Arial"/>
        </w:rPr>
        <w:t>ta, al 31 de diciembre de 2014.</w:t>
      </w:r>
    </w:p>
    <w:p w:rsidR="00F65A90" w:rsidRDefault="00F65A90" w:rsidP="00BA5452">
      <w:pPr>
        <w:spacing w:line="360" w:lineRule="auto"/>
        <w:jc w:val="both"/>
        <w:rPr>
          <w:rFonts w:ascii="Arial" w:hAnsi="Arial" w:cs="Arial"/>
        </w:rPr>
      </w:pPr>
      <w:r w:rsidRPr="00F65A90">
        <w:rPr>
          <w:rFonts w:ascii="Arial" w:hAnsi="Arial" w:cs="Arial"/>
        </w:rPr>
        <w:t>También se presentan, en caso de corresponder, los incumplimientos legales constatados por el Tribunal de Cuentas en el curso de la auditoría efectuada.</w:t>
      </w:r>
    </w:p>
    <w:p w:rsidR="00B654EB" w:rsidRPr="00F65A90" w:rsidRDefault="00B654EB" w:rsidP="00B654EB">
      <w:pPr>
        <w:spacing w:line="360" w:lineRule="auto"/>
        <w:rPr>
          <w:rFonts w:ascii="Arial" w:hAnsi="Arial" w:cs="Arial"/>
        </w:rPr>
      </w:pPr>
    </w:p>
    <w:p w:rsidR="00F65A90" w:rsidRPr="00F65A90" w:rsidRDefault="00F65A90" w:rsidP="00B654EB">
      <w:pPr>
        <w:spacing w:line="360" w:lineRule="auto"/>
        <w:rPr>
          <w:rFonts w:ascii="Arial" w:hAnsi="Arial" w:cs="Arial"/>
          <w:b/>
        </w:rPr>
      </w:pPr>
      <w:r w:rsidRPr="00F65A90">
        <w:rPr>
          <w:rFonts w:ascii="Arial" w:hAnsi="Arial" w:cs="Arial"/>
          <w:b/>
        </w:rPr>
        <w:t>Responsabilidad de la Dirección por los estados financieros</w:t>
      </w:r>
    </w:p>
    <w:p w:rsidR="00F65A90" w:rsidRDefault="00F65A90" w:rsidP="00BA5452">
      <w:pPr>
        <w:spacing w:line="360" w:lineRule="auto"/>
        <w:jc w:val="both"/>
        <w:rPr>
          <w:rFonts w:ascii="Arial" w:hAnsi="Arial" w:cs="Arial"/>
        </w:rPr>
      </w:pPr>
      <w:r w:rsidRPr="00F65A90">
        <w:rPr>
          <w:rFonts w:ascii="Arial" w:hAnsi="Arial" w:cs="Arial"/>
        </w:rPr>
        <w:t xml:space="preserve">La Dirección de la Comisión Administrativa es responsable por la preparación y la razonable presentación del Balance de </w:t>
      </w:r>
      <w:proofErr w:type="gramStart"/>
      <w:r w:rsidRPr="00F65A90">
        <w:rPr>
          <w:rFonts w:ascii="Arial" w:hAnsi="Arial" w:cs="Arial"/>
        </w:rPr>
        <w:t>ejecución presupuestal de acuerdo con las normas establecidas en el TOCAF y las legales y reglamentarias aplicables</w:t>
      </w:r>
      <w:proofErr w:type="gramEnd"/>
      <w:r w:rsidRPr="00F65A90">
        <w:rPr>
          <w:rFonts w:ascii="Arial" w:hAnsi="Arial" w:cs="Arial"/>
        </w:rPr>
        <w:t>.</w:t>
      </w:r>
      <w:r w:rsidRPr="00F65A90">
        <w:rPr>
          <w:rFonts w:ascii="Arial" w:hAnsi="Arial" w:cs="Arial"/>
          <w:i/>
        </w:rPr>
        <w:t xml:space="preserve"> </w:t>
      </w:r>
      <w:r w:rsidRPr="00F65A90">
        <w:rPr>
          <w:rFonts w:ascii="Arial" w:hAnsi="Arial" w:cs="Arial"/>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w:t>
      </w:r>
    </w:p>
    <w:p w:rsidR="00B654EB" w:rsidRPr="00F65A90" w:rsidRDefault="00B654EB" w:rsidP="00B654EB">
      <w:pPr>
        <w:spacing w:line="360" w:lineRule="auto"/>
        <w:jc w:val="both"/>
        <w:rPr>
          <w:rFonts w:ascii="Arial" w:hAnsi="Arial" w:cs="Arial"/>
        </w:rPr>
      </w:pPr>
    </w:p>
    <w:p w:rsidR="00F65A90" w:rsidRPr="00F65A90" w:rsidRDefault="00F65A90" w:rsidP="00B654EB">
      <w:pPr>
        <w:spacing w:line="360" w:lineRule="auto"/>
        <w:rPr>
          <w:rFonts w:ascii="Arial" w:hAnsi="Arial" w:cs="Arial"/>
          <w:b/>
        </w:rPr>
      </w:pPr>
      <w:r w:rsidRPr="00F65A90">
        <w:rPr>
          <w:rFonts w:ascii="Arial" w:hAnsi="Arial" w:cs="Arial"/>
          <w:b/>
        </w:rPr>
        <w:t xml:space="preserve"> Responsabilidad del Auditor</w:t>
      </w:r>
    </w:p>
    <w:p w:rsidR="00F65A90" w:rsidRPr="00F65A90" w:rsidRDefault="00F65A90" w:rsidP="00B654EB">
      <w:pPr>
        <w:pStyle w:val="Sangradetindependiente"/>
        <w:tabs>
          <w:tab w:val="clear" w:pos="860"/>
        </w:tabs>
        <w:spacing w:after="0" w:line="360" w:lineRule="auto"/>
        <w:rPr>
          <w:rFonts w:ascii="Arial" w:hAnsi="Arial" w:cs="Arial"/>
          <w:sz w:val="24"/>
          <w:szCs w:val="24"/>
        </w:rPr>
      </w:pPr>
      <w:r w:rsidRPr="00F65A90">
        <w:rPr>
          <w:rFonts w:ascii="Arial" w:hAnsi="Arial" w:cs="Arial"/>
          <w:sz w:val="24"/>
          <w:szCs w:val="24"/>
        </w:rPr>
        <w:t>La responsabilidad del Tribunal de Cuentas es expresar una opinión sobre dichos estados basada en la auditoría realizada. Esta auditoría fue practicada de acuerdo con los Principios Fundamentales de Auditoría (ISSAI 100 y 200)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F65A90" w:rsidRPr="00F65A90" w:rsidRDefault="00F65A90" w:rsidP="00B654EB">
      <w:pPr>
        <w:spacing w:line="360" w:lineRule="auto"/>
        <w:jc w:val="both"/>
        <w:rPr>
          <w:rFonts w:ascii="Arial" w:hAnsi="Arial" w:cs="Arial"/>
        </w:rPr>
      </w:pPr>
      <w:r w:rsidRPr="00F65A90">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financieros.</w:t>
      </w:r>
    </w:p>
    <w:p w:rsidR="00F65A90" w:rsidRDefault="00F65A90" w:rsidP="00B654EB">
      <w:pPr>
        <w:spacing w:line="360" w:lineRule="auto"/>
        <w:jc w:val="both"/>
        <w:rPr>
          <w:rFonts w:ascii="Arial" w:hAnsi="Arial" w:cs="Arial"/>
        </w:rPr>
      </w:pPr>
      <w:r w:rsidRPr="00F65A90">
        <w:rPr>
          <w:rFonts w:ascii="Arial" w:hAnsi="Arial" w:cs="Arial"/>
        </w:rPr>
        <w:t>Se considera que la evidencia de auditoría obtenida brinda una base suficiente y apropiada para sustentar la opinión.</w:t>
      </w:r>
    </w:p>
    <w:p w:rsidR="00B654EB" w:rsidRPr="00F65A90" w:rsidRDefault="00B654EB" w:rsidP="00B654EB">
      <w:pPr>
        <w:spacing w:line="360" w:lineRule="auto"/>
        <w:jc w:val="both"/>
        <w:rPr>
          <w:rFonts w:ascii="Arial" w:hAnsi="Arial" w:cs="Arial"/>
        </w:rPr>
      </w:pPr>
    </w:p>
    <w:p w:rsidR="00F65A90" w:rsidRPr="00F65A90" w:rsidRDefault="00F65A90" w:rsidP="00B654EB">
      <w:pPr>
        <w:spacing w:line="360" w:lineRule="auto"/>
        <w:rPr>
          <w:rFonts w:ascii="Arial" w:hAnsi="Arial" w:cs="Arial"/>
          <w:b/>
        </w:rPr>
      </w:pPr>
      <w:r w:rsidRPr="00F65A90">
        <w:rPr>
          <w:rFonts w:ascii="Arial" w:hAnsi="Arial" w:cs="Arial"/>
          <w:b/>
        </w:rPr>
        <w:t>Opinión</w:t>
      </w:r>
    </w:p>
    <w:p w:rsidR="00F65A90" w:rsidRPr="00F65A90" w:rsidRDefault="00F65A90" w:rsidP="00BA5452">
      <w:pPr>
        <w:spacing w:line="360" w:lineRule="auto"/>
        <w:jc w:val="both"/>
        <w:rPr>
          <w:rFonts w:ascii="Arial" w:hAnsi="Arial" w:cs="Arial"/>
          <w:i/>
        </w:rPr>
      </w:pPr>
      <w:r w:rsidRPr="00F65A90">
        <w:rPr>
          <w:rFonts w:ascii="Arial" w:hAnsi="Arial" w:cs="Arial"/>
        </w:rPr>
        <w:t>En opinión del Tribunal de Cuentas, el Balance de ejecución presupuestal referido precedentemente presenta razonablemente, en todos sus aspectos importantes, la ejecución presupuestal de la Comisión Administrativa, correspondiente al Ejercicio finalizado el 31 de diciembre de 2014, de acuerdo con las normas y los criterios establecidos en el TOCAF y otras normas legales y reglamentarias vigentes, aplicables en mat</w:t>
      </w:r>
      <w:r w:rsidR="00B654EB">
        <w:rPr>
          <w:rFonts w:ascii="Arial" w:hAnsi="Arial" w:cs="Arial"/>
        </w:rPr>
        <w:t>eria de ejecución presupuestal.</w:t>
      </w:r>
    </w:p>
    <w:p w:rsidR="00F65A90" w:rsidRPr="00F65A90" w:rsidRDefault="00F65A90" w:rsidP="00BA5452">
      <w:pPr>
        <w:pStyle w:val="Textoindependiente2"/>
        <w:spacing w:after="0" w:line="360" w:lineRule="auto"/>
        <w:jc w:val="both"/>
        <w:rPr>
          <w:rFonts w:ascii="Arial" w:hAnsi="Arial" w:cs="Arial"/>
          <w:sz w:val="24"/>
          <w:szCs w:val="24"/>
        </w:rPr>
      </w:pPr>
      <w:r w:rsidRPr="00F65A90">
        <w:rPr>
          <w:rFonts w:ascii="Arial" w:hAnsi="Arial" w:cs="Arial"/>
          <w:sz w:val="24"/>
          <w:szCs w:val="24"/>
        </w:rPr>
        <w:t>Con relación al cumplimiento de la normativa vigente, en el curso de la auditoría realizada, se ha constatado que no se ha dado cumplimiento a las siguientes normas:</w:t>
      </w:r>
    </w:p>
    <w:p w:rsidR="00F65A90" w:rsidRPr="00F65A90" w:rsidRDefault="00F65A90" w:rsidP="00BA5452">
      <w:pPr>
        <w:pStyle w:val="Textoindependiente2"/>
        <w:numPr>
          <w:ilvl w:val="0"/>
          <w:numId w:val="5"/>
        </w:numPr>
        <w:spacing w:after="0" w:line="360" w:lineRule="auto"/>
        <w:jc w:val="both"/>
        <w:rPr>
          <w:rFonts w:ascii="Arial" w:hAnsi="Arial" w:cs="Arial"/>
          <w:sz w:val="24"/>
          <w:szCs w:val="24"/>
        </w:rPr>
      </w:pPr>
      <w:r w:rsidRPr="00F65A90">
        <w:rPr>
          <w:rFonts w:ascii="Arial" w:hAnsi="Arial" w:cs="Arial"/>
          <w:sz w:val="24"/>
          <w:szCs w:val="24"/>
        </w:rPr>
        <w:t>Artículo 130 del TOCAF y Artículo 214 de la Constitución de la República, por no remitir en plazo la información de la ejecución de los créditos de gastos e inversiones a la Contaduría General de la Nación.</w:t>
      </w:r>
    </w:p>
    <w:p w:rsidR="00F65A90" w:rsidRPr="00F65A90" w:rsidRDefault="00F65A90" w:rsidP="00B654EB">
      <w:pPr>
        <w:pStyle w:val="Textoindependiente2"/>
        <w:spacing w:after="0" w:line="360" w:lineRule="auto"/>
        <w:ind w:left="720"/>
        <w:jc w:val="right"/>
        <w:rPr>
          <w:rFonts w:ascii="Arial" w:hAnsi="Arial" w:cs="Arial"/>
          <w:sz w:val="24"/>
          <w:szCs w:val="24"/>
        </w:rPr>
      </w:pPr>
      <w:r w:rsidRPr="00F65A90">
        <w:rPr>
          <w:rFonts w:ascii="Arial" w:hAnsi="Arial" w:cs="Arial"/>
          <w:sz w:val="24"/>
          <w:szCs w:val="24"/>
        </w:rPr>
        <w:t>Montevideo, 18 de diciembre de 2015</w:t>
      </w:r>
    </w:p>
    <w:p w:rsidR="00F65A90" w:rsidRPr="00F65A90" w:rsidRDefault="00F65A90">
      <w:pPr>
        <w:rPr>
          <w:rFonts w:ascii="Arial" w:hAnsi="Arial" w:cs="Arial"/>
        </w:rPr>
      </w:pPr>
    </w:p>
    <w:p w:rsidR="00F65A90" w:rsidRDefault="00F65A90">
      <w:pPr>
        <w:rPr>
          <w:rFonts w:ascii="Arial" w:hAnsi="Arial" w:cs="Arial"/>
        </w:rPr>
      </w:pPr>
    </w:p>
    <w:p w:rsidR="005144EF" w:rsidRDefault="005144EF">
      <w:pPr>
        <w:rPr>
          <w:rFonts w:ascii="Arial" w:hAnsi="Arial" w:cs="Arial"/>
        </w:rPr>
      </w:pPr>
    </w:p>
    <w:p w:rsidR="005144EF" w:rsidRDefault="005144EF">
      <w:pPr>
        <w:rPr>
          <w:rFonts w:ascii="Arial" w:hAnsi="Arial" w:cs="Arial"/>
        </w:rPr>
      </w:pPr>
    </w:p>
    <w:p w:rsidR="005144EF" w:rsidRDefault="005144EF">
      <w:pPr>
        <w:rPr>
          <w:rFonts w:ascii="Arial" w:hAnsi="Arial" w:cs="Arial"/>
        </w:rPr>
      </w:pPr>
    </w:p>
    <w:p w:rsidR="005144EF" w:rsidRPr="00F65A90" w:rsidRDefault="005144EF">
      <w:pPr>
        <w:rPr>
          <w:rFonts w:ascii="Arial" w:hAnsi="Arial" w:cs="Arial"/>
        </w:rPr>
      </w:pPr>
    </w:p>
    <w:p w:rsidR="00F65A90" w:rsidRPr="00F65A90" w:rsidRDefault="00F65A90">
      <w:pPr>
        <w:rPr>
          <w:rFonts w:ascii="Arial" w:hAnsi="Arial" w:cs="Arial"/>
        </w:rPr>
      </w:pPr>
    </w:p>
    <w:p w:rsidR="00F65A90" w:rsidRDefault="00F65A90" w:rsidP="00B654EB">
      <w:pPr>
        <w:jc w:val="center"/>
        <w:rPr>
          <w:rFonts w:ascii="Arial" w:hAnsi="Arial" w:cs="Arial"/>
          <w:b/>
        </w:rPr>
      </w:pPr>
      <w:r w:rsidRPr="00F65A90">
        <w:rPr>
          <w:rFonts w:ascii="Arial" w:hAnsi="Arial" w:cs="Arial"/>
          <w:b/>
        </w:rPr>
        <w:t>INFORME A LA ADMINISTRACIÓN</w:t>
      </w:r>
    </w:p>
    <w:p w:rsidR="005144EF" w:rsidRPr="00F65A90" w:rsidRDefault="005144EF" w:rsidP="00B654EB">
      <w:pPr>
        <w:jc w:val="center"/>
        <w:rPr>
          <w:rFonts w:ascii="Arial" w:hAnsi="Arial" w:cs="Arial"/>
          <w:b/>
        </w:rPr>
      </w:pPr>
    </w:p>
    <w:p w:rsidR="00F65A90" w:rsidRPr="00F65A90" w:rsidRDefault="00F65A90" w:rsidP="00B654EB">
      <w:pPr>
        <w:rPr>
          <w:rFonts w:ascii="Arial" w:hAnsi="Arial" w:cs="Arial"/>
        </w:rPr>
      </w:pPr>
    </w:p>
    <w:p w:rsidR="00F65A90" w:rsidRPr="00F65A90" w:rsidRDefault="00F65A90" w:rsidP="005144EF">
      <w:pPr>
        <w:spacing w:line="360" w:lineRule="auto"/>
        <w:jc w:val="both"/>
        <w:rPr>
          <w:rFonts w:ascii="Arial" w:hAnsi="Arial" w:cs="Arial"/>
        </w:rPr>
      </w:pPr>
      <w:r w:rsidRPr="00F65A90">
        <w:rPr>
          <w:rFonts w:ascii="Arial" w:hAnsi="Arial" w:cs="Arial"/>
        </w:rPr>
        <w:t>El Tribunal de Cuentas ha examinado el Balance de Ejecución Presupuestal de la Comisión Administrativa, por el Ejercicio finalizado el 31 de diciembre de 2014 y ha emitido su Dictamen.</w:t>
      </w:r>
    </w:p>
    <w:p w:rsidR="00F65A90" w:rsidRPr="00F65A90" w:rsidRDefault="00F65A90" w:rsidP="005144EF">
      <w:pPr>
        <w:spacing w:line="360" w:lineRule="auto"/>
        <w:jc w:val="both"/>
        <w:rPr>
          <w:rFonts w:ascii="Arial" w:hAnsi="Arial" w:cs="Arial"/>
        </w:rPr>
      </w:pPr>
      <w:r w:rsidRPr="00F65A90">
        <w:rPr>
          <w:rFonts w:ascii="Arial" w:hAnsi="Arial" w:cs="Arial"/>
        </w:rPr>
        <w:t>Este informe contiene consideraciones relativas a la evaluación del control interno. Se incluyen además, comentarios que se ha entendido pertinente exponer, relacionados con la situación de determinados capítulos y rubros de los estados examinados y a disposiciones legales vigentes.</w:t>
      </w:r>
    </w:p>
    <w:p w:rsidR="00F65A90" w:rsidRPr="00F65A90" w:rsidRDefault="00F65A90" w:rsidP="005144EF">
      <w:pPr>
        <w:spacing w:line="360" w:lineRule="auto"/>
        <w:jc w:val="both"/>
        <w:rPr>
          <w:rFonts w:ascii="Arial" w:hAnsi="Arial" w:cs="Arial"/>
        </w:rPr>
      </w:pPr>
      <w:r w:rsidRPr="00F65A90">
        <w:rPr>
          <w:rFonts w:ascii="Arial" w:hAnsi="Arial" w:cs="Arial"/>
        </w:rPr>
        <w:t xml:space="preserve">También se agregan las principales recomendaciones que </w:t>
      </w:r>
      <w:proofErr w:type="gramStart"/>
      <w:r w:rsidRPr="00F65A90">
        <w:rPr>
          <w:rFonts w:ascii="Arial" w:hAnsi="Arial" w:cs="Arial"/>
        </w:rPr>
        <w:t>deberá</w:t>
      </w:r>
      <w:proofErr w:type="gramEnd"/>
      <w:r w:rsidRPr="00F65A90">
        <w:rPr>
          <w:rFonts w:ascii="Arial" w:hAnsi="Arial" w:cs="Arial"/>
        </w:rPr>
        <w:t xml:space="preserve"> atender el Organismo y una evaluación del cumplimiento de las recomendaciones presentadas en el informe de auditoría del Ejercicio anterior.</w:t>
      </w:r>
    </w:p>
    <w:p w:rsidR="00F65A90" w:rsidRPr="00F65A90" w:rsidRDefault="00F65A90" w:rsidP="00B654EB">
      <w:pPr>
        <w:spacing w:line="360" w:lineRule="auto"/>
        <w:rPr>
          <w:rFonts w:ascii="Arial" w:hAnsi="Arial" w:cs="Arial"/>
        </w:rPr>
      </w:pPr>
    </w:p>
    <w:p w:rsidR="00F65A90" w:rsidRPr="00F65A90" w:rsidRDefault="00F616F8" w:rsidP="00B654EB">
      <w:pPr>
        <w:spacing w:line="360" w:lineRule="auto"/>
        <w:rPr>
          <w:rFonts w:ascii="Arial" w:hAnsi="Arial" w:cs="Arial"/>
          <w:b/>
        </w:rPr>
      </w:pPr>
      <w:r>
        <w:rPr>
          <w:rFonts w:ascii="Arial" w:hAnsi="Arial" w:cs="Arial"/>
          <w:b/>
        </w:rPr>
        <w:t>Presentación de los Estados</w:t>
      </w:r>
    </w:p>
    <w:p w:rsidR="00F65A90" w:rsidRPr="00F65A90" w:rsidRDefault="00F65A90" w:rsidP="005144EF">
      <w:pPr>
        <w:spacing w:line="360" w:lineRule="auto"/>
        <w:jc w:val="both"/>
        <w:rPr>
          <w:rFonts w:ascii="Arial" w:hAnsi="Arial" w:cs="Arial"/>
        </w:rPr>
      </w:pPr>
      <w:r w:rsidRPr="00F65A90">
        <w:rPr>
          <w:rFonts w:ascii="Arial" w:hAnsi="Arial" w:cs="Arial"/>
        </w:rPr>
        <w:t xml:space="preserve">El Balance de ejecución presupuestal de la Comisión Administrativa </w:t>
      </w:r>
      <w:proofErr w:type="gramStart"/>
      <w:r w:rsidRPr="00F65A90">
        <w:rPr>
          <w:rFonts w:ascii="Arial" w:hAnsi="Arial" w:cs="Arial"/>
        </w:rPr>
        <w:t>correspondientes</w:t>
      </w:r>
      <w:proofErr w:type="gramEnd"/>
      <w:r w:rsidRPr="00F65A90">
        <w:rPr>
          <w:rFonts w:ascii="Arial" w:hAnsi="Arial" w:cs="Arial"/>
        </w:rPr>
        <w:t xml:space="preserve"> al Ejercicio finalizado el 31 de diciembre de 2014, fue remitido para su examen a este Tribunal con fecha 28 de agosto de 2015.</w:t>
      </w:r>
    </w:p>
    <w:p w:rsidR="00F65A90" w:rsidRPr="00F65A90" w:rsidRDefault="00F65A90" w:rsidP="00B654EB">
      <w:pPr>
        <w:spacing w:line="360" w:lineRule="auto"/>
        <w:rPr>
          <w:rFonts w:ascii="Arial" w:hAnsi="Arial" w:cs="Arial"/>
        </w:rPr>
      </w:pPr>
    </w:p>
    <w:p w:rsidR="00F65A90" w:rsidRPr="00F65A90" w:rsidRDefault="00F65A90" w:rsidP="00B654EB">
      <w:pPr>
        <w:spacing w:line="360" w:lineRule="auto"/>
        <w:rPr>
          <w:rFonts w:ascii="Arial" w:hAnsi="Arial" w:cs="Arial"/>
          <w:b/>
        </w:rPr>
      </w:pPr>
      <w:r w:rsidRPr="00F65A90">
        <w:rPr>
          <w:rFonts w:ascii="Arial" w:hAnsi="Arial" w:cs="Arial"/>
          <w:b/>
        </w:rPr>
        <w:t>Cumplimiento de disposiciones legales y reglamentarias</w:t>
      </w:r>
    </w:p>
    <w:p w:rsidR="00F65A90" w:rsidRPr="00F65A90" w:rsidRDefault="00F65A90" w:rsidP="00B654EB">
      <w:pPr>
        <w:spacing w:line="360" w:lineRule="auto"/>
        <w:rPr>
          <w:rFonts w:ascii="Arial" w:hAnsi="Arial" w:cs="Arial"/>
          <w:b/>
        </w:rPr>
      </w:pPr>
      <w:r w:rsidRPr="00F65A90">
        <w:rPr>
          <w:rFonts w:ascii="Arial" w:hAnsi="Arial" w:cs="Arial"/>
          <w:b/>
        </w:rPr>
        <w:t>Exposición de la Ejecución presupuestal en el SIIF</w:t>
      </w:r>
    </w:p>
    <w:p w:rsidR="00F65A90" w:rsidRPr="00F65A90" w:rsidRDefault="00F65A90" w:rsidP="005144EF">
      <w:pPr>
        <w:spacing w:line="360" w:lineRule="auto"/>
        <w:jc w:val="both"/>
        <w:rPr>
          <w:rFonts w:ascii="Arial" w:hAnsi="Arial" w:cs="Arial"/>
        </w:rPr>
      </w:pPr>
      <w:r w:rsidRPr="00F65A90">
        <w:rPr>
          <w:rFonts w:ascii="Arial" w:hAnsi="Arial" w:cs="Arial"/>
        </w:rPr>
        <w:t></w:t>
      </w:r>
      <w:r w:rsidRPr="00F65A90">
        <w:rPr>
          <w:rFonts w:ascii="Arial" w:hAnsi="Arial" w:cs="Arial"/>
        </w:rPr>
        <w:tab/>
        <w:t>La información relativa a la ejecución de los créditos de gastos e inversiones del Ejercicio 2014, no fue remitida a la Contaduría General de la Nación con la debida antelación (fue enviada el 20/08/2015) a los efectos de su exposición en el Balance de Ejecución Presupuestal a que refiere el Artículo 214 de la Constitución de la Repúbli</w:t>
      </w:r>
      <w:r w:rsidR="005144EF">
        <w:rPr>
          <w:rFonts w:ascii="Arial" w:hAnsi="Arial" w:cs="Arial"/>
        </w:rPr>
        <w:t>ca y el Artículo 130 del TOCAF.</w:t>
      </w:r>
    </w:p>
    <w:p w:rsidR="00F65A90" w:rsidRPr="00F65A90" w:rsidRDefault="00F65A90" w:rsidP="00B654EB">
      <w:pPr>
        <w:spacing w:line="360" w:lineRule="auto"/>
        <w:rPr>
          <w:rFonts w:ascii="Arial" w:hAnsi="Arial" w:cs="Arial"/>
        </w:rPr>
      </w:pPr>
    </w:p>
    <w:p w:rsidR="00F65A90" w:rsidRPr="00F65A90" w:rsidRDefault="00F65A90" w:rsidP="00B654EB">
      <w:pPr>
        <w:spacing w:line="360" w:lineRule="auto"/>
        <w:rPr>
          <w:rFonts w:ascii="Arial" w:hAnsi="Arial" w:cs="Arial"/>
          <w:b/>
        </w:rPr>
      </w:pPr>
      <w:r w:rsidRPr="00F65A90">
        <w:rPr>
          <w:rFonts w:ascii="Arial" w:hAnsi="Arial" w:cs="Arial"/>
          <w:b/>
        </w:rPr>
        <w:t>Recomendaciones</w:t>
      </w:r>
    </w:p>
    <w:p w:rsidR="00F65A90" w:rsidRPr="00F65A90" w:rsidRDefault="00F65A90" w:rsidP="00B654EB">
      <w:pPr>
        <w:spacing w:line="360" w:lineRule="auto"/>
        <w:rPr>
          <w:rFonts w:ascii="Arial" w:hAnsi="Arial" w:cs="Arial"/>
          <w:b/>
        </w:rPr>
      </w:pPr>
      <w:r w:rsidRPr="00F65A90">
        <w:rPr>
          <w:rFonts w:ascii="Arial" w:hAnsi="Arial" w:cs="Arial"/>
          <w:b/>
        </w:rPr>
        <w:t>1) Recomendaciones de Ejercicios anteriores</w:t>
      </w:r>
    </w:p>
    <w:p w:rsidR="00F65A90" w:rsidRPr="00F65A90" w:rsidRDefault="00F65A90" w:rsidP="00B654EB">
      <w:pPr>
        <w:spacing w:line="360" w:lineRule="auto"/>
        <w:rPr>
          <w:rFonts w:ascii="Arial" w:hAnsi="Arial" w:cs="Arial"/>
        </w:rPr>
      </w:pPr>
      <w:r w:rsidRPr="00F65A90">
        <w:rPr>
          <w:rFonts w:ascii="Arial" w:hAnsi="Arial" w:cs="Arial"/>
          <w:b/>
        </w:rPr>
        <w:t>1.1)</w:t>
      </w:r>
      <w:r w:rsidRPr="00F65A90">
        <w:rPr>
          <w:rFonts w:ascii="Arial" w:hAnsi="Arial" w:cs="Arial"/>
        </w:rPr>
        <w:t xml:space="preserve"> </w:t>
      </w:r>
      <w:r w:rsidRPr="00F65A90">
        <w:rPr>
          <w:rFonts w:ascii="Arial" w:hAnsi="Arial" w:cs="Arial"/>
          <w:b/>
        </w:rPr>
        <w:t>No cumplidas</w:t>
      </w:r>
      <w:r w:rsidRPr="00F65A90">
        <w:rPr>
          <w:rFonts w:ascii="Arial" w:hAnsi="Arial" w:cs="Arial"/>
        </w:rPr>
        <w:t>: La Comisión Administrativa no ha implementado medidas correctivas respecto a:</w:t>
      </w:r>
    </w:p>
    <w:p w:rsidR="00F65A90" w:rsidRPr="00F65A90" w:rsidRDefault="00F65A90" w:rsidP="005144EF">
      <w:pPr>
        <w:spacing w:line="360" w:lineRule="auto"/>
        <w:jc w:val="both"/>
        <w:rPr>
          <w:rFonts w:ascii="Arial" w:hAnsi="Arial" w:cs="Arial"/>
        </w:rPr>
      </w:pPr>
      <w:r w:rsidRPr="00F65A90">
        <w:rPr>
          <w:rFonts w:ascii="Arial" w:hAnsi="Arial" w:cs="Arial"/>
        </w:rPr>
        <w:t></w:t>
      </w:r>
      <w:r w:rsidRPr="00F65A90">
        <w:rPr>
          <w:rFonts w:ascii="Arial" w:hAnsi="Arial" w:cs="Arial"/>
        </w:rPr>
        <w:tab/>
        <w:t>No remite en plazo la información relativa a la ejecución de los créditos de gastos e inversiones del Ejercicio 2014 a la Contaduría General de la Nación, a los efectos de su exposición en el Balance de Ejecución Presupuestal a que refiere el Artículo 214 de la Constitución de la República</w:t>
      </w:r>
      <w:r w:rsidR="005144EF">
        <w:rPr>
          <w:rFonts w:ascii="Arial" w:hAnsi="Arial" w:cs="Arial"/>
        </w:rPr>
        <w:t>, y el  Artículo 130 del TOCAF.</w:t>
      </w:r>
    </w:p>
    <w:p w:rsidR="00F65A90" w:rsidRDefault="00F65A90" w:rsidP="005144EF">
      <w:pPr>
        <w:spacing w:line="360" w:lineRule="auto"/>
        <w:jc w:val="both"/>
        <w:rPr>
          <w:rFonts w:ascii="Arial" w:hAnsi="Arial" w:cs="Arial"/>
        </w:rPr>
      </w:pPr>
      <w:r w:rsidRPr="00F65A90">
        <w:rPr>
          <w:rFonts w:ascii="Arial" w:hAnsi="Arial" w:cs="Arial"/>
          <w:b/>
        </w:rPr>
        <w:t>1.2)</w:t>
      </w:r>
      <w:r w:rsidRPr="00F65A90">
        <w:rPr>
          <w:rFonts w:ascii="Arial" w:hAnsi="Arial" w:cs="Arial"/>
        </w:rPr>
        <w:t xml:space="preserve"> </w:t>
      </w:r>
      <w:r w:rsidRPr="00F65A90">
        <w:rPr>
          <w:rFonts w:ascii="Arial" w:hAnsi="Arial" w:cs="Arial"/>
          <w:b/>
        </w:rPr>
        <w:t>Cumplidas</w:t>
      </w:r>
      <w:r w:rsidRPr="00F65A90">
        <w:rPr>
          <w:rFonts w:ascii="Arial" w:hAnsi="Arial" w:cs="Arial"/>
        </w:rPr>
        <w:t>: Con fecha 16/12/2015, se realiza depósito en la cuenta de la Tesorería General de la Nación, del saldo de los créditos no utilizados en el Ejercicio 2014 por $ 15.326.46.</w:t>
      </w:r>
    </w:p>
    <w:p w:rsidR="00F616F8" w:rsidRPr="00F65A90" w:rsidRDefault="00F616F8" w:rsidP="005144EF">
      <w:pPr>
        <w:spacing w:line="360" w:lineRule="auto"/>
        <w:jc w:val="both"/>
        <w:rPr>
          <w:rFonts w:ascii="Arial" w:hAnsi="Arial" w:cs="Arial"/>
        </w:rPr>
      </w:pPr>
    </w:p>
    <w:p w:rsidR="00F65A90" w:rsidRPr="00F65A90" w:rsidRDefault="00F65A90" w:rsidP="00B654EB">
      <w:pPr>
        <w:spacing w:line="360" w:lineRule="auto"/>
        <w:rPr>
          <w:rFonts w:ascii="Arial" w:hAnsi="Arial" w:cs="Arial"/>
        </w:rPr>
      </w:pPr>
      <w:r w:rsidRPr="00F65A90">
        <w:rPr>
          <w:rFonts w:ascii="Arial" w:hAnsi="Arial" w:cs="Arial"/>
          <w:b/>
        </w:rPr>
        <w:t>2)</w:t>
      </w:r>
      <w:r w:rsidRPr="00F65A90">
        <w:rPr>
          <w:rFonts w:ascii="Arial" w:hAnsi="Arial" w:cs="Arial"/>
        </w:rPr>
        <w:t xml:space="preserve"> </w:t>
      </w:r>
      <w:r w:rsidRPr="00F65A90">
        <w:rPr>
          <w:rFonts w:ascii="Arial" w:hAnsi="Arial" w:cs="Arial"/>
          <w:b/>
        </w:rPr>
        <w:t>Recomendaciones del presente Ejercicio</w:t>
      </w:r>
    </w:p>
    <w:p w:rsidR="00F65A90" w:rsidRPr="00F65A90" w:rsidRDefault="00F65A90" w:rsidP="00B654EB">
      <w:pPr>
        <w:spacing w:line="360" w:lineRule="auto"/>
        <w:rPr>
          <w:rFonts w:ascii="Arial" w:hAnsi="Arial" w:cs="Arial"/>
        </w:rPr>
      </w:pPr>
      <w:r w:rsidRPr="00F65A90">
        <w:rPr>
          <w:rFonts w:ascii="Arial" w:hAnsi="Arial" w:cs="Arial"/>
        </w:rPr>
        <w:t></w:t>
      </w:r>
      <w:r w:rsidRPr="00F65A90">
        <w:rPr>
          <w:rFonts w:ascii="Arial" w:hAnsi="Arial" w:cs="Arial"/>
        </w:rPr>
        <w:tab/>
        <w:t>Se reitera la recomendación no cum</w:t>
      </w:r>
      <w:r w:rsidR="00AE07CE">
        <w:rPr>
          <w:rFonts w:ascii="Arial" w:hAnsi="Arial" w:cs="Arial"/>
        </w:rPr>
        <w:t>plida de Ejercicios anteriores.</w:t>
      </w:r>
    </w:p>
    <w:p w:rsidR="00F65A90" w:rsidRPr="00F65A90" w:rsidRDefault="00F65A90" w:rsidP="00B654EB">
      <w:pPr>
        <w:spacing w:line="360" w:lineRule="auto"/>
        <w:jc w:val="right"/>
        <w:rPr>
          <w:rFonts w:ascii="Arial" w:hAnsi="Arial" w:cs="Arial"/>
        </w:rPr>
      </w:pPr>
      <w:r w:rsidRPr="00F65A90">
        <w:rPr>
          <w:rFonts w:ascii="Arial" w:hAnsi="Arial" w:cs="Arial"/>
        </w:rPr>
        <w:t>Montevideo, 18 de diciembre de 2015</w:t>
      </w:r>
    </w:p>
    <w:p w:rsidR="00A26EE7" w:rsidRPr="00F65A90" w:rsidRDefault="00F65A90" w:rsidP="00F65A90">
      <w:pPr>
        <w:spacing w:line="360" w:lineRule="auto"/>
        <w:rPr>
          <w:rFonts w:ascii="Arial" w:hAnsi="Arial" w:cs="Arial"/>
        </w:rPr>
      </w:pPr>
      <w:proofErr w:type="spellStart"/>
      <w:proofErr w:type="gramStart"/>
      <w:r w:rsidRPr="00F65A90">
        <w:rPr>
          <w:rFonts w:ascii="Arial" w:hAnsi="Arial" w:cs="Arial"/>
        </w:rPr>
        <w:t>cr</w:t>
      </w:r>
      <w:proofErr w:type="spellEnd"/>
      <w:proofErr w:type="gramEnd"/>
    </w:p>
    <w:sectPr w:rsidR="00A26EE7" w:rsidRPr="00F65A90" w:rsidSect="00A26EE7">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52" w:rsidRDefault="00BA5452">
      <w:r>
        <w:separator/>
      </w:r>
    </w:p>
  </w:endnote>
  <w:endnote w:type="continuationSeparator" w:id="0">
    <w:p w:rsidR="00BA5452" w:rsidRDefault="00BA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52" w:rsidRDefault="00BA5452">
      <w:r>
        <w:separator/>
      </w:r>
    </w:p>
  </w:footnote>
  <w:footnote w:type="continuationSeparator" w:id="0">
    <w:p w:rsidR="00BA5452" w:rsidRDefault="00BA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5E9C"/>
    <w:multiLevelType w:val="hybridMultilevel"/>
    <w:tmpl w:val="9CFE4566"/>
    <w:lvl w:ilvl="0" w:tplc="5B5EB008">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AB28D7"/>
    <w:multiLevelType w:val="hybridMultilevel"/>
    <w:tmpl w:val="64C2F81E"/>
    <w:lvl w:ilvl="0" w:tplc="AC3C06F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39B7C66"/>
    <w:multiLevelType w:val="hybridMultilevel"/>
    <w:tmpl w:val="268E84E0"/>
    <w:lvl w:ilvl="0" w:tplc="0C0A000F">
      <w:start w:val="1"/>
      <w:numFmt w:val="decimal"/>
      <w:lvlText w:val="%1."/>
      <w:lvlJc w:val="left"/>
      <w:pPr>
        <w:tabs>
          <w:tab w:val="num" w:pos="720"/>
        </w:tabs>
        <w:ind w:left="720" w:hanging="360"/>
      </w:pPr>
    </w:lvl>
    <w:lvl w:ilvl="1" w:tplc="AC3C06FC">
      <w:numFmt w:val="bullet"/>
      <w:lvlText w:val="-"/>
      <w:lvlJc w:val="left"/>
      <w:pPr>
        <w:tabs>
          <w:tab w:val="num" w:pos="1440"/>
        </w:tabs>
        <w:ind w:left="1440" w:hanging="360"/>
      </w:pPr>
      <w:rPr>
        <w:rFonts w:ascii="Times New Roman" w:eastAsia="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DA64AC8"/>
    <w:multiLevelType w:val="singleLevel"/>
    <w:tmpl w:val="C8DE82F6"/>
    <w:lvl w:ilvl="0">
      <w:start w:val="1"/>
      <w:numFmt w:val="decimal"/>
      <w:lvlText w:val="%1)"/>
      <w:lvlJc w:val="left"/>
      <w:pPr>
        <w:tabs>
          <w:tab w:val="num" w:pos="360"/>
        </w:tabs>
        <w:ind w:left="340" w:hanging="340"/>
      </w:pPr>
      <w:rPr>
        <w:rFonts w:ascii="Arial" w:hAnsi="Arial" w:hint="default"/>
        <w:b/>
        <w:i w:val="0"/>
        <w:sz w:val="24"/>
      </w:rPr>
    </w:lvl>
  </w:abstractNum>
  <w:abstractNum w:abstractNumId="4">
    <w:nsid w:val="7ED9170E"/>
    <w:multiLevelType w:val="multilevel"/>
    <w:tmpl w:val="4C0015AA"/>
    <w:lvl w:ilvl="0">
      <w:start w:val="4"/>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56"/>
    <w:rsid w:val="000C3307"/>
    <w:rsid w:val="00202D10"/>
    <w:rsid w:val="00301009"/>
    <w:rsid w:val="00416408"/>
    <w:rsid w:val="00462DB6"/>
    <w:rsid w:val="004E595E"/>
    <w:rsid w:val="005144EF"/>
    <w:rsid w:val="00625EC7"/>
    <w:rsid w:val="00637168"/>
    <w:rsid w:val="008B04AA"/>
    <w:rsid w:val="00963680"/>
    <w:rsid w:val="009C0178"/>
    <w:rsid w:val="00A26EE7"/>
    <w:rsid w:val="00A4609E"/>
    <w:rsid w:val="00AE07CE"/>
    <w:rsid w:val="00B00B4A"/>
    <w:rsid w:val="00B654EB"/>
    <w:rsid w:val="00B728B3"/>
    <w:rsid w:val="00BA5452"/>
    <w:rsid w:val="00BD2B55"/>
    <w:rsid w:val="00BE61FC"/>
    <w:rsid w:val="00CD2DDF"/>
    <w:rsid w:val="00D30EC6"/>
    <w:rsid w:val="00D4319D"/>
    <w:rsid w:val="00DC7EB1"/>
    <w:rsid w:val="00E105AC"/>
    <w:rsid w:val="00E23156"/>
    <w:rsid w:val="00E413F2"/>
    <w:rsid w:val="00E81EBD"/>
    <w:rsid w:val="00F351EA"/>
    <w:rsid w:val="00F616F8"/>
    <w:rsid w:val="00F65A90"/>
    <w:rsid w:val="00FE7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AA"/>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8B04AA"/>
    <w:pPr>
      <w:keepNext/>
      <w:keepLines/>
      <w:spacing w:before="200"/>
      <w:outlineLvl w:val="5"/>
    </w:pPr>
    <w:rPr>
      <w:rFonts w:ascii="Cambria" w:hAnsi="Cambria"/>
      <w:i/>
      <w:iCs/>
      <w:color w:val="243F60"/>
    </w:rPr>
  </w:style>
  <w:style w:type="paragraph" w:styleId="Ttulo8">
    <w:name w:val="heading 8"/>
    <w:basedOn w:val="Normal"/>
    <w:next w:val="Normal"/>
    <w:qFormat/>
    <w:rsid w:val="008B04AA"/>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8B04AA"/>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8B04AA"/>
    <w:pPr>
      <w:widowControl w:val="0"/>
    </w:pPr>
    <w:rPr>
      <w:rFonts w:ascii="Courier New" w:hAnsi="Courier New"/>
      <w:snapToGrid w:val="0"/>
      <w:szCs w:val="20"/>
    </w:rPr>
  </w:style>
  <w:style w:type="character" w:customStyle="1" w:styleId="Ttulo6Car">
    <w:name w:val="Título 6 Car"/>
    <w:semiHidden/>
    <w:rsid w:val="008B04AA"/>
    <w:rPr>
      <w:rFonts w:ascii="Cambria" w:eastAsia="Times New Roman" w:hAnsi="Cambria" w:cs="Times New Roman"/>
      <w:i/>
      <w:iCs/>
      <w:color w:val="243F60"/>
      <w:sz w:val="24"/>
      <w:szCs w:val="24"/>
      <w:lang w:eastAsia="es-ES"/>
    </w:rPr>
  </w:style>
  <w:style w:type="paragraph" w:styleId="Encabezado">
    <w:name w:val="header"/>
    <w:basedOn w:val="Normal"/>
    <w:unhideWhenUsed/>
    <w:rsid w:val="008B04AA"/>
    <w:pPr>
      <w:tabs>
        <w:tab w:val="center" w:pos="4252"/>
        <w:tab w:val="right" w:pos="8504"/>
      </w:tabs>
    </w:pPr>
  </w:style>
  <w:style w:type="character" w:customStyle="1" w:styleId="EncabezadoCar">
    <w:name w:val="Encabezado Car"/>
    <w:rsid w:val="008B04AA"/>
    <w:rPr>
      <w:rFonts w:ascii="Times New Roman" w:eastAsia="Times New Roman" w:hAnsi="Times New Roman" w:cs="Times New Roman"/>
      <w:sz w:val="24"/>
      <w:szCs w:val="24"/>
      <w:lang w:eastAsia="es-ES"/>
    </w:rPr>
  </w:style>
  <w:style w:type="paragraph" w:styleId="Piedepgina">
    <w:name w:val="footer"/>
    <w:basedOn w:val="Normal"/>
    <w:unhideWhenUsed/>
    <w:rsid w:val="008B04AA"/>
    <w:pPr>
      <w:tabs>
        <w:tab w:val="center" w:pos="4252"/>
        <w:tab w:val="right" w:pos="8504"/>
      </w:tabs>
    </w:pPr>
  </w:style>
  <w:style w:type="character" w:customStyle="1" w:styleId="PiedepginaCar">
    <w:name w:val="Pie de página Car"/>
    <w:rsid w:val="008B04AA"/>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customStyle="1" w:styleId="Sangradetindependiente">
    <w:name w:val="SangrÌa de t. independiente"/>
    <w:basedOn w:val="Normal"/>
    <w:rsid w:val="00F65A90"/>
    <w:pPr>
      <w:tabs>
        <w:tab w:val="left" w:pos="860"/>
      </w:tabs>
      <w:spacing w:after="260"/>
      <w:jc w:val="both"/>
    </w:pPr>
    <w:rPr>
      <w:rFonts w:ascii="Times" w:hAnsi="Times"/>
      <w:sz w:val="22"/>
      <w:szCs w:val="20"/>
    </w:rPr>
  </w:style>
  <w:style w:type="paragraph" w:styleId="Textoindependiente2">
    <w:name w:val="Body Text 2"/>
    <w:basedOn w:val="Normal"/>
    <w:link w:val="Textoindependiente2Car"/>
    <w:uiPriority w:val="99"/>
    <w:unhideWhenUsed/>
    <w:rsid w:val="00F65A90"/>
    <w:pPr>
      <w:spacing w:after="120" w:line="480" w:lineRule="auto"/>
    </w:pPr>
    <w:rPr>
      <w:rFonts w:ascii="Calibri" w:hAnsi="Calibri"/>
      <w:sz w:val="22"/>
      <w:szCs w:val="22"/>
      <w:lang w:val="es-UY" w:eastAsia="es-UY"/>
    </w:rPr>
  </w:style>
  <w:style w:type="character" w:customStyle="1" w:styleId="Textoindependiente2Car">
    <w:name w:val="Texto independiente 2 Car"/>
    <w:basedOn w:val="Fuentedeprrafopredeter"/>
    <w:link w:val="Textoindependiente2"/>
    <w:uiPriority w:val="99"/>
    <w:rsid w:val="00F65A90"/>
    <w:rPr>
      <w:rFonts w:eastAsia="Times New Roman"/>
      <w:sz w:val="22"/>
      <w:szCs w:val="22"/>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AA"/>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8B04AA"/>
    <w:pPr>
      <w:keepNext/>
      <w:keepLines/>
      <w:spacing w:before="200"/>
      <w:outlineLvl w:val="5"/>
    </w:pPr>
    <w:rPr>
      <w:rFonts w:ascii="Cambria" w:hAnsi="Cambria"/>
      <w:i/>
      <w:iCs/>
      <w:color w:val="243F60"/>
    </w:rPr>
  </w:style>
  <w:style w:type="paragraph" w:styleId="Ttulo8">
    <w:name w:val="heading 8"/>
    <w:basedOn w:val="Normal"/>
    <w:next w:val="Normal"/>
    <w:qFormat/>
    <w:rsid w:val="008B04AA"/>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8B04AA"/>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8B04AA"/>
    <w:pPr>
      <w:widowControl w:val="0"/>
    </w:pPr>
    <w:rPr>
      <w:rFonts w:ascii="Courier New" w:hAnsi="Courier New"/>
      <w:snapToGrid w:val="0"/>
      <w:szCs w:val="20"/>
    </w:rPr>
  </w:style>
  <w:style w:type="character" w:customStyle="1" w:styleId="Ttulo6Car">
    <w:name w:val="Título 6 Car"/>
    <w:semiHidden/>
    <w:rsid w:val="008B04AA"/>
    <w:rPr>
      <w:rFonts w:ascii="Cambria" w:eastAsia="Times New Roman" w:hAnsi="Cambria" w:cs="Times New Roman"/>
      <w:i/>
      <w:iCs/>
      <w:color w:val="243F60"/>
      <w:sz w:val="24"/>
      <w:szCs w:val="24"/>
      <w:lang w:eastAsia="es-ES"/>
    </w:rPr>
  </w:style>
  <w:style w:type="paragraph" w:styleId="Encabezado">
    <w:name w:val="header"/>
    <w:basedOn w:val="Normal"/>
    <w:unhideWhenUsed/>
    <w:rsid w:val="008B04AA"/>
    <w:pPr>
      <w:tabs>
        <w:tab w:val="center" w:pos="4252"/>
        <w:tab w:val="right" w:pos="8504"/>
      </w:tabs>
    </w:pPr>
  </w:style>
  <w:style w:type="character" w:customStyle="1" w:styleId="EncabezadoCar">
    <w:name w:val="Encabezado Car"/>
    <w:rsid w:val="008B04AA"/>
    <w:rPr>
      <w:rFonts w:ascii="Times New Roman" w:eastAsia="Times New Roman" w:hAnsi="Times New Roman" w:cs="Times New Roman"/>
      <w:sz w:val="24"/>
      <w:szCs w:val="24"/>
      <w:lang w:eastAsia="es-ES"/>
    </w:rPr>
  </w:style>
  <w:style w:type="paragraph" w:styleId="Piedepgina">
    <w:name w:val="footer"/>
    <w:basedOn w:val="Normal"/>
    <w:unhideWhenUsed/>
    <w:rsid w:val="008B04AA"/>
    <w:pPr>
      <w:tabs>
        <w:tab w:val="center" w:pos="4252"/>
        <w:tab w:val="right" w:pos="8504"/>
      </w:tabs>
    </w:pPr>
  </w:style>
  <w:style w:type="character" w:customStyle="1" w:styleId="PiedepginaCar">
    <w:name w:val="Pie de página Car"/>
    <w:rsid w:val="008B04AA"/>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customStyle="1" w:styleId="Sangradetindependiente">
    <w:name w:val="SangrÌa de t. independiente"/>
    <w:basedOn w:val="Normal"/>
    <w:rsid w:val="00F65A90"/>
    <w:pPr>
      <w:tabs>
        <w:tab w:val="left" w:pos="860"/>
      </w:tabs>
      <w:spacing w:after="260"/>
      <w:jc w:val="both"/>
    </w:pPr>
    <w:rPr>
      <w:rFonts w:ascii="Times" w:hAnsi="Times"/>
      <w:sz w:val="22"/>
      <w:szCs w:val="20"/>
    </w:rPr>
  </w:style>
  <w:style w:type="paragraph" w:styleId="Textoindependiente2">
    <w:name w:val="Body Text 2"/>
    <w:basedOn w:val="Normal"/>
    <w:link w:val="Textoindependiente2Car"/>
    <w:uiPriority w:val="99"/>
    <w:unhideWhenUsed/>
    <w:rsid w:val="00F65A90"/>
    <w:pPr>
      <w:spacing w:after="120" w:line="480" w:lineRule="auto"/>
    </w:pPr>
    <w:rPr>
      <w:rFonts w:ascii="Calibri" w:hAnsi="Calibri"/>
      <w:sz w:val="22"/>
      <w:szCs w:val="22"/>
      <w:lang w:val="es-UY" w:eastAsia="es-UY"/>
    </w:rPr>
  </w:style>
  <w:style w:type="character" w:customStyle="1" w:styleId="Textoindependiente2Car">
    <w:name w:val="Texto independiente 2 Car"/>
    <w:basedOn w:val="Fuentedeprrafopredeter"/>
    <w:link w:val="Textoindependiente2"/>
    <w:uiPriority w:val="99"/>
    <w:rsid w:val="00F65A90"/>
    <w:rPr>
      <w:rFonts w:eastAsia="Times New Roman"/>
      <w:sz w:val="22"/>
      <w:szCs w:val="22"/>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1029</Words>
  <Characters>5661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CARPETA 2014-17-1-0002249 </vt:lpstr>
    </vt:vector>
  </TitlesOfParts>
  <Company>PL</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2014-17-1-0002249 </dc:title>
  <dc:subject/>
  <dc:creator>tcca</dc:creator>
  <cp:keywords/>
  <dc:description/>
  <cp:lastModifiedBy> </cp:lastModifiedBy>
  <cp:revision>5</cp:revision>
  <cp:lastPrinted>2016-01-04T14:46:00Z</cp:lastPrinted>
  <dcterms:created xsi:type="dcterms:W3CDTF">2016-01-04T14:47:00Z</dcterms:created>
  <dcterms:modified xsi:type="dcterms:W3CDTF">2016-01-26T18:09:00Z</dcterms:modified>
</cp:coreProperties>
</file>