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931" w:rsidRPr="00E33676" w:rsidRDefault="00C74931">
      <w:pPr>
        <w:tabs>
          <w:tab w:val="center" w:pos="4253"/>
        </w:tabs>
        <w:suppressAutoHyphens/>
        <w:jc w:val="center"/>
        <w:rPr>
          <w:rFonts w:ascii="Arial" w:hAnsi="Arial" w:cs="Arial"/>
          <w:b/>
          <w:lang w:val="es-ES_tradnl"/>
        </w:rPr>
      </w:pPr>
      <w:bookmarkStart w:id="0" w:name="_GoBack"/>
      <w:bookmarkEnd w:id="0"/>
      <w:r w:rsidRPr="00E33676">
        <w:rPr>
          <w:rFonts w:ascii="Arial" w:hAnsi="Arial" w:cs="Arial"/>
          <w:b/>
          <w:lang w:val="es-ES_tradnl"/>
        </w:rPr>
        <w:t>RESOLUCION ADOPTADA POR EL</w:t>
      </w:r>
    </w:p>
    <w:p w:rsidR="00C74931" w:rsidRPr="00E33676" w:rsidRDefault="00C74931">
      <w:pPr>
        <w:tabs>
          <w:tab w:val="left" w:pos="-720"/>
        </w:tabs>
        <w:suppressAutoHyphens/>
        <w:jc w:val="center"/>
        <w:rPr>
          <w:rFonts w:ascii="Arial" w:hAnsi="Arial" w:cs="Arial"/>
          <w:b/>
          <w:lang w:val="es-ES_tradnl"/>
        </w:rPr>
      </w:pPr>
    </w:p>
    <w:p w:rsidR="00C74931" w:rsidRPr="00E33676" w:rsidRDefault="00C74931">
      <w:pPr>
        <w:tabs>
          <w:tab w:val="center" w:pos="4253"/>
        </w:tabs>
        <w:suppressAutoHyphens/>
        <w:jc w:val="center"/>
        <w:rPr>
          <w:rFonts w:ascii="Arial" w:hAnsi="Arial" w:cs="Arial"/>
          <w:b/>
          <w:lang w:val="es-ES_tradnl"/>
        </w:rPr>
      </w:pPr>
      <w:r w:rsidRPr="00E33676">
        <w:rPr>
          <w:rFonts w:ascii="Arial" w:hAnsi="Arial" w:cs="Arial"/>
          <w:b/>
          <w:lang w:val="es-ES_tradnl"/>
        </w:rPr>
        <w:t>TRIBUNAL DE CUENTAS</w:t>
      </w:r>
    </w:p>
    <w:p w:rsidR="00C74931" w:rsidRPr="00E33676" w:rsidRDefault="00C74931">
      <w:pPr>
        <w:tabs>
          <w:tab w:val="left" w:pos="-720"/>
        </w:tabs>
        <w:suppressAutoHyphens/>
        <w:jc w:val="center"/>
        <w:rPr>
          <w:rFonts w:ascii="Arial" w:hAnsi="Arial" w:cs="Arial"/>
          <w:b/>
          <w:lang w:val="es-ES_tradnl"/>
        </w:rPr>
      </w:pPr>
    </w:p>
    <w:p w:rsidR="00C74931" w:rsidRPr="00E33676" w:rsidRDefault="00C74931">
      <w:pPr>
        <w:tabs>
          <w:tab w:val="center" w:pos="4253"/>
        </w:tabs>
        <w:suppressAutoHyphens/>
        <w:jc w:val="center"/>
        <w:rPr>
          <w:rFonts w:ascii="Arial" w:hAnsi="Arial" w:cs="Arial"/>
          <w:b/>
          <w:lang w:val="es-ES_tradnl"/>
        </w:rPr>
      </w:pPr>
      <w:r w:rsidRPr="00E33676">
        <w:rPr>
          <w:rFonts w:ascii="Arial" w:hAnsi="Arial" w:cs="Arial"/>
          <w:b/>
          <w:lang w:val="es-ES_tradnl"/>
        </w:rPr>
        <w:t>EN SESION DE FECHA 30 DE DICIEMBRE DE 2015</w:t>
      </w:r>
    </w:p>
    <w:p w:rsidR="00C74931" w:rsidRPr="00E33676" w:rsidRDefault="00C74931">
      <w:pPr>
        <w:tabs>
          <w:tab w:val="center" w:pos="4253"/>
        </w:tabs>
        <w:suppressAutoHyphens/>
        <w:jc w:val="center"/>
        <w:rPr>
          <w:rFonts w:ascii="Arial" w:hAnsi="Arial" w:cs="Arial"/>
          <w:b/>
          <w:lang w:val="es-ES_tradnl"/>
        </w:rPr>
      </w:pPr>
    </w:p>
    <w:p w:rsidR="009C0178" w:rsidRPr="00E33676" w:rsidRDefault="00C74931" w:rsidP="00C74931">
      <w:pPr>
        <w:tabs>
          <w:tab w:val="center" w:pos="4253"/>
        </w:tabs>
        <w:suppressAutoHyphens/>
        <w:jc w:val="center"/>
        <w:rPr>
          <w:rFonts w:ascii="Arial" w:hAnsi="Arial" w:cs="Arial"/>
          <w:b/>
        </w:rPr>
      </w:pPr>
      <w:r w:rsidRPr="00E33676">
        <w:rPr>
          <w:rFonts w:ascii="Arial" w:hAnsi="Arial" w:cs="Arial"/>
          <w:b/>
        </w:rPr>
        <w:t xml:space="preserve">(E. E. Nº 2015-17-1-0003469, </w:t>
      </w:r>
      <w:proofErr w:type="spellStart"/>
      <w:r w:rsidRPr="00E33676">
        <w:rPr>
          <w:rFonts w:ascii="Arial" w:hAnsi="Arial" w:cs="Arial"/>
          <w:b/>
        </w:rPr>
        <w:t>Ent</w:t>
      </w:r>
      <w:proofErr w:type="spellEnd"/>
      <w:r w:rsidRPr="00E33676">
        <w:rPr>
          <w:rFonts w:ascii="Arial" w:hAnsi="Arial" w:cs="Arial"/>
          <w:b/>
        </w:rPr>
        <w:t>. Iniciada S/N°)</w:t>
      </w:r>
    </w:p>
    <w:p w:rsidR="00E23156" w:rsidRDefault="00E23156">
      <w:pPr>
        <w:tabs>
          <w:tab w:val="center" w:pos="4253"/>
        </w:tabs>
        <w:suppressAutoHyphens/>
        <w:jc w:val="center"/>
        <w:rPr>
          <w:rFonts w:ascii="Arial" w:hAnsi="Arial"/>
          <w:spacing w:val="-3"/>
          <w:lang w:val="es-UY"/>
        </w:rPr>
      </w:pPr>
    </w:p>
    <w:p w:rsidR="00E33676" w:rsidRPr="00E23156" w:rsidRDefault="00E33676">
      <w:pPr>
        <w:tabs>
          <w:tab w:val="center" w:pos="4253"/>
        </w:tabs>
        <w:suppressAutoHyphens/>
        <w:jc w:val="center"/>
        <w:rPr>
          <w:rFonts w:ascii="Arial" w:hAnsi="Arial"/>
          <w:spacing w:val="-3"/>
          <w:lang w:val="es-UY"/>
        </w:rPr>
      </w:pPr>
    </w:p>
    <w:p w:rsidR="004E595E" w:rsidRDefault="00E413F2" w:rsidP="00E33676">
      <w:pPr>
        <w:tabs>
          <w:tab w:val="left" w:pos="-1418"/>
          <w:tab w:val="left" w:pos="567"/>
        </w:tabs>
        <w:suppressAutoHyphens/>
        <w:spacing w:line="360" w:lineRule="auto"/>
        <w:ind w:firstLine="851"/>
        <w:jc w:val="both"/>
        <w:rPr>
          <w:rFonts w:ascii="Arial" w:hAnsi="Arial" w:cs="Arial"/>
          <w:spacing w:val="-3"/>
          <w:lang w:val="es-ES_tradnl"/>
        </w:rPr>
      </w:pPr>
      <w:r>
        <w:rPr>
          <w:rFonts w:ascii="Arial" w:hAnsi="Arial" w:cs="Arial"/>
          <w:b/>
          <w:spacing w:val="-3"/>
          <w:lang w:val="es-ES_tradnl"/>
        </w:rPr>
        <w:t xml:space="preserve">VISTO: </w:t>
      </w:r>
      <w:r>
        <w:rPr>
          <w:rFonts w:ascii="Arial" w:hAnsi="Arial" w:cs="Arial"/>
          <w:spacing w:val="-3"/>
          <w:lang w:val="es-ES_tradnl"/>
        </w:rPr>
        <w:t xml:space="preserve">que este Tribunal ha examinado </w:t>
      </w:r>
      <w:r w:rsidR="004E595E">
        <w:rPr>
          <w:rFonts w:ascii="Arial" w:hAnsi="Arial" w:cs="Arial"/>
          <w:spacing w:val="-3"/>
          <w:lang w:val="es-ES_tradnl"/>
        </w:rPr>
        <w:t xml:space="preserve">el Balance de ejecución presupuestal </w:t>
      </w:r>
      <w:r>
        <w:rPr>
          <w:rFonts w:ascii="Arial" w:hAnsi="Arial" w:cs="Arial"/>
          <w:spacing w:val="-3"/>
          <w:lang w:val="es-ES_tradnl"/>
        </w:rPr>
        <w:t>de la Cámara de</w:t>
      </w:r>
      <w:r w:rsidR="004E595E">
        <w:rPr>
          <w:rFonts w:ascii="Arial" w:hAnsi="Arial" w:cs="Arial"/>
          <w:spacing w:val="-3"/>
          <w:lang w:val="es-ES_tradnl"/>
        </w:rPr>
        <w:t xml:space="preserve"> Representantes correspondiente</w:t>
      </w:r>
      <w:r>
        <w:rPr>
          <w:rFonts w:ascii="Arial" w:hAnsi="Arial" w:cs="Arial"/>
          <w:spacing w:val="-3"/>
          <w:lang w:val="es-ES_tradnl"/>
        </w:rPr>
        <w:t xml:space="preserve"> al Ejercicio 201</w:t>
      </w:r>
      <w:r w:rsidR="00D30EC6">
        <w:rPr>
          <w:rFonts w:ascii="Arial" w:hAnsi="Arial" w:cs="Arial"/>
          <w:spacing w:val="-3"/>
          <w:lang w:val="es-ES_tradnl"/>
        </w:rPr>
        <w:t>4</w:t>
      </w:r>
      <w:r>
        <w:rPr>
          <w:rFonts w:ascii="Arial" w:hAnsi="Arial" w:cs="Arial"/>
          <w:spacing w:val="-3"/>
          <w:lang w:val="es-ES_tradnl"/>
        </w:rPr>
        <w:t xml:space="preserve"> así como el cumplimiento de las disposiciones legales vigentes;</w:t>
      </w:r>
    </w:p>
    <w:p w:rsidR="004E595E" w:rsidRPr="00C74931" w:rsidRDefault="00E413F2" w:rsidP="00E33676">
      <w:pPr>
        <w:tabs>
          <w:tab w:val="left" w:pos="-1418"/>
          <w:tab w:val="left" w:pos="567"/>
        </w:tabs>
        <w:suppressAutoHyphens/>
        <w:spacing w:line="360" w:lineRule="auto"/>
        <w:ind w:firstLine="851"/>
        <w:jc w:val="both"/>
        <w:rPr>
          <w:rFonts w:ascii="Arial" w:hAnsi="Arial" w:cs="Arial"/>
          <w:lang w:val="es-MX"/>
        </w:rPr>
      </w:pPr>
      <w:r>
        <w:rPr>
          <w:rFonts w:ascii="Arial" w:hAnsi="Arial" w:cs="Arial"/>
          <w:b/>
          <w:spacing w:val="-3"/>
          <w:lang w:val="es-ES_tradnl"/>
        </w:rPr>
        <w:t>RESULTANDO:</w:t>
      </w:r>
      <w:r>
        <w:rPr>
          <w:rFonts w:ascii="Arial" w:hAnsi="Arial" w:cs="Arial"/>
          <w:spacing w:val="-3"/>
          <w:lang w:val="es-ES_tradnl"/>
        </w:rPr>
        <w:t xml:space="preserve"> </w:t>
      </w:r>
      <w:r>
        <w:rPr>
          <w:rFonts w:ascii="Arial" w:hAnsi="Arial" w:cs="Arial"/>
          <w:lang w:val="es-MX"/>
        </w:rPr>
        <w:t>que la auditoría fue practicada de acuerdo con los Principios Fundamentales de Auditoría (ISSAI, 100 y 200) de la Organización Internacional de Entidades Fiscalizadoras Superiores (INTOSAI);</w:t>
      </w:r>
    </w:p>
    <w:p w:rsidR="004E595E" w:rsidRDefault="00E413F2" w:rsidP="00E33676">
      <w:pPr>
        <w:tabs>
          <w:tab w:val="left" w:pos="-1418"/>
          <w:tab w:val="left" w:pos="567"/>
        </w:tabs>
        <w:suppressAutoHyphens/>
        <w:spacing w:line="360" w:lineRule="auto"/>
        <w:ind w:firstLine="851"/>
        <w:jc w:val="both"/>
        <w:rPr>
          <w:rFonts w:ascii="Arial" w:hAnsi="Arial" w:cs="Arial"/>
          <w:spacing w:val="-3"/>
          <w:lang w:val="es-ES_tradnl"/>
        </w:rPr>
      </w:pPr>
      <w:r>
        <w:rPr>
          <w:rFonts w:ascii="Arial" w:hAnsi="Arial" w:cs="Arial"/>
          <w:b/>
          <w:spacing w:val="-3"/>
          <w:lang w:val="es-ES_tradnl"/>
        </w:rPr>
        <w:t>CONSIDERANDO:</w:t>
      </w:r>
      <w:r>
        <w:rPr>
          <w:rFonts w:ascii="Arial" w:hAnsi="Arial" w:cs="Arial"/>
          <w:spacing w:val="-3"/>
          <w:lang w:val="es-ES_tradnl"/>
        </w:rPr>
        <w:t xml:space="preserve"> que las conclusiones y evidencias obtenidas son las que se expresan en el Informe de Auditoría, que </w:t>
      </w:r>
      <w:r w:rsidR="00800704">
        <w:rPr>
          <w:rFonts w:ascii="Arial" w:hAnsi="Arial" w:cs="Arial"/>
          <w:spacing w:val="-3"/>
          <w:lang w:val="es-ES_tradnl"/>
        </w:rPr>
        <w:t xml:space="preserve"> </w:t>
      </w:r>
      <w:r>
        <w:rPr>
          <w:rFonts w:ascii="Arial" w:hAnsi="Arial" w:cs="Arial"/>
          <w:spacing w:val="-3"/>
          <w:lang w:val="es-ES_tradnl"/>
        </w:rPr>
        <w:t xml:space="preserve">incluye Dictamen </w:t>
      </w:r>
      <w:r w:rsidR="009C0178">
        <w:rPr>
          <w:rFonts w:ascii="Arial" w:hAnsi="Arial" w:cs="Arial"/>
          <w:spacing w:val="-3"/>
          <w:lang w:val="es-ES_tradnl"/>
        </w:rPr>
        <w:t>e Informe a la Administración;</w:t>
      </w:r>
    </w:p>
    <w:p w:rsidR="00E413F2" w:rsidRDefault="00E413F2" w:rsidP="00E33676">
      <w:pPr>
        <w:tabs>
          <w:tab w:val="left" w:pos="-1418"/>
          <w:tab w:val="left" w:pos="567"/>
        </w:tabs>
        <w:suppressAutoHyphens/>
        <w:spacing w:line="360" w:lineRule="auto"/>
        <w:ind w:firstLine="851"/>
        <w:jc w:val="both"/>
        <w:rPr>
          <w:rFonts w:ascii="Arial" w:hAnsi="Arial" w:cs="Arial"/>
          <w:spacing w:val="-3"/>
          <w:lang w:val="es-ES_tradnl"/>
        </w:rPr>
      </w:pPr>
      <w:r>
        <w:rPr>
          <w:rFonts w:ascii="Arial" w:hAnsi="Arial" w:cs="Arial"/>
          <w:b/>
          <w:spacing w:val="-3"/>
          <w:lang w:val="es-ES_tradnl"/>
        </w:rPr>
        <w:t>ATENTO:</w:t>
      </w:r>
      <w:r>
        <w:rPr>
          <w:rFonts w:ascii="Arial" w:hAnsi="Arial" w:cs="Arial"/>
          <w:spacing w:val="-3"/>
          <w:lang w:val="es-ES_tradnl"/>
        </w:rPr>
        <w:t xml:space="preserve"> a lo dispuesto por el Artículo 211 Literal C) de la Constitución de la República;</w:t>
      </w:r>
    </w:p>
    <w:p w:rsidR="00E413F2" w:rsidRDefault="00E413F2">
      <w:pPr>
        <w:pStyle w:val="Ttulo8"/>
        <w:tabs>
          <w:tab w:val="clear" w:pos="0"/>
        </w:tabs>
        <w:spacing w:line="360" w:lineRule="auto"/>
        <w:rPr>
          <w:rFonts w:ascii="Arial" w:hAnsi="Arial" w:cs="Arial"/>
          <w:szCs w:val="24"/>
        </w:rPr>
      </w:pPr>
      <w:r>
        <w:rPr>
          <w:rFonts w:ascii="Arial" w:hAnsi="Arial" w:cs="Arial"/>
          <w:szCs w:val="24"/>
        </w:rPr>
        <w:t>EL TRIBUNAL ACUERDA</w:t>
      </w:r>
    </w:p>
    <w:p w:rsidR="00E413F2" w:rsidRDefault="00E413F2">
      <w:pPr>
        <w:pStyle w:val="Textodenotaalfinal"/>
        <w:numPr>
          <w:ilvl w:val="0"/>
          <w:numId w:val="1"/>
        </w:numPr>
        <w:tabs>
          <w:tab w:val="left" w:pos="-1418"/>
        </w:tabs>
        <w:suppressAutoHyphens/>
        <w:spacing w:line="360" w:lineRule="auto"/>
        <w:jc w:val="both"/>
        <w:rPr>
          <w:rFonts w:ascii="Arial" w:hAnsi="Arial" w:cs="Arial"/>
          <w:spacing w:val="-3"/>
          <w:szCs w:val="24"/>
          <w:lang w:val="es-ES_tradnl"/>
        </w:rPr>
      </w:pPr>
      <w:r>
        <w:rPr>
          <w:rFonts w:ascii="Arial" w:hAnsi="Arial" w:cs="Arial"/>
          <w:spacing w:val="-3"/>
          <w:szCs w:val="24"/>
          <w:lang w:val="es-ES_tradnl"/>
        </w:rPr>
        <w:t>Emitir su Dictamen respecto a</w:t>
      </w:r>
      <w:r w:rsidR="004E595E">
        <w:rPr>
          <w:rFonts w:ascii="Arial" w:hAnsi="Arial" w:cs="Arial"/>
          <w:spacing w:val="-3"/>
          <w:szCs w:val="24"/>
          <w:lang w:val="es-ES_tradnl"/>
        </w:rPr>
        <w:t xml:space="preserve">l Balance de ejecución presupuestal </w:t>
      </w:r>
      <w:r>
        <w:rPr>
          <w:rFonts w:ascii="Arial" w:hAnsi="Arial" w:cs="Arial"/>
          <w:spacing w:val="-3"/>
          <w:szCs w:val="24"/>
          <w:lang w:val="es-ES_tradnl"/>
        </w:rPr>
        <w:t xml:space="preserve"> </w:t>
      </w:r>
      <w:r>
        <w:rPr>
          <w:rFonts w:ascii="Arial" w:hAnsi="Arial" w:cs="Arial"/>
          <w:spacing w:val="-3"/>
          <w:lang w:val="es-ES_tradnl"/>
        </w:rPr>
        <w:t>co</w:t>
      </w:r>
      <w:r w:rsidR="00D30EC6">
        <w:rPr>
          <w:rFonts w:ascii="Arial" w:hAnsi="Arial" w:cs="Arial"/>
          <w:spacing w:val="-3"/>
          <w:lang w:val="es-ES_tradnl"/>
        </w:rPr>
        <w:t>rrespondiente al Ejercicio 2014</w:t>
      </w:r>
      <w:r>
        <w:rPr>
          <w:rFonts w:ascii="Arial" w:hAnsi="Arial" w:cs="Arial"/>
          <w:spacing w:val="-3"/>
          <w:lang w:val="es-ES_tradnl"/>
        </w:rPr>
        <w:t xml:space="preserve"> </w:t>
      </w:r>
      <w:r>
        <w:rPr>
          <w:rFonts w:ascii="Arial" w:hAnsi="Arial" w:cs="Arial"/>
          <w:spacing w:val="-3"/>
          <w:szCs w:val="24"/>
          <w:lang w:val="es-ES_tradnl"/>
        </w:rPr>
        <w:t>de la Cámara de Representantes en los términos del Informe de Auditoría que se adjunta;</w:t>
      </w:r>
    </w:p>
    <w:p w:rsidR="00E413F2" w:rsidRDefault="00E413F2">
      <w:pPr>
        <w:numPr>
          <w:ilvl w:val="0"/>
          <w:numId w:val="1"/>
        </w:numPr>
        <w:tabs>
          <w:tab w:val="left" w:pos="-1418"/>
        </w:tabs>
        <w:suppressAutoHyphens/>
        <w:spacing w:line="360" w:lineRule="auto"/>
        <w:jc w:val="both"/>
        <w:rPr>
          <w:rFonts w:ascii="Arial" w:hAnsi="Arial" w:cs="Arial"/>
          <w:spacing w:val="-3"/>
          <w:lang w:val="es-ES_tradnl"/>
        </w:rPr>
      </w:pPr>
      <w:r>
        <w:rPr>
          <w:rFonts w:ascii="Arial" w:hAnsi="Arial" w:cs="Arial"/>
          <w:spacing w:val="-3"/>
          <w:lang w:val="es-ES_tradnl"/>
        </w:rPr>
        <w:t>Comunicar la presente Resolución a la Cámara de Representantes;</w:t>
      </w:r>
      <w:r w:rsidR="00E23156">
        <w:rPr>
          <w:rFonts w:ascii="Arial" w:hAnsi="Arial" w:cs="Arial"/>
          <w:spacing w:val="-3"/>
          <w:lang w:val="es-ES_tradnl"/>
        </w:rPr>
        <w:t xml:space="preserve"> y</w:t>
      </w:r>
    </w:p>
    <w:p w:rsidR="00E413F2" w:rsidRDefault="00E413F2">
      <w:pPr>
        <w:numPr>
          <w:ilvl w:val="0"/>
          <w:numId w:val="1"/>
        </w:numPr>
        <w:tabs>
          <w:tab w:val="left" w:pos="-1418"/>
        </w:tabs>
        <w:suppressAutoHyphens/>
        <w:spacing w:line="360" w:lineRule="auto"/>
        <w:jc w:val="both"/>
        <w:rPr>
          <w:rFonts w:ascii="Arial" w:hAnsi="Arial" w:cs="Arial"/>
          <w:spacing w:val="-3"/>
          <w:lang w:val="es-ES_tradnl"/>
        </w:rPr>
      </w:pPr>
      <w:r>
        <w:rPr>
          <w:rFonts w:ascii="Arial" w:hAnsi="Arial" w:cs="Arial"/>
          <w:spacing w:val="-3"/>
          <w:lang w:val="es-ES_tradnl"/>
        </w:rPr>
        <w:t>Dar cuenta a la Asamblea General.</w:t>
      </w:r>
    </w:p>
    <w:p w:rsidR="00E413F2" w:rsidRDefault="00E413F2">
      <w:pPr>
        <w:tabs>
          <w:tab w:val="left" w:pos="-1418"/>
        </w:tabs>
        <w:suppressAutoHyphens/>
        <w:spacing w:line="360" w:lineRule="auto"/>
        <w:jc w:val="both"/>
        <w:rPr>
          <w:rFonts w:ascii="Arial" w:hAnsi="Arial" w:cs="Arial"/>
          <w:spacing w:val="-3"/>
          <w:lang w:val="es-ES_tradnl"/>
        </w:rPr>
      </w:pPr>
    </w:p>
    <w:p w:rsidR="00625EC7" w:rsidRDefault="00625EC7">
      <w:pPr>
        <w:tabs>
          <w:tab w:val="left" w:pos="-1418"/>
        </w:tabs>
        <w:suppressAutoHyphens/>
        <w:spacing w:line="360" w:lineRule="auto"/>
        <w:jc w:val="both"/>
        <w:rPr>
          <w:rFonts w:ascii="Arial" w:hAnsi="Arial" w:cs="Arial"/>
          <w:spacing w:val="-3"/>
          <w:lang w:val="es-ES_tradnl"/>
        </w:rPr>
      </w:pPr>
    </w:p>
    <w:p w:rsidR="00E33676" w:rsidRDefault="00E33676">
      <w:pPr>
        <w:tabs>
          <w:tab w:val="left" w:pos="-1418"/>
        </w:tabs>
        <w:suppressAutoHyphens/>
        <w:spacing w:line="360" w:lineRule="auto"/>
        <w:jc w:val="both"/>
        <w:rPr>
          <w:rFonts w:ascii="Arial" w:hAnsi="Arial" w:cs="Arial"/>
          <w:spacing w:val="-3"/>
          <w:lang w:val="es-ES_tradnl"/>
        </w:rPr>
      </w:pPr>
    </w:p>
    <w:p w:rsidR="00E33676" w:rsidRDefault="00E33676">
      <w:pPr>
        <w:tabs>
          <w:tab w:val="left" w:pos="-1418"/>
        </w:tabs>
        <w:suppressAutoHyphens/>
        <w:spacing w:line="360" w:lineRule="auto"/>
        <w:jc w:val="both"/>
        <w:rPr>
          <w:rFonts w:ascii="Arial" w:hAnsi="Arial" w:cs="Arial"/>
          <w:spacing w:val="-3"/>
          <w:lang w:val="es-ES_tradnl"/>
        </w:rPr>
      </w:pPr>
    </w:p>
    <w:p w:rsidR="00E33676" w:rsidRDefault="00E33676">
      <w:pPr>
        <w:tabs>
          <w:tab w:val="left" w:pos="-1418"/>
        </w:tabs>
        <w:suppressAutoHyphens/>
        <w:spacing w:line="360" w:lineRule="auto"/>
        <w:jc w:val="both"/>
        <w:rPr>
          <w:rFonts w:ascii="Arial" w:hAnsi="Arial" w:cs="Arial"/>
          <w:spacing w:val="-3"/>
          <w:lang w:val="es-ES_tradnl"/>
        </w:rPr>
      </w:pPr>
    </w:p>
    <w:p w:rsidR="00312748" w:rsidRPr="00D41F8C" w:rsidRDefault="00312748" w:rsidP="00E33676">
      <w:pPr>
        <w:tabs>
          <w:tab w:val="left" w:pos="2989"/>
        </w:tabs>
        <w:spacing w:line="360" w:lineRule="auto"/>
        <w:rPr>
          <w:rFonts w:ascii="Arial" w:hAnsi="Arial" w:cs="Arial"/>
        </w:rPr>
      </w:pPr>
    </w:p>
    <w:p w:rsidR="00312748" w:rsidRDefault="00312748" w:rsidP="00E33676">
      <w:pPr>
        <w:spacing w:line="360" w:lineRule="auto"/>
        <w:jc w:val="center"/>
        <w:rPr>
          <w:rFonts w:ascii="Arial" w:hAnsi="Arial" w:cs="Arial"/>
          <w:b/>
        </w:rPr>
      </w:pPr>
      <w:r>
        <w:rPr>
          <w:rFonts w:ascii="Arial" w:hAnsi="Arial" w:cs="Arial"/>
          <w:b/>
        </w:rPr>
        <w:lastRenderedPageBreak/>
        <w:t>DICTAMEN</w:t>
      </w:r>
    </w:p>
    <w:p w:rsidR="00E33676" w:rsidRPr="00434930" w:rsidRDefault="00E33676" w:rsidP="00E33676">
      <w:pPr>
        <w:spacing w:line="360" w:lineRule="auto"/>
        <w:jc w:val="center"/>
        <w:rPr>
          <w:rFonts w:ascii="Arial" w:hAnsi="Arial" w:cs="Arial"/>
          <w:b/>
        </w:rPr>
      </w:pPr>
    </w:p>
    <w:p w:rsidR="00312748" w:rsidRPr="00FF4A97" w:rsidRDefault="00312748" w:rsidP="00E33676">
      <w:pPr>
        <w:spacing w:after="260" w:line="360" w:lineRule="auto"/>
        <w:jc w:val="both"/>
        <w:rPr>
          <w:rFonts w:ascii="Arial" w:hAnsi="Arial" w:cs="Arial"/>
        </w:rPr>
      </w:pPr>
      <w:r w:rsidRPr="00FF4A97">
        <w:rPr>
          <w:rFonts w:ascii="Arial" w:hAnsi="Arial" w:cs="Arial"/>
        </w:rPr>
        <w:t>El Tribunal de Cuentas ha examinado el balance de ejecución presupuestal de la Cámara de Representantes que se adjun</w:t>
      </w:r>
      <w:r w:rsidR="00E33676">
        <w:rPr>
          <w:rFonts w:ascii="Arial" w:hAnsi="Arial" w:cs="Arial"/>
        </w:rPr>
        <w:t>ta, al 31 de diciembre de 2014.</w:t>
      </w:r>
    </w:p>
    <w:p w:rsidR="00312748" w:rsidRPr="00FF4A97" w:rsidRDefault="00312748" w:rsidP="00E33676">
      <w:pPr>
        <w:spacing w:after="260" w:line="360" w:lineRule="auto"/>
        <w:jc w:val="both"/>
        <w:rPr>
          <w:rFonts w:ascii="Arial" w:hAnsi="Arial" w:cs="Arial"/>
        </w:rPr>
      </w:pPr>
      <w:r w:rsidRPr="00FF4A97">
        <w:rPr>
          <w:rFonts w:ascii="Arial" w:hAnsi="Arial" w:cs="Arial"/>
        </w:rPr>
        <w:t>También se presentan, en caso de corresponder, los incumplimientos legales constatados por el Tribunal de Cuentas en el curso de la auditoría efectuada.</w:t>
      </w:r>
    </w:p>
    <w:p w:rsidR="00312748" w:rsidRPr="00FF4A97" w:rsidRDefault="00312748" w:rsidP="00E33676">
      <w:pPr>
        <w:spacing w:after="260" w:line="360" w:lineRule="auto"/>
        <w:jc w:val="both"/>
        <w:rPr>
          <w:rFonts w:ascii="Arial" w:hAnsi="Arial" w:cs="Arial"/>
          <w:b/>
        </w:rPr>
      </w:pPr>
      <w:r w:rsidRPr="00FF4A97">
        <w:rPr>
          <w:rFonts w:ascii="Arial" w:hAnsi="Arial" w:cs="Arial"/>
          <w:b/>
        </w:rPr>
        <w:t>Responsabilidad de la Dirección por los estados financieros</w:t>
      </w:r>
    </w:p>
    <w:p w:rsidR="00312748" w:rsidRDefault="00312748" w:rsidP="00E33676">
      <w:pPr>
        <w:spacing w:after="260" w:line="360" w:lineRule="auto"/>
        <w:jc w:val="both"/>
        <w:rPr>
          <w:rFonts w:ascii="Arial" w:hAnsi="Arial" w:cs="Arial"/>
        </w:rPr>
      </w:pPr>
      <w:r w:rsidRPr="00D41F8C">
        <w:rPr>
          <w:rFonts w:ascii="Arial" w:hAnsi="Arial" w:cs="Arial"/>
        </w:rPr>
        <w:t xml:space="preserve">La Dirección de </w:t>
      </w:r>
      <w:r>
        <w:rPr>
          <w:rFonts w:ascii="Arial" w:hAnsi="Arial" w:cs="Arial"/>
        </w:rPr>
        <w:t xml:space="preserve">la Camara de Representantes </w:t>
      </w:r>
      <w:r w:rsidRPr="00D41F8C">
        <w:rPr>
          <w:rFonts w:ascii="Arial" w:hAnsi="Arial" w:cs="Arial"/>
        </w:rPr>
        <w:t>es responsable por la preparación y la razonable presentación de</w:t>
      </w:r>
      <w:r>
        <w:rPr>
          <w:rFonts w:ascii="Arial" w:hAnsi="Arial" w:cs="Arial"/>
        </w:rPr>
        <w:t xml:space="preserve">l balance de ejecución presupuestal </w:t>
      </w:r>
      <w:r w:rsidRPr="00D41F8C">
        <w:rPr>
          <w:rFonts w:ascii="Arial" w:hAnsi="Arial" w:cs="Arial"/>
        </w:rPr>
        <w:t>de acuerdo con las normas establecidas en el TOCAF y las legales y reglamentarias aplicable</w:t>
      </w:r>
      <w:r>
        <w:rPr>
          <w:rFonts w:ascii="Arial" w:hAnsi="Arial" w:cs="Arial"/>
        </w:rPr>
        <w:t>.</w:t>
      </w:r>
      <w:r w:rsidRPr="00D41F8C">
        <w:rPr>
          <w:rFonts w:ascii="Arial" w:hAnsi="Arial" w:cs="Arial"/>
          <w:i/>
        </w:rPr>
        <w:t xml:space="preserve"> </w:t>
      </w:r>
      <w:r w:rsidRPr="00D41F8C">
        <w:rPr>
          <w:rFonts w:ascii="Arial" w:hAnsi="Arial" w:cs="Arial"/>
        </w:rPr>
        <w:t>Esta responsabilidad incluye diseñar, impl</w:t>
      </w:r>
      <w:r>
        <w:rPr>
          <w:rFonts w:ascii="Arial" w:hAnsi="Arial" w:cs="Arial"/>
        </w:rPr>
        <w:t>ementar y mantener un</w:t>
      </w:r>
      <w:r w:rsidRPr="00D41F8C">
        <w:rPr>
          <w:rFonts w:ascii="Arial" w:hAnsi="Arial" w:cs="Arial"/>
        </w:rPr>
        <w:t xml:space="preserve"> control interno adecuado para la preparación y presentación razonable de estados financieros que estén libres de errores significativos, ya sea debido a fraude o error, seleccionar y aplicar políticas contables apropiadas</w:t>
      </w:r>
      <w:r>
        <w:rPr>
          <w:rFonts w:ascii="Arial" w:hAnsi="Arial" w:cs="Arial"/>
        </w:rPr>
        <w:t>.</w:t>
      </w:r>
    </w:p>
    <w:p w:rsidR="00312748" w:rsidRPr="00434930" w:rsidRDefault="00312748" w:rsidP="00E33676">
      <w:pPr>
        <w:spacing w:after="260" w:line="360" w:lineRule="auto"/>
        <w:jc w:val="both"/>
        <w:rPr>
          <w:rFonts w:ascii="Arial" w:hAnsi="Arial" w:cs="Arial"/>
          <w:b/>
        </w:rPr>
      </w:pPr>
      <w:r w:rsidRPr="00434930">
        <w:rPr>
          <w:rFonts w:ascii="Arial" w:hAnsi="Arial" w:cs="Arial"/>
          <w:b/>
        </w:rPr>
        <w:t xml:space="preserve"> Responsabili</w:t>
      </w:r>
      <w:r>
        <w:rPr>
          <w:rFonts w:ascii="Arial" w:hAnsi="Arial" w:cs="Arial"/>
          <w:b/>
        </w:rPr>
        <w:t>dad del auditor</w:t>
      </w:r>
    </w:p>
    <w:p w:rsidR="00312748" w:rsidRDefault="00312748" w:rsidP="00E33676">
      <w:pPr>
        <w:pStyle w:val="Sangradetindependiente"/>
        <w:tabs>
          <w:tab w:val="clear" w:pos="860"/>
        </w:tabs>
        <w:spacing w:line="360" w:lineRule="auto"/>
        <w:rPr>
          <w:rFonts w:ascii="Arial" w:hAnsi="Arial" w:cs="Arial"/>
          <w:sz w:val="24"/>
          <w:szCs w:val="24"/>
        </w:rPr>
      </w:pPr>
      <w:r w:rsidRPr="00D41F8C">
        <w:rPr>
          <w:rFonts w:ascii="Arial" w:hAnsi="Arial" w:cs="Arial"/>
          <w:sz w:val="24"/>
          <w:szCs w:val="24"/>
        </w:rPr>
        <w:t>La responsabilidad del Tribunal de Cuentas es expresar una opinión sobre dichos estados financieros basada en la auditoría realizada. Esta auditoría fue practicada de acuerdo con los Principios Fundamentales de Auditoría (ISSAI 100 y 200) de la Organización Internacional de Entidades Fiscalizadoras Superiores (INTOSAI). Estas normas requieren que se cumpla con requisitos éticos, se planifique y se realice la auditoría para obtener seguridad razonable acerca de si los estados financieros están libres de errores significativos.</w:t>
      </w:r>
    </w:p>
    <w:p w:rsidR="00182BBF" w:rsidRPr="00D41F8C" w:rsidRDefault="00182BBF" w:rsidP="00E33676">
      <w:pPr>
        <w:pStyle w:val="Sangradetindependiente"/>
        <w:tabs>
          <w:tab w:val="clear" w:pos="860"/>
        </w:tabs>
        <w:spacing w:line="360" w:lineRule="auto"/>
        <w:rPr>
          <w:rFonts w:ascii="Arial" w:hAnsi="Arial" w:cs="Arial"/>
          <w:sz w:val="24"/>
          <w:szCs w:val="24"/>
        </w:rPr>
      </w:pPr>
    </w:p>
    <w:p w:rsidR="00312748" w:rsidRPr="00D41F8C" w:rsidRDefault="00312748" w:rsidP="00E33676">
      <w:pPr>
        <w:spacing w:after="260" w:line="360" w:lineRule="auto"/>
        <w:jc w:val="both"/>
        <w:rPr>
          <w:rFonts w:ascii="Arial" w:hAnsi="Arial" w:cs="Arial"/>
        </w:rPr>
      </w:pPr>
      <w:r w:rsidRPr="00D41F8C">
        <w:rPr>
          <w:rFonts w:ascii="Arial" w:hAnsi="Arial" w:cs="Arial"/>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 los estados financieros.</w:t>
      </w:r>
    </w:p>
    <w:p w:rsidR="00312748" w:rsidRPr="00D41F8C" w:rsidRDefault="00312748" w:rsidP="00E33676">
      <w:pPr>
        <w:spacing w:after="260" w:line="360" w:lineRule="auto"/>
        <w:jc w:val="both"/>
        <w:rPr>
          <w:rFonts w:ascii="Arial" w:hAnsi="Arial" w:cs="Arial"/>
        </w:rPr>
      </w:pPr>
      <w:r w:rsidRPr="00D41F8C">
        <w:rPr>
          <w:rFonts w:ascii="Arial" w:hAnsi="Arial" w:cs="Arial"/>
        </w:rPr>
        <w:t>Se considera que la evidencia de auditoría obtenida brinda una base suficiente y apropiada para sustentar la opinión.</w:t>
      </w:r>
    </w:p>
    <w:p w:rsidR="00312748" w:rsidRDefault="00312748" w:rsidP="00E33676">
      <w:pPr>
        <w:spacing w:after="260" w:line="360" w:lineRule="auto"/>
        <w:jc w:val="both"/>
        <w:rPr>
          <w:rFonts w:ascii="Arial" w:hAnsi="Arial" w:cs="Arial"/>
          <w:b/>
        </w:rPr>
      </w:pPr>
      <w:r w:rsidRPr="00434930">
        <w:rPr>
          <w:rFonts w:ascii="Arial" w:hAnsi="Arial" w:cs="Arial"/>
          <w:b/>
        </w:rPr>
        <w:t>Opinión</w:t>
      </w:r>
    </w:p>
    <w:p w:rsidR="00312748" w:rsidRPr="00D41F8C" w:rsidRDefault="00312748" w:rsidP="00E33676">
      <w:pPr>
        <w:spacing w:after="260" w:line="360" w:lineRule="auto"/>
        <w:jc w:val="both"/>
        <w:rPr>
          <w:rFonts w:ascii="Arial" w:hAnsi="Arial" w:cs="Arial"/>
          <w:i/>
        </w:rPr>
      </w:pPr>
      <w:r w:rsidRPr="00D41F8C">
        <w:rPr>
          <w:rFonts w:ascii="Arial" w:hAnsi="Arial" w:cs="Arial"/>
        </w:rPr>
        <w:t xml:space="preserve">En opinión del Tribunal de Cuentas, </w:t>
      </w:r>
      <w:r>
        <w:rPr>
          <w:rFonts w:ascii="Arial" w:hAnsi="Arial" w:cs="Arial"/>
        </w:rPr>
        <w:t xml:space="preserve">el balance de ejecución presupuestal </w:t>
      </w:r>
      <w:r w:rsidRPr="00D41F8C">
        <w:rPr>
          <w:rFonts w:ascii="Arial" w:hAnsi="Arial" w:cs="Arial"/>
        </w:rPr>
        <w:t xml:space="preserve">referido precedentemente presenta razonablemente, en todos sus aspectos importantes, la </w:t>
      </w:r>
      <w:r>
        <w:rPr>
          <w:rFonts w:ascii="Arial" w:hAnsi="Arial" w:cs="Arial"/>
        </w:rPr>
        <w:t>ejecución presupuestal  de la Camara de Representantes, correspondiente al ejercicio finalizado el 31 de diciembre de 2014</w:t>
      </w:r>
      <w:r w:rsidRPr="00D41F8C">
        <w:rPr>
          <w:rFonts w:ascii="Arial" w:hAnsi="Arial" w:cs="Arial"/>
        </w:rPr>
        <w:t xml:space="preserve">, de acuerdo con </w:t>
      </w:r>
      <w:r>
        <w:rPr>
          <w:rFonts w:ascii="Arial" w:hAnsi="Arial" w:cs="Arial"/>
        </w:rPr>
        <w:t>las normas y los criterios establecidos en el TOCAF y otras normas legales y reglamentarias vigentes, aplicables en mat</w:t>
      </w:r>
      <w:r w:rsidR="00182BBF">
        <w:rPr>
          <w:rFonts w:ascii="Arial" w:hAnsi="Arial" w:cs="Arial"/>
        </w:rPr>
        <w:t>eria de ejecución presupuestal.</w:t>
      </w:r>
    </w:p>
    <w:p w:rsidR="00312748" w:rsidRDefault="00312748" w:rsidP="00E33676">
      <w:pPr>
        <w:pStyle w:val="Textoindependiente2"/>
        <w:spacing w:after="0" w:line="360" w:lineRule="auto"/>
        <w:jc w:val="both"/>
        <w:rPr>
          <w:rFonts w:ascii="Arial" w:hAnsi="Arial" w:cs="Arial"/>
          <w:sz w:val="24"/>
          <w:szCs w:val="24"/>
        </w:rPr>
      </w:pPr>
      <w:r w:rsidRPr="00D41F8C">
        <w:rPr>
          <w:rFonts w:ascii="Arial" w:hAnsi="Arial" w:cs="Arial"/>
          <w:sz w:val="24"/>
          <w:szCs w:val="24"/>
        </w:rPr>
        <w:t>Con relación al cumplimiento de la normativa vigente, en el curso de la auditoría realizada, se ha constatado que</w:t>
      </w:r>
      <w:r>
        <w:rPr>
          <w:rFonts w:ascii="Arial" w:hAnsi="Arial" w:cs="Arial"/>
          <w:sz w:val="24"/>
          <w:szCs w:val="24"/>
        </w:rPr>
        <w:t xml:space="preserve"> no se ha dado cumplimiento a las siguientes normas</w:t>
      </w:r>
      <w:r w:rsidRPr="00D41F8C">
        <w:rPr>
          <w:rFonts w:ascii="Arial" w:hAnsi="Arial" w:cs="Arial"/>
          <w:sz w:val="24"/>
          <w:szCs w:val="24"/>
        </w:rPr>
        <w:t>:</w:t>
      </w:r>
    </w:p>
    <w:p w:rsidR="00312748" w:rsidRDefault="00312748" w:rsidP="00312748">
      <w:pPr>
        <w:pStyle w:val="Textoindependiente2"/>
        <w:numPr>
          <w:ilvl w:val="0"/>
          <w:numId w:val="5"/>
        </w:numPr>
        <w:spacing w:after="0" w:line="360" w:lineRule="auto"/>
        <w:jc w:val="both"/>
        <w:rPr>
          <w:rFonts w:ascii="Arial" w:hAnsi="Arial" w:cs="Arial"/>
          <w:sz w:val="24"/>
          <w:szCs w:val="24"/>
        </w:rPr>
      </w:pPr>
      <w:r>
        <w:rPr>
          <w:rFonts w:ascii="Arial" w:hAnsi="Arial" w:cs="Arial"/>
          <w:sz w:val="24"/>
          <w:szCs w:val="24"/>
        </w:rPr>
        <w:t>Artículo 43 del TOCAF, por no realizar un plan de compras por el ejercicio.</w:t>
      </w:r>
    </w:p>
    <w:p w:rsidR="00312748" w:rsidRDefault="00312748" w:rsidP="00312748">
      <w:pPr>
        <w:pStyle w:val="Textoindependiente2"/>
        <w:numPr>
          <w:ilvl w:val="0"/>
          <w:numId w:val="5"/>
        </w:numPr>
        <w:spacing w:after="0" w:line="360" w:lineRule="auto"/>
        <w:jc w:val="both"/>
        <w:rPr>
          <w:rFonts w:ascii="Arial" w:hAnsi="Arial" w:cs="Arial"/>
          <w:sz w:val="24"/>
          <w:szCs w:val="24"/>
        </w:rPr>
      </w:pPr>
      <w:r>
        <w:rPr>
          <w:rFonts w:ascii="Arial" w:hAnsi="Arial" w:cs="Arial"/>
          <w:sz w:val="24"/>
          <w:szCs w:val="24"/>
        </w:rPr>
        <w:t>Artículo 132 del TOCAF y artículo 416 de la ley Nº 17.930, ya que las partidas entregadas a los legisladores por concepto de “gastos de secretaría”,  “gastos por bancada” y “partidas de prensa escrita”,  no son objeto de rendición de cuentas documentada y continúan abonando partidas sin la rendición de las anteriores.</w:t>
      </w:r>
    </w:p>
    <w:p w:rsidR="00312748" w:rsidRDefault="00312748" w:rsidP="00312748">
      <w:pPr>
        <w:pStyle w:val="Textoindependiente2"/>
        <w:numPr>
          <w:ilvl w:val="0"/>
          <w:numId w:val="5"/>
        </w:numPr>
        <w:spacing w:after="0" w:line="360" w:lineRule="auto"/>
        <w:jc w:val="both"/>
        <w:rPr>
          <w:rFonts w:ascii="Arial" w:hAnsi="Arial" w:cs="Arial"/>
          <w:sz w:val="24"/>
          <w:szCs w:val="24"/>
        </w:rPr>
      </w:pPr>
      <w:r>
        <w:rPr>
          <w:rFonts w:ascii="Arial" w:hAnsi="Arial" w:cs="Arial"/>
          <w:sz w:val="24"/>
          <w:szCs w:val="24"/>
        </w:rPr>
        <w:t>Artículo 130 del TOCAF, ya que no se remitió a la Contaduría General de la Nación, la información de los gastos efectivamente devengados en el Ejercicio.</w:t>
      </w:r>
    </w:p>
    <w:p w:rsidR="00312748" w:rsidRPr="00622909" w:rsidRDefault="00312748" w:rsidP="00312748">
      <w:pPr>
        <w:pStyle w:val="Textoindependiente2"/>
        <w:numPr>
          <w:ilvl w:val="0"/>
          <w:numId w:val="5"/>
        </w:numPr>
        <w:spacing w:after="0" w:line="360" w:lineRule="auto"/>
        <w:jc w:val="both"/>
        <w:rPr>
          <w:rFonts w:ascii="Arial" w:hAnsi="Arial" w:cs="Arial"/>
          <w:sz w:val="24"/>
          <w:szCs w:val="24"/>
        </w:rPr>
      </w:pPr>
      <w:r w:rsidRPr="00622909">
        <w:rPr>
          <w:rFonts w:ascii="Arial" w:eastAsiaTheme="minorEastAsia" w:hAnsi="Arial" w:cs="Arial"/>
          <w:sz w:val="24"/>
          <w:szCs w:val="24"/>
        </w:rPr>
        <w:t>Art</w:t>
      </w:r>
      <w:r>
        <w:rPr>
          <w:rFonts w:ascii="Arial" w:eastAsiaTheme="minorEastAsia" w:hAnsi="Arial" w:cs="Arial"/>
          <w:sz w:val="24"/>
          <w:szCs w:val="24"/>
        </w:rPr>
        <w:t xml:space="preserve">ículo </w:t>
      </w:r>
      <w:r w:rsidRPr="00622909">
        <w:rPr>
          <w:rFonts w:ascii="Arial" w:eastAsiaTheme="minorEastAsia" w:hAnsi="Arial" w:cs="Arial"/>
          <w:sz w:val="24"/>
          <w:szCs w:val="24"/>
        </w:rPr>
        <w:t>24 del TOCAF, ya que las disponibilidades generadas por los créditos anuales no ejecutados en el ejercicio no se  deducen  de los importes de los duodécimos a solicitar al Poder</w:t>
      </w:r>
      <w:r>
        <w:rPr>
          <w:rFonts w:ascii="Arial" w:eastAsiaTheme="minorEastAsia" w:hAnsi="Arial" w:cs="Arial"/>
          <w:sz w:val="24"/>
          <w:szCs w:val="24"/>
        </w:rPr>
        <w:t xml:space="preserve"> Ejecutivo del E</w:t>
      </w:r>
      <w:r w:rsidRPr="00622909">
        <w:rPr>
          <w:rFonts w:ascii="Arial" w:eastAsiaTheme="minorEastAsia" w:hAnsi="Arial" w:cs="Arial"/>
          <w:sz w:val="24"/>
          <w:szCs w:val="24"/>
        </w:rPr>
        <w:t>jercicio  siguiente.</w:t>
      </w:r>
    </w:p>
    <w:p w:rsidR="00312748" w:rsidRPr="00D41F8C" w:rsidRDefault="00312748" w:rsidP="00312748">
      <w:pPr>
        <w:pStyle w:val="Textoindependiente2"/>
        <w:numPr>
          <w:ilvl w:val="0"/>
          <w:numId w:val="5"/>
        </w:numPr>
        <w:spacing w:after="0" w:line="360" w:lineRule="auto"/>
        <w:jc w:val="both"/>
        <w:rPr>
          <w:rFonts w:ascii="Arial" w:hAnsi="Arial" w:cs="Arial"/>
          <w:sz w:val="24"/>
          <w:szCs w:val="24"/>
        </w:rPr>
      </w:pPr>
      <w:r>
        <w:rPr>
          <w:rFonts w:ascii="Arial" w:hAnsi="Arial" w:cs="Arial"/>
          <w:sz w:val="24"/>
          <w:szCs w:val="24"/>
        </w:rPr>
        <w:t>Artículo 84 del TOCAF, ya que adquisiciones de equipos de informática y de audio y reproducción fueron registrados como gastos de inversiones y no  ingresados al inventario.</w:t>
      </w:r>
    </w:p>
    <w:p w:rsidR="00312748" w:rsidRPr="00925F83" w:rsidRDefault="00312748" w:rsidP="00E33676">
      <w:pPr>
        <w:spacing w:after="260" w:line="360" w:lineRule="auto"/>
        <w:ind w:left="4248"/>
        <w:rPr>
          <w:rFonts w:ascii="Arial" w:hAnsi="Arial" w:cs="Arial"/>
          <w:i/>
        </w:rPr>
      </w:pPr>
      <w:r w:rsidRPr="00925F83">
        <w:rPr>
          <w:rFonts w:ascii="Arial" w:hAnsi="Arial" w:cs="Arial"/>
        </w:rPr>
        <w:t xml:space="preserve">Montevideo, </w:t>
      </w:r>
      <w:r>
        <w:rPr>
          <w:rFonts w:ascii="Arial" w:hAnsi="Arial" w:cs="Arial"/>
        </w:rPr>
        <w:t xml:space="preserve">14 de diciembre de </w:t>
      </w:r>
      <w:r w:rsidRPr="00925F83">
        <w:rPr>
          <w:rFonts w:ascii="Arial" w:hAnsi="Arial" w:cs="Arial"/>
        </w:rPr>
        <w:t>2015</w:t>
      </w:r>
    </w:p>
    <w:p w:rsidR="00312748" w:rsidRDefault="00312748" w:rsidP="00E33676"/>
    <w:p w:rsidR="00312748" w:rsidRDefault="00312748" w:rsidP="00E33676">
      <w:pPr>
        <w:spacing w:line="360" w:lineRule="auto"/>
        <w:jc w:val="center"/>
        <w:rPr>
          <w:rFonts w:ascii="Arial" w:hAnsi="Arial" w:cs="Arial"/>
          <w:b/>
          <w:bCs/>
        </w:rPr>
      </w:pPr>
      <w:r w:rsidRPr="006A4928">
        <w:rPr>
          <w:rFonts w:ascii="Arial" w:hAnsi="Arial" w:cs="Arial"/>
          <w:b/>
          <w:bCs/>
        </w:rPr>
        <w:t>INFORME A LA ADMINISTRACIÓN</w:t>
      </w:r>
    </w:p>
    <w:p w:rsidR="00312748" w:rsidRPr="00D57768" w:rsidRDefault="00312748" w:rsidP="00E33676">
      <w:pPr>
        <w:spacing w:line="360" w:lineRule="auto"/>
        <w:jc w:val="center"/>
        <w:rPr>
          <w:rFonts w:ascii="Arial" w:hAnsi="Arial" w:cs="Arial"/>
          <w:b/>
          <w:bCs/>
        </w:rPr>
      </w:pPr>
    </w:p>
    <w:p w:rsidR="00312748" w:rsidRPr="006A4928" w:rsidRDefault="00312748" w:rsidP="00E33676">
      <w:pPr>
        <w:spacing w:line="360" w:lineRule="auto"/>
        <w:jc w:val="both"/>
        <w:rPr>
          <w:rFonts w:ascii="Arial" w:hAnsi="Arial" w:cs="Arial"/>
        </w:rPr>
      </w:pPr>
      <w:r w:rsidRPr="006A4928">
        <w:rPr>
          <w:rFonts w:ascii="Arial" w:hAnsi="Arial" w:cs="Arial"/>
        </w:rPr>
        <w:t>El Tribunal de Cuentas ha examina</w:t>
      </w:r>
      <w:r>
        <w:rPr>
          <w:rFonts w:ascii="Arial" w:hAnsi="Arial" w:cs="Arial"/>
        </w:rPr>
        <w:t>do el Balance de Ejecución Presupuestal de la Cámara de Representantes</w:t>
      </w:r>
      <w:r w:rsidRPr="006A4928">
        <w:rPr>
          <w:rFonts w:ascii="Arial" w:hAnsi="Arial" w:cs="Arial"/>
          <w:spacing w:val="-12"/>
        </w:rPr>
        <w:t>, p</w:t>
      </w:r>
      <w:r>
        <w:rPr>
          <w:rFonts w:ascii="Arial" w:hAnsi="Arial" w:cs="Arial"/>
          <w:spacing w:val="-12"/>
        </w:rPr>
        <w:t xml:space="preserve">or el Ejercicio finalizado el 31 de diciembre de 2014 </w:t>
      </w:r>
      <w:r w:rsidRPr="006A4928">
        <w:rPr>
          <w:rFonts w:ascii="Arial" w:hAnsi="Arial" w:cs="Arial"/>
          <w:spacing w:val="-12"/>
        </w:rPr>
        <w:t xml:space="preserve"> y ha emitido su</w:t>
      </w:r>
      <w:r w:rsidRPr="006A4928">
        <w:rPr>
          <w:rFonts w:ascii="Arial" w:hAnsi="Arial" w:cs="Arial"/>
        </w:rPr>
        <w:t xml:space="preserve"> Dictamen.</w:t>
      </w:r>
    </w:p>
    <w:p w:rsidR="00312748" w:rsidRPr="006A4928" w:rsidRDefault="00312748" w:rsidP="00E33676">
      <w:pPr>
        <w:spacing w:line="360" w:lineRule="auto"/>
        <w:jc w:val="both"/>
        <w:rPr>
          <w:rFonts w:ascii="Arial" w:hAnsi="Arial" w:cs="Arial"/>
        </w:rPr>
      </w:pPr>
      <w:r w:rsidRPr="006A4928">
        <w:rPr>
          <w:rFonts w:ascii="Arial" w:hAnsi="Arial" w:cs="Arial"/>
        </w:rPr>
        <w:t>Este informe contiene consideraciones relat</w:t>
      </w:r>
      <w:r>
        <w:rPr>
          <w:rFonts w:ascii="Arial" w:hAnsi="Arial" w:cs="Arial"/>
        </w:rPr>
        <w:t>ivas a la evaluación del</w:t>
      </w:r>
      <w:r w:rsidRPr="006A4928">
        <w:rPr>
          <w:rFonts w:ascii="Arial" w:hAnsi="Arial" w:cs="Arial"/>
        </w:rPr>
        <w:t xml:space="preserve"> control interno. Se incluyen además, comentarios </w:t>
      </w:r>
      <w:r>
        <w:rPr>
          <w:rFonts w:ascii="Arial" w:hAnsi="Arial" w:cs="Arial"/>
        </w:rPr>
        <w:t>que se ha entendido pertinente</w:t>
      </w:r>
      <w:r w:rsidRPr="006A4928">
        <w:rPr>
          <w:rFonts w:ascii="Arial" w:hAnsi="Arial" w:cs="Arial"/>
        </w:rPr>
        <w:t xml:space="preserve"> exponer, relacionados a la situación de determinados capítulos y rubros de los estados examinados y a disposiciones legales vigentes.</w:t>
      </w:r>
    </w:p>
    <w:p w:rsidR="00312748" w:rsidRPr="006A4928" w:rsidRDefault="00312748" w:rsidP="00E33676">
      <w:pPr>
        <w:spacing w:line="360" w:lineRule="auto"/>
        <w:jc w:val="both"/>
        <w:rPr>
          <w:rFonts w:ascii="Arial" w:hAnsi="Arial" w:cs="Arial"/>
        </w:rPr>
      </w:pPr>
      <w:r w:rsidRPr="006A4928">
        <w:rPr>
          <w:rFonts w:ascii="Arial" w:hAnsi="Arial" w:cs="Arial"/>
        </w:rPr>
        <w:t xml:space="preserve">También se agregan las principales recomendaciones que deberá atender el Organismo y una evaluación del cumplimiento de las recomendaciones presentadas </w:t>
      </w:r>
      <w:r>
        <w:rPr>
          <w:rFonts w:ascii="Arial" w:hAnsi="Arial" w:cs="Arial"/>
        </w:rPr>
        <w:t>en el informe de auditoría del e</w:t>
      </w:r>
      <w:r w:rsidRPr="006A4928">
        <w:rPr>
          <w:rFonts w:ascii="Arial" w:hAnsi="Arial" w:cs="Arial"/>
        </w:rPr>
        <w:t>jercicio anterior.</w:t>
      </w:r>
    </w:p>
    <w:p w:rsidR="00312748" w:rsidRPr="00E8097A" w:rsidRDefault="00312748" w:rsidP="00E33676">
      <w:pPr>
        <w:spacing w:line="360" w:lineRule="auto"/>
        <w:jc w:val="both"/>
        <w:rPr>
          <w:rFonts w:ascii="Arial" w:hAnsi="Arial" w:cs="Arial"/>
          <w:b/>
        </w:rPr>
      </w:pPr>
      <w:r w:rsidRPr="006A4928">
        <w:rPr>
          <w:rFonts w:ascii="Arial" w:hAnsi="Arial" w:cs="Arial"/>
          <w:b/>
        </w:rPr>
        <w:t>Presentación de</w:t>
      </w:r>
      <w:r w:rsidR="00182BBF">
        <w:rPr>
          <w:rFonts w:ascii="Arial" w:hAnsi="Arial" w:cs="Arial"/>
          <w:b/>
        </w:rPr>
        <w:t xml:space="preserve"> los Estados</w:t>
      </w:r>
    </w:p>
    <w:p w:rsidR="00312748" w:rsidRPr="006A4928" w:rsidRDefault="00312748" w:rsidP="00E33676">
      <w:pPr>
        <w:spacing w:line="360" w:lineRule="auto"/>
        <w:jc w:val="both"/>
        <w:rPr>
          <w:rFonts w:ascii="Arial" w:hAnsi="Arial" w:cs="Arial"/>
          <w:spacing w:val="-3"/>
          <w:lang w:val="es-ES_tradnl"/>
        </w:rPr>
      </w:pPr>
      <w:r>
        <w:rPr>
          <w:rFonts w:ascii="Arial" w:hAnsi="Arial" w:cs="Arial"/>
          <w:bCs/>
        </w:rPr>
        <w:t>El Balance de ejecución presupuestal de la Cámara de Representantes  correspondientes al E</w:t>
      </w:r>
      <w:r w:rsidRPr="006A4928">
        <w:rPr>
          <w:rFonts w:ascii="Arial" w:hAnsi="Arial" w:cs="Arial"/>
          <w:bCs/>
        </w:rPr>
        <w:t xml:space="preserve">jercicio finalizado el </w:t>
      </w:r>
      <w:r>
        <w:rPr>
          <w:rFonts w:ascii="Arial" w:hAnsi="Arial" w:cs="Arial"/>
          <w:spacing w:val="-12"/>
        </w:rPr>
        <w:t xml:space="preserve">31 de diciembre de 2014, </w:t>
      </w:r>
      <w:r>
        <w:rPr>
          <w:rFonts w:ascii="Arial" w:hAnsi="Arial" w:cs="Arial"/>
          <w:bCs/>
        </w:rPr>
        <w:t xml:space="preserve"> fue </w:t>
      </w:r>
      <w:r>
        <w:rPr>
          <w:rFonts w:ascii="Arial" w:hAnsi="Arial" w:cs="Arial"/>
          <w:spacing w:val="-3"/>
          <w:lang w:val="es-ES_tradnl"/>
        </w:rPr>
        <w:t>remitido</w:t>
      </w:r>
      <w:r w:rsidRPr="006A4928">
        <w:rPr>
          <w:rFonts w:ascii="Arial" w:hAnsi="Arial" w:cs="Arial"/>
          <w:spacing w:val="-3"/>
          <w:lang w:val="es-ES_tradnl"/>
        </w:rPr>
        <w:t xml:space="preserve"> para su examen </w:t>
      </w:r>
      <w:r>
        <w:rPr>
          <w:rFonts w:ascii="Arial" w:hAnsi="Arial" w:cs="Arial"/>
          <w:spacing w:val="-3"/>
          <w:lang w:val="es-ES_tradnl"/>
        </w:rPr>
        <w:t>a este Tribunal con fecha 28 de mayo de 2015</w:t>
      </w:r>
      <w:r w:rsidRPr="006A4928">
        <w:rPr>
          <w:rFonts w:ascii="Arial" w:hAnsi="Arial" w:cs="Arial"/>
          <w:spacing w:val="-3"/>
          <w:lang w:val="es-ES_tradnl"/>
        </w:rPr>
        <w:t>.</w:t>
      </w:r>
    </w:p>
    <w:p w:rsidR="00312748" w:rsidRPr="006A4928" w:rsidRDefault="00312748" w:rsidP="00E33676">
      <w:pPr>
        <w:spacing w:line="360" w:lineRule="auto"/>
        <w:jc w:val="both"/>
        <w:rPr>
          <w:rFonts w:ascii="Arial" w:hAnsi="Arial" w:cs="Arial"/>
          <w:spacing w:val="-3"/>
          <w:lang w:val="es-ES_tradnl"/>
        </w:rPr>
      </w:pPr>
    </w:p>
    <w:p w:rsidR="00312748" w:rsidRPr="00877475" w:rsidRDefault="00312748" w:rsidP="00E33676">
      <w:pPr>
        <w:spacing w:line="360" w:lineRule="auto"/>
        <w:jc w:val="both"/>
        <w:rPr>
          <w:rFonts w:ascii="Arial" w:hAnsi="Arial" w:cs="Arial"/>
          <w:b/>
        </w:rPr>
      </w:pPr>
      <w:r>
        <w:rPr>
          <w:rFonts w:ascii="Arial" w:hAnsi="Arial" w:cs="Arial"/>
          <w:b/>
        </w:rPr>
        <w:t>Cu</w:t>
      </w:r>
      <w:r w:rsidRPr="00877475">
        <w:rPr>
          <w:rFonts w:ascii="Arial" w:hAnsi="Arial" w:cs="Arial"/>
          <w:b/>
        </w:rPr>
        <w:t>mplimiento de disposiciones legales y reglamentarias</w:t>
      </w:r>
    </w:p>
    <w:p w:rsidR="00312748" w:rsidRPr="004D7FCC" w:rsidRDefault="00312748" w:rsidP="00312748">
      <w:pPr>
        <w:numPr>
          <w:ilvl w:val="0"/>
          <w:numId w:val="6"/>
        </w:numPr>
        <w:tabs>
          <w:tab w:val="left" w:pos="284"/>
        </w:tabs>
        <w:spacing w:line="360" w:lineRule="auto"/>
        <w:ind w:left="0" w:firstLine="0"/>
        <w:jc w:val="both"/>
        <w:rPr>
          <w:rFonts w:ascii="Arial" w:hAnsi="Arial" w:cs="Arial"/>
          <w:bCs/>
        </w:rPr>
      </w:pPr>
      <w:r w:rsidRPr="004D7FCC">
        <w:rPr>
          <w:rFonts w:ascii="Arial" w:hAnsi="Arial" w:cs="Arial"/>
          <w:bCs/>
        </w:rPr>
        <w:t>Las disponibilidades al cierre del ejercicio 2014, generadas por los créditos anuales</w:t>
      </w:r>
      <w:r>
        <w:rPr>
          <w:rFonts w:ascii="Arial" w:hAnsi="Arial" w:cs="Arial"/>
          <w:bCs/>
        </w:rPr>
        <w:t xml:space="preserve"> </w:t>
      </w:r>
      <w:r w:rsidRPr="004D7FCC">
        <w:rPr>
          <w:rFonts w:ascii="Arial" w:hAnsi="Arial" w:cs="Arial"/>
          <w:bCs/>
        </w:rPr>
        <w:t xml:space="preserve"> no </w:t>
      </w:r>
      <w:r>
        <w:rPr>
          <w:rFonts w:ascii="Arial" w:hAnsi="Arial" w:cs="Arial"/>
          <w:bCs/>
        </w:rPr>
        <w:t xml:space="preserve"> </w:t>
      </w:r>
      <w:r w:rsidRPr="004D7FCC">
        <w:rPr>
          <w:rFonts w:ascii="Arial" w:hAnsi="Arial" w:cs="Arial"/>
          <w:bCs/>
        </w:rPr>
        <w:t xml:space="preserve">ejecutados </w:t>
      </w:r>
      <w:r>
        <w:rPr>
          <w:rFonts w:ascii="Arial" w:hAnsi="Arial" w:cs="Arial"/>
          <w:bCs/>
        </w:rPr>
        <w:t xml:space="preserve"> </w:t>
      </w:r>
      <w:r w:rsidRPr="004D7FCC">
        <w:rPr>
          <w:rFonts w:ascii="Arial" w:hAnsi="Arial" w:cs="Arial"/>
          <w:bCs/>
        </w:rPr>
        <w:t xml:space="preserve">de </w:t>
      </w:r>
      <w:r>
        <w:rPr>
          <w:rFonts w:ascii="Arial" w:hAnsi="Arial" w:cs="Arial"/>
          <w:bCs/>
        </w:rPr>
        <w:t xml:space="preserve"> </w:t>
      </w:r>
      <w:r w:rsidRPr="004D7FCC">
        <w:rPr>
          <w:rFonts w:ascii="Arial" w:hAnsi="Arial" w:cs="Arial"/>
          <w:bCs/>
        </w:rPr>
        <w:t xml:space="preserve">funcionamiento </w:t>
      </w:r>
      <w:r>
        <w:rPr>
          <w:rFonts w:ascii="Arial" w:hAnsi="Arial" w:cs="Arial"/>
          <w:bCs/>
        </w:rPr>
        <w:t xml:space="preserve"> </w:t>
      </w:r>
      <w:r w:rsidRPr="004D7FCC">
        <w:rPr>
          <w:rFonts w:ascii="Arial" w:hAnsi="Arial" w:cs="Arial"/>
          <w:bCs/>
        </w:rPr>
        <w:t xml:space="preserve">por </w:t>
      </w:r>
      <w:r>
        <w:rPr>
          <w:rFonts w:ascii="Arial" w:hAnsi="Arial" w:cs="Arial"/>
          <w:bCs/>
        </w:rPr>
        <w:t xml:space="preserve"> </w:t>
      </w:r>
      <w:r w:rsidRPr="004D7FCC">
        <w:rPr>
          <w:rFonts w:ascii="Arial" w:hAnsi="Arial" w:cs="Arial"/>
          <w:bCs/>
        </w:rPr>
        <w:t xml:space="preserve">$ 70.733.014 e inversión por $ 2.532.681, no fueron considerados a los efectos de </w:t>
      </w:r>
      <w:r>
        <w:rPr>
          <w:rFonts w:ascii="Arial" w:hAnsi="Arial" w:cs="Arial"/>
          <w:bCs/>
        </w:rPr>
        <w:t>la</w:t>
      </w:r>
      <w:r w:rsidRPr="004D7FCC">
        <w:rPr>
          <w:rFonts w:ascii="Arial" w:hAnsi="Arial" w:cs="Arial"/>
          <w:bCs/>
        </w:rPr>
        <w:t xml:space="preserve"> deducción </w:t>
      </w:r>
      <w:r>
        <w:rPr>
          <w:rFonts w:ascii="Arial" w:hAnsi="Arial" w:cs="Arial"/>
          <w:bCs/>
        </w:rPr>
        <w:t>de los duodécimos en el siguiente E</w:t>
      </w:r>
      <w:r w:rsidRPr="004D7FCC">
        <w:rPr>
          <w:rFonts w:ascii="Arial" w:hAnsi="Arial" w:cs="Arial"/>
          <w:bCs/>
        </w:rPr>
        <w:t xml:space="preserve">jercicio, de </w:t>
      </w:r>
      <w:r>
        <w:rPr>
          <w:rFonts w:ascii="Arial" w:hAnsi="Arial" w:cs="Arial"/>
          <w:bCs/>
        </w:rPr>
        <w:t>acuerdo a lo establecido en el A</w:t>
      </w:r>
      <w:r w:rsidR="00182BBF">
        <w:rPr>
          <w:rFonts w:ascii="Arial" w:hAnsi="Arial" w:cs="Arial"/>
          <w:bCs/>
        </w:rPr>
        <w:t>rtículo 24 del TOCAF.</w:t>
      </w:r>
    </w:p>
    <w:p w:rsidR="00312748" w:rsidRDefault="00312748" w:rsidP="00312748">
      <w:pPr>
        <w:numPr>
          <w:ilvl w:val="0"/>
          <w:numId w:val="6"/>
        </w:numPr>
        <w:tabs>
          <w:tab w:val="left" w:pos="284"/>
        </w:tabs>
        <w:spacing w:line="360" w:lineRule="auto"/>
        <w:ind w:left="0" w:firstLine="0"/>
        <w:jc w:val="both"/>
        <w:rPr>
          <w:rFonts w:ascii="Arial" w:hAnsi="Arial" w:cs="Arial"/>
          <w:bCs/>
        </w:rPr>
      </w:pPr>
      <w:r>
        <w:rPr>
          <w:rFonts w:ascii="Arial" w:hAnsi="Arial" w:cs="Arial"/>
          <w:bCs/>
        </w:rPr>
        <w:t>En el transcurso del E</w:t>
      </w:r>
      <w:r w:rsidRPr="00877475">
        <w:rPr>
          <w:rFonts w:ascii="Arial" w:hAnsi="Arial" w:cs="Arial"/>
          <w:bCs/>
        </w:rPr>
        <w:t xml:space="preserve">jercicio 2014, adquisiciones de equipos de informática por </w:t>
      </w:r>
      <w:r>
        <w:rPr>
          <w:rFonts w:ascii="Arial" w:hAnsi="Arial" w:cs="Arial"/>
          <w:bCs/>
        </w:rPr>
        <w:t xml:space="preserve"> </w:t>
      </w:r>
      <w:r w:rsidRPr="00877475">
        <w:rPr>
          <w:rFonts w:ascii="Arial" w:hAnsi="Arial" w:cs="Arial"/>
          <w:bCs/>
        </w:rPr>
        <w:t xml:space="preserve">$ 4.660.683 y de equipos de audio y reproducción  por $ 8.574.678, fueron registrados como gastos de inversiones y no fueron ingresados al inventario, por lo que no se cumple con lo dispuesto en el </w:t>
      </w:r>
      <w:r>
        <w:rPr>
          <w:rFonts w:ascii="Arial" w:hAnsi="Arial" w:cs="Arial"/>
          <w:bCs/>
        </w:rPr>
        <w:t>A</w:t>
      </w:r>
      <w:r w:rsidR="00182BBF">
        <w:rPr>
          <w:rFonts w:ascii="Arial" w:hAnsi="Arial" w:cs="Arial"/>
          <w:bCs/>
        </w:rPr>
        <w:t>rtículo 84 del TOCAF.</w:t>
      </w:r>
    </w:p>
    <w:p w:rsidR="00182BBF" w:rsidRDefault="00182BBF" w:rsidP="00182BBF">
      <w:pPr>
        <w:tabs>
          <w:tab w:val="left" w:pos="284"/>
        </w:tabs>
        <w:spacing w:line="360" w:lineRule="auto"/>
        <w:jc w:val="both"/>
        <w:rPr>
          <w:rFonts w:ascii="Arial" w:hAnsi="Arial" w:cs="Arial"/>
          <w:bCs/>
        </w:rPr>
      </w:pPr>
    </w:p>
    <w:p w:rsidR="00312748" w:rsidRDefault="00312748" w:rsidP="00E33676">
      <w:pPr>
        <w:spacing w:line="360" w:lineRule="auto"/>
        <w:jc w:val="both"/>
        <w:rPr>
          <w:rFonts w:ascii="Arial" w:hAnsi="Arial" w:cs="Arial"/>
          <w:b/>
        </w:rPr>
      </w:pPr>
      <w:r w:rsidRPr="006A4928">
        <w:rPr>
          <w:rFonts w:ascii="Arial" w:hAnsi="Arial" w:cs="Arial"/>
          <w:b/>
        </w:rPr>
        <w:t>Recomendaciones</w:t>
      </w:r>
    </w:p>
    <w:p w:rsidR="00312748" w:rsidRPr="0012132D" w:rsidRDefault="00312748" w:rsidP="00E33676">
      <w:pPr>
        <w:spacing w:line="360" w:lineRule="auto"/>
        <w:jc w:val="both"/>
        <w:rPr>
          <w:rFonts w:ascii="Arial" w:hAnsi="Arial" w:cs="Arial"/>
          <w:b/>
          <w:bCs/>
        </w:rPr>
      </w:pPr>
      <w:r>
        <w:rPr>
          <w:rFonts w:ascii="Arial" w:hAnsi="Arial" w:cs="Arial"/>
          <w:b/>
          <w:bCs/>
        </w:rPr>
        <w:t>1) Recomendaciones de e</w:t>
      </w:r>
      <w:r w:rsidRPr="006A4928">
        <w:rPr>
          <w:rFonts w:ascii="Arial" w:hAnsi="Arial" w:cs="Arial"/>
          <w:b/>
          <w:bCs/>
        </w:rPr>
        <w:t>jercicios anteriores</w:t>
      </w:r>
    </w:p>
    <w:p w:rsidR="00312748" w:rsidRPr="006A4928" w:rsidRDefault="00312748" w:rsidP="00E33676">
      <w:pPr>
        <w:spacing w:line="360" w:lineRule="auto"/>
        <w:rPr>
          <w:rFonts w:ascii="Arial" w:hAnsi="Arial" w:cs="Arial"/>
        </w:rPr>
      </w:pPr>
      <w:r>
        <w:rPr>
          <w:rFonts w:ascii="Arial" w:hAnsi="Arial" w:cs="Arial"/>
          <w:b/>
          <w:bCs/>
        </w:rPr>
        <w:t>1.1</w:t>
      </w:r>
      <w:r w:rsidRPr="006A4928">
        <w:rPr>
          <w:rFonts w:ascii="Arial" w:hAnsi="Arial" w:cs="Arial"/>
          <w:b/>
          <w:bCs/>
        </w:rPr>
        <w:t>) No cumplidas</w:t>
      </w:r>
      <w:r>
        <w:rPr>
          <w:rFonts w:ascii="Arial" w:hAnsi="Arial" w:cs="Arial"/>
          <w:b/>
          <w:bCs/>
        </w:rPr>
        <w:t>:</w:t>
      </w:r>
      <w:r w:rsidRPr="00825AE8">
        <w:rPr>
          <w:rFonts w:ascii="Arial" w:hAnsi="Arial" w:cs="Arial"/>
          <w:bCs/>
        </w:rPr>
        <w:t xml:space="preserve"> La</w:t>
      </w:r>
      <w:r>
        <w:rPr>
          <w:rFonts w:ascii="Arial" w:hAnsi="Arial" w:cs="Arial"/>
          <w:bCs/>
        </w:rPr>
        <w:t xml:space="preserve"> Cámara de Representantes </w:t>
      </w:r>
      <w:r w:rsidRPr="006A4928">
        <w:rPr>
          <w:rFonts w:ascii="Arial" w:hAnsi="Arial" w:cs="Arial"/>
        </w:rPr>
        <w:t xml:space="preserve">no ha implementado medidas correctivas respecto a los siguientes </w:t>
      </w:r>
      <w:r>
        <w:rPr>
          <w:rFonts w:ascii="Arial" w:hAnsi="Arial" w:cs="Arial"/>
        </w:rPr>
        <w:t xml:space="preserve">  </w:t>
      </w:r>
      <w:r w:rsidRPr="006A4928">
        <w:rPr>
          <w:rFonts w:ascii="Arial" w:hAnsi="Arial" w:cs="Arial"/>
        </w:rPr>
        <w:t>aspectos:</w:t>
      </w:r>
    </w:p>
    <w:p w:rsidR="00312748" w:rsidRDefault="00312748" w:rsidP="00312748">
      <w:pPr>
        <w:numPr>
          <w:ilvl w:val="0"/>
          <w:numId w:val="7"/>
        </w:numPr>
        <w:tabs>
          <w:tab w:val="left" w:pos="284"/>
        </w:tabs>
        <w:spacing w:line="360" w:lineRule="auto"/>
        <w:ind w:left="0" w:firstLine="0"/>
        <w:jc w:val="both"/>
        <w:rPr>
          <w:rFonts w:ascii="Arial" w:hAnsi="Arial" w:cs="Arial"/>
        </w:rPr>
      </w:pPr>
      <w:r>
        <w:rPr>
          <w:rFonts w:ascii="Arial" w:hAnsi="Arial" w:cs="Arial"/>
        </w:rPr>
        <w:t>Continúa sin realizar un plan anual de adquisiciones de acuerdo a lo dispuesto por el Artículo 43 del TOCAF.</w:t>
      </w:r>
    </w:p>
    <w:p w:rsidR="00312748" w:rsidRDefault="00312748" w:rsidP="00312748">
      <w:pPr>
        <w:numPr>
          <w:ilvl w:val="0"/>
          <w:numId w:val="7"/>
        </w:numPr>
        <w:tabs>
          <w:tab w:val="left" w:pos="284"/>
        </w:tabs>
        <w:spacing w:line="360" w:lineRule="auto"/>
        <w:ind w:left="0" w:firstLine="0"/>
        <w:jc w:val="both"/>
        <w:rPr>
          <w:rFonts w:ascii="Arial" w:hAnsi="Arial" w:cs="Arial"/>
        </w:rPr>
      </w:pPr>
      <w:r>
        <w:rPr>
          <w:rFonts w:ascii="Arial" w:hAnsi="Arial" w:cs="Arial"/>
        </w:rPr>
        <w:t>No remite a la Contaduría General de la Nación la información de los gastos de funcionamiento e inversión devengados en el ejercicio, a efectos de la exposición en el Balance de Ejecución Presupuestal, en cumplimie</w:t>
      </w:r>
      <w:r w:rsidR="00182BBF">
        <w:rPr>
          <w:rFonts w:ascii="Arial" w:hAnsi="Arial" w:cs="Arial"/>
        </w:rPr>
        <w:t>nto del Artículo 130 del TOCAF.</w:t>
      </w:r>
    </w:p>
    <w:p w:rsidR="00312748" w:rsidRDefault="00312748" w:rsidP="00312748">
      <w:pPr>
        <w:numPr>
          <w:ilvl w:val="0"/>
          <w:numId w:val="7"/>
        </w:numPr>
        <w:tabs>
          <w:tab w:val="left" w:pos="284"/>
        </w:tabs>
        <w:spacing w:line="360" w:lineRule="auto"/>
        <w:ind w:left="0" w:firstLine="0"/>
        <w:jc w:val="both"/>
        <w:rPr>
          <w:rFonts w:ascii="Arial" w:hAnsi="Arial" w:cs="Arial"/>
        </w:rPr>
      </w:pPr>
      <w:r>
        <w:rPr>
          <w:rFonts w:ascii="Arial" w:hAnsi="Arial" w:cs="Arial"/>
        </w:rPr>
        <w:t>No solicita rendiciones de cuentas de las partidas abonadas a los legisladores para “gastos de secretaria”, “gastos por bancada” y partidas por “prensa escrita” y continúa abonando nuevas partidas sin haber rendido las anteriores, de acuerdo a lo establecido en el Artículo 132 del TOCAF y el Artículo 416 de la Ley 17.930.</w:t>
      </w:r>
    </w:p>
    <w:p w:rsidR="00312748" w:rsidRPr="006A4928" w:rsidRDefault="00312748" w:rsidP="00E33676">
      <w:pPr>
        <w:tabs>
          <w:tab w:val="left" w:pos="284"/>
        </w:tabs>
        <w:spacing w:line="360" w:lineRule="auto"/>
        <w:jc w:val="both"/>
        <w:rPr>
          <w:rFonts w:ascii="Arial" w:hAnsi="Arial" w:cs="Arial"/>
        </w:rPr>
      </w:pPr>
    </w:p>
    <w:p w:rsidR="00312748" w:rsidRDefault="00312748" w:rsidP="00E33676">
      <w:pPr>
        <w:tabs>
          <w:tab w:val="left" w:pos="284"/>
        </w:tabs>
        <w:spacing w:line="360" w:lineRule="auto"/>
        <w:jc w:val="both"/>
        <w:rPr>
          <w:rFonts w:ascii="Arial" w:hAnsi="Arial" w:cs="Arial"/>
          <w:b/>
          <w:bCs/>
        </w:rPr>
      </w:pPr>
      <w:r>
        <w:rPr>
          <w:rFonts w:ascii="Arial" w:hAnsi="Arial" w:cs="Arial"/>
          <w:b/>
          <w:bCs/>
        </w:rPr>
        <w:t xml:space="preserve">2) </w:t>
      </w:r>
      <w:r>
        <w:rPr>
          <w:rFonts w:ascii="Arial" w:hAnsi="Arial" w:cs="Arial"/>
          <w:b/>
          <w:bCs/>
        </w:rPr>
        <w:tab/>
        <w:t>Recomendaciones del presente e</w:t>
      </w:r>
      <w:r w:rsidRPr="006A4928">
        <w:rPr>
          <w:rFonts w:ascii="Arial" w:hAnsi="Arial" w:cs="Arial"/>
          <w:b/>
          <w:bCs/>
        </w:rPr>
        <w:t>jercicio</w:t>
      </w:r>
    </w:p>
    <w:p w:rsidR="00312748" w:rsidRPr="00726707" w:rsidRDefault="00312748" w:rsidP="00312748">
      <w:pPr>
        <w:numPr>
          <w:ilvl w:val="0"/>
          <w:numId w:val="7"/>
        </w:numPr>
        <w:tabs>
          <w:tab w:val="left" w:pos="284"/>
        </w:tabs>
        <w:spacing w:line="360" w:lineRule="auto"/>
        <w:ind w:left="0" w:firstLine="0"/>
        <w:jc w:val="both"/>
        <w:rPr>
          <w:rFonts w:ascii="Arial" w:hAnsi="Arial" w:cs="Arial"/>
        </w:rPr>
      </w:pPr>
      <w:r w:rsidRPr="00DB2682">
        <w:rPr>
          <w:rFonts w:ascii="Arial" w:hAnsi="Arial" w:cs="Arial"/>
        </w:rPr>
        <w:t>Se reiteran las recomendaciones no cumplidas de</w:t>
      </w:r>
      <w:r>
        <w:rPr>
          <w:rFonts w:ascii="Arial" w:hAnsi="Arial" w:cs="Arial"/>
        </w:rPr>
        <w:t xml:space="preserve"> E</w:t>
      </w:r>
      <w:r w:rsidRPr="00DB2682">
        <w:rPr>
          <w:rFonts w:ascii="Arial" w:hAnsi="Arial" w:cs="Arial"/>
        </w:rPr>
        <w:t>jercicios anteriores</w:t>
      </w:r>
      <w:r>
        <w:rPr>
          <w:rFonts w:ascii="Arial" w:hAnsi="Arial" w:cs="Arial"/>
        </w:rPr>
        <w:t>, a las que se agrega</w:t>
      </w:r>
      <w:r w:rsidRPr="00DB2682">
        <w:rPr>
          <w:rFonts w:ascii="Arial" w:hAnsi="Arial" w:cs="Arial"/>
        </w:rPr>
        <w:t xml:space="preserve"> la siguiente:</w:t>
      </w:r>
    </w:p>
    <w:p w:rsidR="00312748" w:rsidRDefault="00312748" w:rsidP="00312748">
      <w:pPr>
        <w:numPr>
          <w:ilvl w:val="0"/>
          <w:numId w:val="7"/>
        </w:numPr>
        <w:tabs>
          <w:tab w:val="left" w:pos="284"/>
        </w:tabs>
        <w:spacing w:line="360" w:lineRule="auto"/>
        <w:ind w:left="0" w:firstLine="0"/>
        <w:jc w:val="both"/>
        <w:rPr>
          <w:rFonts w:ascii="Arial" w:hAnsi="Arial" w:cs="Arial"/>
        </w:rPr>
      </w:pPr>
      <w:r>
        <w:rPr>
          <w:rFonts w:ascii="Arial" w:hAnsi="Arial" w:cs="Arial"/>
        </w:rPr>
        <w:t>Cumplir con el A</w:t>
      </w:r>
      <w:r w:rsidRPr="00726707">
        <w:rPr>
          <w:rFonts w:ascii="Arial" w:hAnsi="Arial" w:cs="Arial"/>
        </w:rPr>
        <w:t>rtículo 84 del TOCAF, ingresar al inventario las incorporaciones de activo fijo</w:t>
      </w:r>
      <w:r>
        <w:rPr>
          <w:rFonts w:ascii="Arial" w:hAnsi="Arial" w:cs="Arial"/>
        </w:rPr>
        <w:t xml:space="preserve"> del E</w:t>
      </w:r>
      <w:r w:rsidRPr="00726707">
        <w:rPr>
          <w:rFonts w:ascii="Arial" w:hAnsi="Arial" w:cs="Arial"/>
        </w:rPr>
        <w:t>jercicio.</w:t>
      </w:r>
    </w:p>
    <w:p w:rsidR="00312748" w:rsidRPr="00E17930" w:rsidRDefault="00312748" w:rsidP="00312748">
      <w:pPr>
        <w:numPr>
          <w:ilvl w:val="0"/>
          <w:numId w:val="7"/>
        </w:numPr>
        <w:tabs>
          <w:tab w:val="left" w:pos="284"/>
        </w:tabs>
        <w:spacing w:line="360" w:lineRule="auto"/>
        <w:ind w:left="0" w:firstLine="0"/>
        <w:jc w:val="both"/>
        <w:rPr>
          <w:rFonts w:ascii="Arial" w:hAnsi="Arial" w:cs="Arial"/>
        </w:rPr>
      </w:pPr>
      <w:r>
        <w:rPr>
          <w:rFonts w:ascii="Arial" w:hAnsi="Arial" w:cs="Arial"/>
        </w:rPr>
        <w:t>Proceder de acuerdo al A</w:t>
      </w:r>
      <w:r w:rsidRPr="00850C88">
        <w:rPr>
          <w:rFonts w:ascii="Arial" w:hAnsi="Arial" w:cs="Arial"/>
        </w:rPr>
        <w:t>rtículo 24 del TOCAF, deduciendo en las solicitudes de duodécimos al Poder Ejecutivo las disponibili</w:t>
      </w:r>
      <w:r>
        <w:rPr>
          <w:rFonts w:ascii="Arial" w:hAnsi="Arial" w:cs="Arial"/>
        </w:rPr>
        <w:t>dades existentes al cierre del E</w:t>
      </w:r>
      <w:r w:rsidRPr="00850C88">
        <w:rPr>
          <w:rFonts w:ascii="Arial" w:hAnsi="Arial" w:cs="Arial"/>
        </w:rPr>
        <w:t>jercicio</w:t>
      </w:r>
      <w:r>
        <w:rPr>
          <w:rFonts w:ascii="Arial" w:hAnsi="Arial" w:cs="Arial"/>
        </w:rPr>
        <w:t>,</w:t>
      </w:r>
      <w:r w:rsidRPr="00850C88">
        <w:rPr>
          <w:rFonts w:ascii="Arial" w:hAnsi="Arial" w:cs="Arial"/>
        </w:rPr>
        <w:t xml:space="preserve"> generadas por los créditos </w:t>
      </w:r>
      <w:r w:rsidRPr="00DB21E9">
        <w:rPr>
          <w:rFonts w:ascii="Arial" w:hAnsi="Arial" w:cs="Arial"/>
        </w:rPr>
        <w:t>anuales de</w:t>
      </w:r>
      <w:r>
        <w:rPr>
          <w:rFonts w:ascii="Arial" w:hAnsi="Arial" w:cs="Arial"/>
        </w:rPr>
        <w:t xml:space="preserve"> funcionamiento e inversión </w:t>
      </w:r>
      <w:r w:rsidRPr="00DB21E9">
        <w:rPr>
          <w:rFonts w:ascii="Arial" w:hAnsi="Arial" w:cs="Arial"/>
        </w:rPr>
        <w:t>no ejecutados</w:t>
      </w:r>
      <w:r>
        <w:rPr>
          <w:rFonts w:ascii="Arial" w:hAnsi="Arial" w:cs="Arial"/>
        </w:rPr>
        <w:t>.</w:t>
      </w:r>
    </w:p>
    <w:p w:rsidR="00312748" w:rsidRPr="00312748" w:rsidRDefault="00312748" w:rsidP="00E33676">
      <w:pPr>
        <w:spacing w:line="360" w:lineRule="auto"/>
        <w:jc w:val="right"/>
        <w:rPr>
          <w:rFonts w:ascii="Arial" w:hAnsi="Arial" w:cs="Arial"/>
          <w:snapToGrid w:val="0"/>
        </w:rPr>
      </w:pPr>
      <w:r w:rsidRPr="00312748">
        <w:rPr>
          <w:rFonts w:ascii="Arial" w:hAnsi="Arial" w:cs="Arial"/>
          <w:snapToGrid w:val="0"/>
        </w:rPr>
        <w:t>Montevideo, 14 de diciembre de 2015</w:t>
      </w:r>
    </w:p>
    <w:p w:rsidR="00312748" w:rsidRDefault="00312748">
      <w:pPr>
        <w:tabs>
          <w:tab w:val="left" w:pos="-1418"/>
        </w:tabs>
        <w:suppressAutoHyphens/>
        <w:spacing w:line="360" w:lineRule="auto"/>
        <w:jc w:val="both"/>
        <w:rPr>
          <w:rFonts w:ascii="Arial" w:hAnsi="Arial" w:cs="Arial"/>
          <w:spacing w:val="-3"/>
          <w:lang w:val="es-ES_tradnl"/>
        </w:rPr>
      </w:pPr>
      <w:proofErr w:type="spellStart"/>
      <w:proofErr w:type="gramStart"/>
      <w:r>
        <w:rPr>
          <w:rFonts w:ascii="Arial" w:hAnsi="Arial" w:cs="Arial"/>
          <w:spacing w:val="-3"/>
          <w:lang w:val="es-ES_tradnl"/>
        </w:rPr>
        <w:t>mp</w:t>
      </w:r>
      <w:proofErr w:type="spellEnd"/>
      <w:proofErr w:type="gramEnd"/>
    </w:p>
    <w:sectPr w:rsidR="00312748" w:rsidSect="00C74931">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BBF" w:rsidRDefault="00182BBF">
      <w:r>
        <w:separator/>
      </w:r>
    </w:p>
  </w:endnote>
  <w:endnote w:type="continuationSeparator" w:id="0">
    <w:p w:rsidR="00182BBF" w:rsidRDefault="0018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BBF" w:rsidRDefault="00182BBF">
      <w:r>
        <w:separator/>
      </w:r>
    </w:p>
  </w:footnote>
  <w:footnote w:type="continuationSeparator" w:id="0">
    <w:p w:rsidR="00182BBF" w:rsidRDefault="00182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65893"/>
    <w:multiLevelType w:val="hybridMultilevel"/>
    <w:tmpl w:val="CD8E609E"/>
    <w:lvl w:ilvl="0" w:tplc="380A0005">
      <w:start w:val="1"/>
      <w:numFmt w:val="bullet"/>
      <w:lvlText w:val=""/>
      <w:lvlJc w:val="left"/>
      <w:pPr>
        <w:ind w:left="1425" w:hanging="360"/>
      </w:pPr>
      <w:rPr>
        <w:rFonts w:ascii="Wingdings" w:hAnsi="Wingdings" w:hint="default"/>
      </w:rPr>
    </w:lvl>
    <w:lvl w:ilvl="1" w:tplc="380A0003" w:tentative="1">
      <w:start w:val="1"/>
      <w:numFmt w:val="bullet"/>
      <w:lvlText w:val="o"/>
      <w:lvlJc w:val="left"/>
      <w:pPr>
        <w:ind w:left="2145" w:hanging="360"/>
      </w:pPr>
      <w:rPr>
        <w:rFonts w:ascii="Courier New" w:hAnsi="Courier New" w:cs="Courier New" w:hint="default"/>
      </w:rPr>
    </w:lvl>
    <w:lvl w:ilvl="2" w:tplc="380A0005" w:tentative="1">
      <w:start w:val="1"/>
      <w:numFmt w:val="bullet"/>
      <w:lvlText w:val=""/>
      <w:lvlJc w:val="left"/>
      <w:pPr>
        <w:ind w:left="2865" w:hanging="360"/>
      </w:pPr>
      <w:rPr>
        <w:rFonts w:ascii="Wingdings" w:hAnsi="Wingdings" w:hint="default"/>
      </w:rPr>
    </w:lvl>
    <w:lvl w:ilvl="3" w:tplc="380A0001" w:tentative="1">
      <w:start w:val="1"/>
      <w:numFmt w:val="bullet"/>
      <w:lvlText w:val=""/>
      <w:lvlJc w:val="left"/>
      <w:pPr>
        <w:ind w:left="3585" w:hanging="360"/>
      </w:pPr>
      <w:rPr>
        <w:rFonts w:ascii="Symbol" w:hAnsi="Symbol" w:hint="default"/>
      </w:rPr>
    </w:lvl>
    <w:lvl w:ilvl="4" w:tplc="380A0003" w:tentative="1">
      <w:start w:val="1"/>
      <w:numFmt w:val="bullet"/>
      <w:lvlText w:val="o"/>
      <w:lvlJc w:val="left"/>
      <w:pPr>
        <w:ind w:left="4305" w:hanging="360"/>
      </w:pPr>
      <w:rPr>
        <w:rFonts w:ascii="Courier New" w:hAnsi="Courier New" w:cs="Courier New" w:hint="default"/>
      </w:rPr>
    </w:lvl>
    <w:lvl w:ilvl="5" w:tplc="380A0005" w:tentative="1">
      <w:start w:val="1"/>
      <w:numFmt w:val="bullet"/>
      <w:lvlText w:val=""/>
      <w:lvlJc w:val="left"/>
      <w:pPr>
        <w:ind w:left="5025" w:hanging="360"/>
      </w:pPr>
      <w:rPr>
        <w:rFonts w:ascii="Wingdings" w:hAnsi="Wingdings" w:hint="default"/>
      </w:rPr>
    </w:lvl>
    <w:lvl w:ilvl="6" w:tplc="380A0001" w:tentative="1">
      <w:start w:val="1"/>
      <w:numFmt w:val="bullet"/>
      <w:lvlText w:val=""/>
      <w:lvlJc w:val="left"/>
      <w:pPr>
        <w:ind w:left="5745" w:hanging="360"/>
      </w:pPr>
      <w:rPr>
        <w:rFonts w:ascii="Symbol" w:hAnsi="Symbol" w:hint="default"/>
      </w:rPr>
    </w:lvl>
    <w:lvl w:ilvl="7" w:tplc="380A0003" w:tentative="1">
      <w:start w:val="1"/>
      <w:numFmt w:val="bullet"/>
      <w:lvlText w:val="o"/>
      <w:lvlJc w:val="left"/>
      <w:pPr>
        <w:ind w:left="6465" w:hanging="360"/>
      </w:pPr>
      <w:rPr>
        <w:rFonts w:ascii="Courier New" w:hAnsi="Courier New" w:cs="Courier New" w:hint="default"/>
      </w:rPr>
    </w:lvl>
    <w:lvl w:ilvl="8" w:tplc="380A0005" w:tentative="1">
      <w:start w:val="1"/>
      <w:numFmt w:val="bullet"/>
      <w:lvlText w:val=""/>
      <w:lvlJc w:val="left"/>
      <w:pPr>
        <w:ind w:left="7185" w:hanging="360"/>
      </w:pPr>
      <w:rPr>
        <w:rFonts w:ascii="Wingdings" w:hAnsi="Wingdings" w:hint="default"/>
      </w:rPr>
    </w:lvl>
  </w:abstractNum>
  <w:abstractNum w:abstractNumId="1">
    <w:nsid w:val="1D795E9C"/>
    <w:multiLevelType w:val="hybridMultilevel"/>
    <w:tmpl w:val="9CFE4566"/>
    <w:lvl w:ilvl="0" w:tplc="5B5EB008">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AAB28D7"/>
    <w:multiLevelType w:val="hybridMultilevel"/>
    <w:tmpl w:val="64C2F81E"/>
    <w:lvl w:ilvl="0" w:tplc="AC3C06FC">
      <w:numFmt w:val="bullet"/>
      <w:lvlText w:val="-"/>
      <w:lvlJc w:val="left"/>
      <w:pPr>
        <w:tabs>
          <w:tab w:val="num" w:pos="720"/>
        </w:tabs>
        <w:ind w:left="720" w:hanging="360"/>
      </w:pPr>
      <w:rPr>
        <w:rFonts w:ascii="Times New Roman" w:eastAsia="Times New Roman"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B3B0C5E"/>
    <w:multiLevelType w:val="hybridMultilevel"/>
    <w:tmpl w:val="6C9C058C"/>
    <w:lvl w:ilvl="0" w:tplc="380A0005">
      <w:start w:val="1"/>
      <w:numFmt w:val="bullet"/>
      <w:lvlText w:val=""/>
      <w:lvlJc w:val="left"/>
      <w:pPr>
        <w:ind w:left="1440" w:hanging="360"/>
      </w:pPr>
      <w:rPr>
        <w:rFonts w:ascii="Wingdings" w:hAnsi="Wingdings"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4">
    <w:nsid w:val="639B7C66"/>
    <w:multiLevelType w:val="hybridMultilevel"/>
    <w:tmpl w:val="268E84E0"/>
    <w:lvl w:ilvl="0" w:tplc="0C0A000F">
      <w:start w:val="1"/>
      <w:numFmt w:val="decimal"/>
      <w:lvlText w:val="%1."/>
      <w:lvlJc w:val="left"/>
      <w:pPr>
        <w:tabs>
          <w:tab w:val="num" w:pos="720"/>
        </w:tabs>
        <w:ind w:left="720" w:hanging="360"/>
      </w:pPr>
    </w:lvl>
    <w:lvl w:ilvl="1" w:tplc="AC3C06FC">
      <w:numFmt w:val="bullet"/>
      <w:lvlText w:val="-"/>
      <w:lvlJc w:val="left"/>
      <w:pPr>
        <w:tabs>
          <w:tab w:val="num" w:pos="1440"/>
        </w:tabs>
        <w:ind w:left="1440" w:hanging="360"/>
      </w:pPr>
      <w:rPr>
        <w:rFonts w:ascii="Times New Roman" w:eastAsia="Times New Roman" w:hAnsi="Times New Roman" w:cs="Times New Roman"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6DA64AC8"/>
    <w:multiLevelType w:val="singleLevel"/>
    <w:tmpl w:val="C8DE82F6"/>
    <w:lvl w:ilvl="0">
      <w:start w:val="1"/>
      <w:numFmt w:val="decimal"/>
      <w:lvlText w:val="%1)"/>
      <w:lvlJc w:val="left"/>
      <w:pPr>
        <w:tabs>
          <w:tab w:val="num" w:pos="360"/>
        </w:tabs>
        <w:ind w:left="340" w:hanging="340"/>
      </w:pPr>
      <w:rPr>
        <w:rFonts w:ascii="Arial" w:hAnsi="Arial" w:hint="default"/>
        <w:b/>
        <w:i w:val="0"/>
        <w:sz w:val="24"/>
      </w:rPr>
    </w:lvl>
  </w:abstractNum>
  <w:abstractNum w:abstractNumId="6">
    <w:nsid w:val="7ED9170E"/>
    <w:multiLevelType w:val="multilevel"/>
    <w:tmpl w:val="4C0015AA"/>
    <w:lvl w:ilvl="0">
      <w:start w:val="4"/>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705"/>
        </w:tabs>
        <w:ind w:left="705" w:hanging="70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abstractNumId w:val="5"/>
  </w:num>
  <w:num w:numId="2">
    <w:abstractNumId w:val="4"/>
  </w:num>
  <w:num w:numId="3">
    <w:abstractNumId w:val="6"/>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156"/>
    <w:rsid w:val="00182BBF"/>
    <w:rsid w:val="00301009"/>
    <w:rsid w:val="00312748"/>
    <w:rsid w:val="003F7AD7"/>
    <w:rsid w:val="00416408"/>
    <w:rsid w:val="004E595E"/>
    <w:rsid w:val="00625EC7"/>
    <w:rsid w:val="00651717"/>
    <w:rsid w:val="00800704"/>
    <w:rsid w:val="008B04AA"/>
    <w:rsid w:val="008F7744"/>
    <w:rsid w:val="00963680"/>
    <w:rsid w:val="009C0178"/>
    <w:rsid w:val="00A4609E"/>
    <w:rsid w:val="00B728B3"/>
    <w:rsid w:val="00C74931"/>
    <w:rsid w:val="00CD2DDF"/>
    <w:rsid w:val="00D30EC6"/>
    <w:rsid w:val="00D4319D"/>
    <w:rsid w:val="00DC7EB1"/>
    <w:rsid w:val="00E105AC"/>
    <w:rsid w:val="00E23156"/>
    <w:rsid w:val="00E33676"/>
    <w:rsid w:val="00E413F2"/>
    <w:rsid w:val="00F904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4AA"/>
    <w:rPr>
      <w:rFonts w:ascii="Times New Roman" w:eastAsia="Times New Roman" w:hAnsi="Times New Roman"/>
      <w:sz w:val="24"/>
      <w:szCs w:val="24"/>
    </w:rPr>
  </w:style>
  <w:style w:type="paragraph" w:styleId="Ttulo1">
    <w:name w:val="heading 1"/>
    <w:basedOn w:val="Normal"/>
    <w:next w:val="Normal"/>
    <w:link w:val="Ttulo1Car"/>
    <w:qFormat/>
    <w:rsid w:val="00625EC7"/>
    <w:pPr>
      <w:keepNext/>
      <w:spacing w:before="240" w:after="60"/>
      <w:outlineLvl w:val="0"/>
    </w:pPr>
    <w:rPr>
      <w:rFonts w:ascii="Arial" w:hAnsi="Arial" w:cs="Arial"/>
      <w:b/>
      <w:bCs/>
      <w:kern w:val="32"/>
      <w:sz w:val="32"/>
      <w:szCs w:val="32"/>
    </w:rPr>
  </w:style>
  <w:style w:type="paragraph" w:styleId="Ttulo6">
    <w:name w:val="heading 6"/>
    <w:basedOn w:val="Normal"/>
    <w:next w:val="Normal"/>
    <w:qFormat/>
    <w:rsid w:val="008B04AA"/>
    <w:pPr>
      <w:keepNext/>
      <w:keepLines/>
      <w:spacing w:before="200"/>
      <w:outlineLvl w:val="5"/>
    </w:pPr>
    <w:rPr>
      <w:rFonts w:ascii="Cambria" w:hAnsi="Cambria"/>
      <w:i/>
      <w:iCs/>
      <w:color w:val="243F60"/>
    </w:rPr>
  </w:style>
  <w:style w:type="paragraph" w:styleId="Ttulo8">
    <w:name w:val="heading 8"/>
    <w:basedOn w:val="Normal"/>
    <w:next w:val="Normal"/>
    <w:qFormat/>
    <w:rsid w:val="008B04AA"/>
    <w:pPr>
      <w:keepNext/>
      <w:widowControl w:val="0"/>
      <w:tabs>
        <w:tab w:val="left" w:pos="0"/>
      </w:tabs>
      <w:suppressAutoHyphens/>
      <w:jc w:val="center"/>
      <w:outlineLvl w:val="7"/>
    </w:pPr>
    <w:rPr>
      <w:rFonts w:ascii="Bookman Old Style" w:hAnsi="Bookman Old Style"/>
      <w:b/>
      <w:snapToGrid w:val="0"/>
      <w:spacing w:val="-3"/>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rsid w:val="008B04AA"/>
    <w:rPr>
      <w:rFonts w:ascii="Bookman Old Style" w:eastAsia="Times New Roman" w:hAnsi="Bookman Old Style" w:cs="Times New Roman"/>
      <w:b/>
      <w:snapToGrid/>
      <w:spacing w:val="-3"/>
      <w:sz w:val="24"/>
      <w:szCs w:val="20"/>
      <w:lang w:val="es-ES_tradnl" w:eastAsia="es-ES"/>
    </w:rPr>
  </w:style>
  <w:style w:type="paragraph" w:customStyle="1" w:styleId="Textodenotaalfinal">
    <w:name w:val="Texto de nota al final"/>
    <w:basedOn w:val="Normal"/>
    <w:rsid w:val="008B04AA"/>
    <w:pPr>
      <w:widowControl w:val="0"/>
    </w:pPr>
    <w:rPr>
      <w:rFonts w:ascii="Courier New" w:hAnsi="Courier New"/>
      <w:snapToGrid w:val="0"/>
      <w:szCs w:val="20"/>
    </w:rPr>
  </w:style>
  <w:style w:type="character" w:customStyle="1" w:styleId="Ttulo6Car">
    <w:name w:val="Título 6 Car"/>
    <w:semiHidden/>
    <w:rsid w:val="008B04AA"/>
    <w:rPr>
      <w:rFonts w:ascii="Cambria" w:eastAsia="Times New Roman" w:hAnsi="Cambria" w:cs="Times New Roman"/>
      <w:i/>
      <w:iCs/>
      <w:color w:val="243F60"/>
      <w:sz w:val="24"/>
      <w:szCs w:val="24"/>
      <w:lang w:eastAsia="es-ES"/>
    </w:rPr>
  </w:style>
  <w:style w:type="paragraph" w:styleId="Encabezado">
    <w:name w:val="header"/>
    <w:basedOn w:val="Normal"/>
    <w:unhideWhenUsed/>
    <w:rsid w:val="008B04AA"/>
    <w:pPr>
      <w:tabs>
        <w:tab w:val="center" w:pos="4252"/>
        <w:tab w:val="right" w:pos="8504"/>
      </w:tabs>
    </w:pPr>
  </w:style>
  <w:style w:type="character" w:customStyle="1" w:styleId="EncabezadoCar">
    <w:name w:val="Encabezado Car"/>
    <w:rsid w:val="008B04AA"/>
    <w:rPr>
      <w:rFonts w:ascii="Times New Roman" w:eastAsia="Times New Roman" w:hAnsi="Times New Roman" w:cs="Times New Roman"/>
      <w:sz w:val="24"/>
      <w:szCs w:val="24"/>
      <w:lang w:eastAsia="es-ES"/>
    </w:rPr>
  </w:style>
  <w:style w:type="paragraph" w:styleId="Piedepgina">
    <w:name w:val="footer"/>
    <w:basedOn w:val="Normal"/>
    <w:unhideWhenUsed/>
    <w:rsid w:val="008B04AA"/>
    <w:pPr>
      <w:tabs>
        <w:tab w:val="center" w:pos="4252"/>
        <w:tab w:val="right" w:pos="8504"/>
      </w:tabs>
    </w:pPr>
  </w:style>
  <w:style w:type="character" w:customStyle="1" w:styleId="PiedepginaCar">
    <w:name w:val="Pie de página Car"/>
    <w:rsid w:val="008B04AA"/>
    <w:rPr>
      <w:rFonts w:ascii="Times New Roman" w:eastAsia="Times New Roman" w:hAnsi="Times New Roman" w:cs="Times New Roman"/>
      <w:sz w:val="24"/>
      <w:szCs w:val="24"/>
      <w:lang w:eastAsia="es-ES"/>
    </w:rPr>
  </w:style>
  <w:style w:type="character" w:customStyle="1" w:styleId="Ttulo1Car">
    <w:name w:val="Título 1 Car"/>
    <w:link w:val="Ttulo1"/>
    <w:rsid w:val="00625EC7"/>
    <w:rPr>
      <w:rFonts w:ascii="Arial" w:eastAsia="Times New Roman" w:hAnsi="Arial" w:cs="Arial"/>
      <w:b/>
      <w:bCs/>
      <w:kern w:val="32"/>
      <w:sz w:val="32"/>
      <w:szCs w:val="32"/>
      <w:lang w:val="es-ES" w:eastAsia="es-ES"/>
    </w:rPr>
  </w:style>
  <w:style w:type="paragraph" w:styleId="Textoindependiente">
    <w:name w:val="Body Text"/>
    <w:basedOn w:val="Normal"/>
    <w:link w:val="TextoindependienteCar"/>
    <w:semiHidden/>
    <w:rsid w:val="00625EC7"/>
    <w:pPr>
      <w:widowControl w:val="0"/>
      <w:tabs>
        <w:tab w:val="left" w:pos="0"/>
      </w:tabs>
      <w:suppressAutoHyphens/>
      <w:jc w:val="both"/>
    </w:pPr>
    <w:rPr>
      <w:rFonts w:ascii="Bookman Old Style" w:hAnsi="Bookman Old Style"/>
      <w:snapToGrid w:val="0"/>
      <w:spacing w:val="-3"/>
      <w:szCs w:val="20"/>
      <w:lang w:val="es-ES_tradnl"/>
    </w:rPr>
  </w:style>
  <w:style w:type="character" w:customStyle="1" w:styleId="TextoindependienteCar">
    <w:name w:val="Texto independiente Car"/>
    <w:link w:val="Textoindependiente"/>
    <w:semiHidden/>
    <w:rsid w:val="00625EC7"/>
    <w:rPr>
      <w:rFonts w:ascii="Bookman Old Style" w:eastAsia="Times New Roman" w:hAnsi="Bookman Old Style"/>
      <w:snapToGrid/>
      <w:spacing w:val="-3"/>
      <w:sz w:val="24"/>
      <w:lang w:val="es-ES_tradnl" w:eastAsia="es-ES"/>
    </w:rPr>
  </w:style>
  <w:style w:type="paragraph" w:styleId="Textoindependiente3">
    <w:name w:val="Body Text 3"/>
    <w:basedOn w:val="Normal"/>
    <w:link w:val="Textoindependiente3Car"/>
    <w:semiHidden/>
    <w:rsid w:val="00625EC7"/>
    <w:pPr>
      <w:spacing w:after="120"/>
    </w:pPr>
    <w:rPr>
      <w:sz w:val="16"/>
      <w:szCs w:val="16"/>
    </w:rPr>
  </w:style>
  <w:style w:type="character" w:customStyle="1" w:styleId="Textoindependiente3Car">
    <w:name w:val="Texto independiente 3 Car"/>
    <w:link w:val="Textoindependiente3"/>
    <w:semiHidden/>
    <w:rsid w:val="00625EC7"/>
    <w:rPr>
      <w:rFonts w:ascii="Times New Roman" w:eastAsia="Times New Roman" w:hAnsi="Times New Roman"/>
      <w:sz w:val="16"/>
      <w:szCs w:val="16"/>
      <w:lang w:val="es-ES" w:eastAsia="es-ES"/>
    </w:rPr>
  </w:style>
  <w:style w:type="paragraph" w:styleId="Sangradetextonormal">
    <w:name w:val="Body Text Indent"/>
    <w:basedOn w:val="Normal"/>
    <w:link w:val="SangradetextonormalCar"/>
    <w:semiHidden/>
    <w:rsid w:val="00625EC7"/>
    <w:pPr>
      <w:spacing w:line="360" w:lineRule="auto"/>
      <w:ind w:left="360"/>
      <w:jc w:val="both"/>
    </w:pPr>
    <w:rPr>
      <w:rFonts w:ascii="Bookman Old Style" w:hAnsi="Bookman Old Style"/>
      <w:szCs w:val="20"/>
      <w:lang w:val="es-MX"/>
    </w:rPr>
  </w:style>
  <w:style w:type="character" w:customStyle="1" w:styleId="SangradetextonormalCar">
    <w:name w:val="Sangría de texto normal Car"/>
    <w:link w:val="Sangradetextonormal"/>
    <w:semiHidden/>
    <w:rsid w:val="00625EC7"/>
    <w:rPr>
      <w:rFonts w:ascii="Bookman Old Style" w:eastAsia="Times New Roman" w:hAnsi="Bookman Old Style"/>
      <w:sz w:val="24"/>
      <w:lang w:val="es-MX" w:eastAsia="es-ES"/>
    </w:rPr>
  </w:style>
  <w:style w:type="paragraph" w:styleId="Ttulo">
    <w:name w:val="Title"/>
    <w:basedOn w:val="Normal"/>
    <w:link w:val="TtuloCar"/>
    <w:qFormat/>
    <w:rsid w:val="00625EC7"/>
    <w:pPr>
      <w:jc w:val="center"/>
    </w:pPr>
    <w:rPr>
      <w:b/>
      <w:sz w:val="20"/>
      <w:szCs w:val="20"/>
    </w:rPr>
  </w:style>
  <w:style w:type="character" w:customStyle="1" w:styleId="TtuloCar">
    <w:name w:val="Título Car"/>
    <w:link w:val="Ttulo"/>
    <w:rsid w:val="00625EC7"/>
    <w:rPr>
      <w:rFonts w:ascii="Times New Roman" w:eastAsia="Times New Roman" w:hAnsi="Times New Roman"/>
      <w:b/>
      <w:lang w:val="es-ES" w:eastAsia="es-ES"/>
    </w:rPr>
  </w:style>
  <w:style w:type="paragraph" w:styleId="Sangra2detindependiente">
    <w:name w:val="Body Text Indent 2"/>
    <w:basedOn w:val="Normal"/>
    <w:link w:val="Sangra2detindependienteCar"/>
    <w:semiHidden/>
    <w:rsid w:val="00625EC7"/>
    <w:pPr>
      <w:widowControl w:val="0"/>
      <w:tabs>
        <w:tab w:val="left" w:pos="-1701"/>
      </w:tabs>
      <w:suppressAutoHyphens/>
      <w:ind w:left="-1418"/>
      <w:jc w:val="both"/>
    </w:pPr>
    <w:rPr>
      <w:rFonts w:ascii="Arial" w:hAnsi="Arial"/>
      <w:snapToGrid w:val="0"/>
      <w:spacing w:val="-3"/>
      <w:szCs w:val="20"/>
      <w:lang w:val="es-ES_tradnl"/>
    </w:rPr>
  </w:style>
  <w:style w:type="character" w:customStyle="1" w:styleId="Sangra2detindependienteCar">
    <w:name w:val="Sangría 2 de t. independiente Car"/>
    <w:link w:val="Sangra2detindependiente"/>
    <w:semiHidden/>
    <w:rsid w:val="00625EC7"/>
    <w:rPr>
      <w:rFonts w:ascii="Arial" w:eastAsia="Times New Roman" w:hAnsi="Arial"/>
      <w:snapToGrid/>
      <w:spacing w:val="-3"/>
      <w:sz w:val="24"/>
      <w:lang w:val="es-ES_tradnl" w:eastAsia="es-ES"/>
    </w:rPr>
  </w:style>
  <w:style w:type="paragraph" w:styleId="Textoindependiente2">
    <w:name w:val="Body Text 2"/>
    <w:basedOn w:val="Normal"/>
    <w:link w:val="Textoindependiente2Car"/>
    <w:uiPriority w:val="99"/>
    <w:unhideWhenUsed/>
    <w:rsid w:val="00312748"/>
    <w:pPr>
      <w:spacing w:after="120" w:line="480" w:lineRule="auto"/>
    </w:pPr>
    <w:rPr>
      <w:rFonts w:ascii="Calibri" w:hAnsi="Calibri"/>
      <w:sz w:val="22"/>
      <w:szCs w:val="22"/>
      <w:lang w:val="es-UY" w:eastAsia="es-UY"/>
    </w:rPr>
  </w:style>
  <w:style w:type="character" w:customStyle="1" w:styleId="Textoindependiente2Car">
    <w:name w:val="Texto independiente 2 Car"/>
    <w:basedOn w:val="Fuentedeprrafopredeter"/>
    <w:link w:val="Textoindependiente2"/>
    <w:uiPriority w:val="99"/>
    <w:rsid w:val="00312748"/>
    <w:rPr>
      <w:rFonts w:eastAsia="Times New Roman"/>
      <w:sz w:val="22"/>
      <w:szCs w:val="22"/>
      <w:lang w:val="es-UY" w:eastAsia="es-UY"/>
    </w:rPr>
  </w:style>
  <w:style w:type="paragraph" w:customStyle="1" w:styleId="Sangradetindependiente">
    <w:name w:val="SangrÌa de t. independiente"/>
    <w:basedOn w:val="Normal"/>
    <w:rsid w:val="00312748"/>
    <w:pPr>
      <w:tabs>
        <w:tab w:val="left" w:pos="860"/>
      </w:tabs>
      <w:spacing w:after="260"/>
      <w:jc w:val="both"/>
    </w:pPr>
    <w:rPr>
      <w:rFonts w:ascii="Times" w:hAnsi="Time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4AA"/>
    <w:rPr>
      <w:rFonts w:ascii="Times New Roman" w:eastAsia="Times New Roman" w:hAnsi="Times New Roman"/>
      <w:sz w:val="24"/>
      <w:szCs w:val="24"/>
    </w:rPr>
  </w:style>
  <w:style w:type="paragraph" w:styleId="Ttulo1">
    <w:name w:val="heading 1"/>
    <w:basedOn w:val="Normal"/>
    <w:next w:val="Normal"/>
    <w:link w:val="Ttulo1Car"/>
    <w:qFormat/>
    <w:rsid w:val="00625EC7"/>
    <w:pPr>
      <w:keepNext/>
      <w:spacing w:before="240" w:after="60"/>
      <w:outlineLvl w:val="0"/>
    </w:pPr>
    <w:rPr>
      <w:rFonts w:ascii="Arial" w:hAnsi="Arial" w:cs="Arial"/>
      <w:b/>
      <w:bCs/>
      <w:kern w:val="32"/>
      <w:sz w:val="32"/>
      <w:szCs w:val="32"/>
    </w:rPr>
  </w:style>
  <w:style w:type="paragraph" w:styleId="Ttulo6">
    <w:name w:val="heading 6"/>
    <w:basedOn w:val="Normal"/>
    <w:next w:val="Normal"/>
    <w:qFormat/>
    <w:rsid w:val="008B04AA"/>
    <w:pPr>
      <w:keepNext/>
      <w:keepLines/>
      <w:spacing w:before="200"/>
      <w:outlineLvl w:val="5"/>
    </w:pPr>
    <w:rPr>
      <w:rFonts w:ascii="Cambria" w:hAnsi="Cambria"/>
      <w:i/>
      <w:iCs/>
      <w:color w:val="243F60"/>
    </w:rPr>
  </w:style>
  <w:style w:type="paragraph" w:styleId="Ttulo8">
    <w:name w:val="heading 8"/>
    <w:basedOn w:val="Normal"/>
    <w:next w:val="Normal"/>
    <w:qFormat/>
    <w:rsid w:val="008B04AA"/>
    <w:pPr>
      <w:keepNext/>
      <w:widowControl w:val="0"/>
      <w:tabs>
        <w:tab w:val="left" w:pos="0"/>
      </w:tabs>
      <w:suppressAutoHyphens/>
      <w:jc w:val="center"/>
      <w:outlineLvl w:val="7"/>
    </w:pPr>
    <w:rPr>
      <w:rFonts w:ascii="Bookman Old Style" w:hAnsi="Bookman Old Style"/>
      <w:b/>
      <w:snapToGrid w:val="0"/>
      <w:spacing w:val="-3"/>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rsid w:val="008B04AA"/>
    <w:rPr>
      <w:rFonts w:ascii="Bookman Old Style" w:eastAsia="Times New Roman" w:hAnsi="Bookman Old Style" w:cs="Times New Roman"/>
      <w:b/>
      <w:snapToGrid/>
      <w:spacing w:val="-3"/>
      <w:sz w:val="24"/>
      <w:szCs w:val="20"/>
      <w:lang w:val="es-ES_tradnl" w:eastAsia="es-ES"/>
    </w:rPr>
  </w:style>
  <w:style w:type="paragraph" w:customStyle="1" w:styleId="Textodenotaalfinal">
    <w:name w:val="Texto de nota al final"/>
    <w:basedOn w:val="Normal"/>
    <w:rsid w:val="008B04AA"/>
    <w:pPr>
      <w:widowControl w:val="0"/>
    </w:pPr>
    <w:rPr>
      <w:rFonts w:ascii="Courier New" w:hAnsi="Courier New"/>
      <w:snapToGrid w:val="0"/>
      <w:szCs w:val="20"/>
    </w:rPr>
  </w:style>
  <w:style w:type="character" w:customStyle="1" w:styleId="Ttulo6Car">
    <w:name w:val="Título 6 Car"/>
    <w:semiHidden/>
    <w:rsid w:val="008B04AA"/>
    <w:rPr>
      <w:rFonts w:ascii="Cambria" w:eastAsia="Times New Roman" w:hAnsi="Cambria" w:cs="Times New Roman"/>
      <w:i/>
      <w:iCs/>
      <w:color w:val="243F60"/>
      <w:sz w:val="24"/>
      <w:szCs w:val="24"/>
      <w:lang w:eastAsia="es-ES"/>
    </w:rPr>
  </w:style>
  <w:style w:type="paragraph" w:styleId="Encabezado">
    <w:name w:val="header"/>
    <w:basedOn w:val="Normal"/>
    <w:unhideWhenUsed/>
    <w:rsid w:val="008B04AA"/>
    <w:pPr>
      <w:tabs>
        <w:tab w:val="center" w:pos="4252"/>
        <w:tab w:val="right" w:pos="8504"/>
      </w:tabs>
    </w:pPr>
  </w:style>
  <w:style w:type="character" w:customStyle="1" w:styleId="EncabezadoCar">
    <w:name w:val="Encabezado Car"/>
    <w:rsid w:val="008B04AA"/>
    <w:rPr>
      <w:rFonts w:ascii="Times New Roman" w:eastAsia="Times New Roman" w:hAnsi="Times New Roman" w:cs="Times New Roman"/>
      <w:sz w:val="24"/>
      <w:szCs w:val="24"/>
      <w:lang w:eastAsia="es-ES"/>
    </w:rPr>
  </w:style>
  <w:style w:type="paragraph" w:styleId="Piedepgina">
    <w:name w:val="footer"/>
    <w:basedOn w:val="Normal"/>
    <w:unhideWhenUsed/>
    <w:rsid w:val="008B04AA"/>
    <w:pPr>
      <w:tabs>
        <w:tab w:val="center" w:pos="4252"/>
        <w:tab w:val="right" w:pos="8504"/>
      </w:tabs>
    </w:pPr>
  </w:style>
  <w:style w:type="character" w:customStyle="1" w:styleId="PiedepginaCar">
    <w:name w:val="Pie de página Car"/>
    <w:rsid w:val="008B04AA"/>
    <w:rPr>
      <w:rFonts w:ascii="Times New Roman" w:eastAsia="Times New Roman" w:hAnsi="Times New Roman" w:cs="Times New Roman"/>
      <w:sz w:val="24"/>
      <w:szCs w:val="24"/>
      <w:lang w:eastAsia="es-ES"/>
    </w:rPr>
  </w:style>
  <w:style w:type="character" w:customStyle="1" w:styleId="Ttulo1Car">
    <w:name w:val="Título 1 Car"/>
    <w:link w:val="Ttulo1"/>
    <w:rsid w:val="00625EC7"/>
    <w:rPr>
      <w:rFonts w:ascii="Arial" w:eastAsia="Times New Roman" w:hAnsi="Arial" w:cs="Arial"/>
      <w:b/>
      <w:bCs/>
      <w:kern w:val="32"/>
      <w:sz w:val="32"/>
      <w:szCs w:val="32"/>
      <w:lang w:val="es-ES" w:eastAsia="es-ES"/>
    </w:rPr>
  </w:style>
  <w:style w:type="paragraph" w:styleId="Textoindependiente">
    <w:name w:val="Body Text"/>
    <w:basedOn w:val="Normal"/>
    <w:link w:val="TextoindependienteCar"/>
    <w:semiHidden/>
    <w:rsid w:val="00625EC7"/>
    <w:pPr>
      <w:widowControl w:val="0"/>
      <w:tabs>
        <w:tab w:val="left" w:pos="0"/>
      </w:tabs>
      <w:suppressAutoHyphens/>
      <w:jc w:val="both"/>
    </w:pPr>
    <w:rPr>
      <w:rFonts w:ascii="Bookman Old Style" w:hAnsi="Bookman Old Style"/>
      <w:snapToGrid w:val="0"/>
      <w:spacing w:val="-3"/>
      <w:szCs w:val="20"/>
      <w:lang w:val="es-ES_tradnl"/>
    </w:rPr>
  </w:style>
  <w:style w:type="character" w:customStyle="1" w:styleId="TextoindependienteCar">
    <w:name w:val="Texto independiente Car"/>
    <w:link w:val="Textoindependiente"/>
    <w:semiHidden/>
    <w:rsid w:val="00625EC7"/>
    <w:rPr>
      <w:rFonts w:ascii="Bookman Old Style" w:eastAsia="Times New Roman" w:hAnsi="Bookman Old Style"/>
      <w:snapToGrid/>
      <w:spacing w:val="-3"/>
      <w:sz w:val="24"/>
      <w:lang w:val="es-ES_tradnl" w:eastAsia="es-ES"/>
    </w:rPr>
  </w:style>
  <w:style w:type="paragraph" w:styleId="Textoindependiente3">
    <w:name w:val="Body Text 3"/>
    <w:basedOn w:val="Normal"/>
    <w:link w:val="Textoindependiente3Car"/>
    <w:semiHidden/>
    <w:rsid w:val="00625EC7"/>
    <w:pPr>
      <w:spacing w:after="120"/>
    </w:pPr>
    <w:rPr>
      <w:sz w:val="16"/>
      <w:szCs w:val="16"/>
    </w:rPr>
  </w:style>
  <w:style w:type="character" w:customStyle="1" w:styleId="Textoindependiente3Car">
    <w:name w:val="Texto independiente 3 Car"/>
    <w:link w:val="Textoindependiente3"/>
    <w:semiHidden/>
    <w:rsid w:val="00625EC7"/>
    <w:rPr>
      <w:rFonts w:ascii="Times New Roman" w:eastAsia="Times New Roman" w:hAnsi="Times New Roman"/>
      <w:sz w:val="16"/>
      <w:szCs w:val="16"/>
      <w:lang w:val="es-ES" w:eastAsia="es-ES"/>
    </w:rPr>
  </w:style>
  <w:style w:type="paragraph" w:styleId="Sangradetextonormal">
    <w:name w:val="Body Text Indent"/>
    <w:basedOn w:val="Normal"/>
    <w:link w:val="SangradetextonormalCar"/>
    <w:semiHidden/>
    <w:rsid w:val="00625EC7"/>
    <w:pPr>
      <w:spacing w:line="360" w:lineRule="auto"/>
      <w:ind w:left="360"/>
      <w:jc w:val="both"/>
    </w:pPr>
    <w:rPr>
      <w:rFonts w:ascii="Bookman Old Style" w:hAnsi="Bookman Old Style"/>
      <w:szCs w:val="20"/>
      <w:lang w:val="es-MX"/>
    </w:rPr>
  </w:style>
  <w:style w:type="character" w:customStyle="1" w:styleId="SangradetextonormalCar">
    <w:name w:val="Sangría de texto normal Car"/>
    <w:link w:val="Sangradetextonormal"/>
    <w:semiHidden/>
    <w:rsid w:val="00625EC7"/>
    <w:rPr>
      <w:rFonts w:ascii="Bookman Old Style" w:eastAsia="Times New Roman" w:hAnsi="Bookman Old Style"/>
      <w:sz w:val="24"/>
      <w:lang w:val="es-MX" w:eastAsia="es-ES"/>
    </w:rPr>
  </w:style>
  <w:style w:type="paragraph" w:styleId="Ttulo">
    <w:name w:val="Title"/>
    <w:basedOn w:val="Normal"/>
    <w:link w:val="TtuloCar"/>
    <w:qFormat/>
    <w:rsid w:val="00625EC7"/>
    <w:pPr>
      <w:jc w:val="center"/>
    </w:pPr>
    <w:rPr>
      <w:b/>
      <w:sz w:val="20"/>
      <w:szCs w:val="20"/>
    </w:rPr>
  </w:style>
  <w:style w:type="character" w:customStyle="1" w:styleId="TtuloCar">
    <w:name w:val="Título Car"/>
    <w:link w:val="Ttulo"/>
    <w:rsid w:val="00625EC7"/>
    <w:rPr>
      <w:rFonts w:ascii="Times New Roman" w:eastAsia="Times New Roman" w:hAnsi="Times New Roman"/>
      <w:b/>
      <w:lang w:val="es-ES" w:eastAsia="es-ES"/>
    </w:rPr>
  </w:style>
  <w:style w:type="paragraph" w:styleId="Sangra2detindependiente">
    <w:name w:val="Body Text Indent 2"/>
    <w:basedOn w:val="Normal"/>
    <w:link w:val="Sangra2detindependienteCar"/>
    <w:semiHidden/>
    <w:rsid w:val="00625EC7"/>
    <w:pPr>
      <w:widowControl w:val="0"/>
      <w:tabs>
        <w:tab w:val="left" w:pos="-1701"/>
      </w:tabs>
      <w:suppressAutoHyphens/>
      <w:ind w:left="-1418"/>
      <w:jc w:val="both"/>
    </w:pPr>
    <w:rPr>
      <w:rFonts w:ascii="Arial" w:hAnsi="Arial"/>
      <w:snapToGrid w:val="0"/>
      <w:spacing w:val="-3"/>
      <w:szCs w:val="20"/>
      <w:lang w:val="es-ES_tradnl"/>
    </w:rPr>
  </w:style>
  <w:style w:type="character" w:customStyle="1" w:styleId="Sangra2detindependienteCar">
    <w:name w:val="Sangría 2 de t. independiente Car"/>
    <w:link w:val="Sangra2detindependiente"/>
    <w:semiHidden/>
    <w:rsid w:val="00625EC7"/>
    <w:rPr>
      <w:rFonts w:ascii="Arial" w:eastAsia="Times New Roman" w:hAnsi="Arial"/>
      <w:snapToGrid/>
      <w:spacing w:val="-3"/>
      <w:sz w:val="24"/>
      <w:lang w:val="es-ES_tradnl" w:eastAsia="es-ES"/>
    </w:rPr>
  </w:style>
  <w:style w:type="paragraph" w:styleId="Textoindependiente2">
    <w:name w:val="Body Text 2"/>
    <w:basedOn w:val="Normal"/>
    <w:link w:val="Textoindependiente2Car"/>
    <w:uiPriority w:val="99"/>
    <w:unhideWhenUsed/>
    <w:rsid w:val="00312748"/>
    <w:pPr>
      <w:spacing w:after="120" w:line="480" w:lineRule="auto"/>
    </w:pPr>
    <w:rPr>
      <w:rFonts w:ascii="Calibri" w:hAnsi="Calibri"/>
      <w:sz w:val="22"/>
      <w:szCs w:val="22"/>
      <w:lang w:val="es-UY" w:eastAsia="es-UY"/>
    </w:rPr>
  </w:style>
  <w:style w:type="character" w:customStyle="1" w:styleId="Textoindependiente2Car">
    <w:name w:val="Texto independiente 2 Car"/>
    <w:basedOn w:val="Fuentedeprrafopredeter"/>
    <w:link w:val="Textoindependiente2"/>
    <w:uiPriority w:val="99"/>
    <w:rsid w:val="00312748"/>
    <w:rPr>
      <w:rFonts w:eastAsia="Times New Roman"/>
      <w:sz w:val="22"/>
      <w:szCs w:val="22"/>
      <w:lang w:val="es-UY" w:eastAsia="es-UY"/>
    </w:rPr>
  </w:style>
  <w:style w:type="paragraph" w:customStyle="1" w:styleId="Sangradetindependiente">
    <w:name w:val="SangrÌa de t. independiente"/>
    <w:basedOn w:val="Normal"/>
    <w:rsid w:val="00312748"/>
    <w:pPr>
      <w:tabs>
        <w:tab w:val="left" w:pos="860"/>
      </w:tabs>
      <w:spacing w:after="260"/>
      <w:jc w:val="both"/>
    </w:pPr>
    <w:rPr>
      <w:rFonts w:ascii="Times" w:hAnsi="Time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1267</Words>
  <Characters>6971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CARPETA 2014-17-1-0002249</vt:lpstr>
    </vt:vector>
  </TitlesOfParts>
  <Company>PL</Company>
  <LinksUpToDate>false</LinksUpToDate>
  <CharactersWithSpaces>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2014-17-1-0002249</dc:title>
  <dc:creator>tcca</dc:creator>
  <cp:lastModifiedBy> </cp:lastModifiedBy>
  <cp:revision>6</cp:revision>
  <cp:lastPrinted>2014-06-11T15:34:00Z</cp:lastPrinted>
  <dcterms:created xsi:type="dcterms:W3CDTF">2016-01-11T15:50:00Z</dcterms:created>
  <dcterms:modified xsi:type="dcterms:W3CDTF">2016-01-26T17:18:00Z</dcterms:modified>
</cp:coreProperties>
</file>