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EAF" w:rsidRPr="0023661F" w:rsidRDefault="00EA1EAF" w:rsidP="0023661F">
      <w:pPr>
        <w:tabs>
          <w:tab w:val="center" w:pos="4253"/>
        </w:tabs>
        <w:suppressAutoHyphens/>
        <w:spacing w:line="480" w:lineRule="auto"/>
        <w:jc w:val="center"/>
        <w:rPr>
          <w:rFonts w:cs="Arial"/>
          <w:b/>
          <w:lang w:val="es-ES_tradnl"/>
        </w:rPr>
      </w:pPr>
      <w:bookmarkStart w:id="0" w:name="_GoBack"/>
      <w:bookmarkEnd w:id="0"/>
      <w:r w:rsidRPr="0023661F">
        <w:rPr>
          <w:rFonts w:cs="Arial"/>
          <w:b/>
          <w:lang w:val="es-ES_tradnl"/>
        </w:rPr>
        <w:t>RESOLUCION ADOPTADA POR EL</w:t>
      </w:r>
    </w:p>
    <w:p w:rsidR="00EA1EAF" w:rsidRPr="0023661F" w:rsidRDefault="00EA1EAF" w:rsidP="0023661F">
      <w:pPr>
        <w:tabs>
          <w:tab w:val="center" w:pos="4253"/>
        </w:tabs>
        <w:suppressAutoHyphens/>
        <w:spacing w:line="480" w:lineRule="auto"/>
        <w:jc w:val="center"/>
        <w:rPr>
          <w:rFonts w:cs="Arial"/>
          <w:b/>
          <w:lang w:val="es-ES_tradnl"/>
        </w:rPr>
      </w:pPr>
      <w:r w:rsidRPr="0023661F">
        <w:rPr>
          <w:rFonts w:cs="Arial"/>
          <w:b/>
          <w:lang w:val="es-ES_tradnl"/>
        </w:rPr>
        <w:t>TRIBUNAL DE CUENTAS</w:t>
      </w:r>
    </w:p>
    <w:p w:rsidR="00EA1EAF" w:rsidRPr="0023661F" w:rsidRDefault="00EA1EAF" w:rsidP="0023661F">
      <w:pPr>
        <w:tabs>
          <w:tab w:val="center" w:pos="4253"/>
        </w:tabs>
        <w:suppressAutoHyphens/>
        <w:spacing w:line="480" w:lineRule="auto"/>
        <w:jc w:val="center"/>
        <w:rPr>
          <w:rFonts w:cs="Arial"/>
          <w:b/>
          <w:lang w:val="es-ES_tradnl"/>
        </w:rPr>
      </w:pPr>
      <w:r w:rsidRPr="0023661F">
        <w:rPr>
          <w:rFonts w:cs="Arial"/>
          <w:b/>
          <w:lang w:val="es-ES_tradnl"/>
        </w:rPr>
        <w:t>EN SESION DE FECHA 23 DE DICIEMBRE DE 2015</w:t>
      </w:r>
    </w:p>
    <w:p w:rsidR="00EA1EAF" w:rsidRPr="0023661F" w:rsidRDefault="00EA1EAF" w:rsidP="0023661F">
      <w:pPr>
        <w:tabs>
          <w:tab w:val="center" w:pos="4253"/>
        </w:tabs>
        <w:suppressAutoHyphens/>
        <w:spacing w:line="480" w:lineRule="auto"/>
        <w:jc w:val="center"/>
        <w:rPr>
          <w:rFonts w:cs="Arial"/>
          <w:b/>
          <w:lang w:val="es-AR"/>
        </w:rPr>
      </w:pPr>
      <w:r w:rsidRPr="0023661F">
        <w:rPr>
          <w:rFonts w:cs="Arial"/>
          <w:b/>
          <w:lang w:val="es-AR"/>
        </w:rPr>
        <w:t xml:space="preserve">(E. E. Nº 2015-17-1-0004233, </w:t>
      </w:r>
      <w:proofErr w:type="spellStart"/>
      <w:r w:rsidRPr="0023661F">
        <w:rPr>
          <w:rFonts w:cs="Arial"/>
          <w:b/>
          <w:lang w:val="es-AR"/>
        </w:rPr>
        <w:t>Ent</w:t>
      </w:r>
      <w:proofErr w:type="spellEnd"/>
      <w:r w:rsidRPr="0023661F">
        <w:rPr>
          <w:rFonts w:cs="Arial"/>
          <w:b/>
          <w:lang w:val="es-AR"/>
        </w:rPr>
        <w:t>. N° 3449/15)</w:t>
      </w:r>
    </w:p>
    <w:p w:rsidR="00EA1EAF" w:rsidRPr="0023661F" w:rsidRDefault="00EA1EAF" w:rsidP="0023661F">
      <w:pPr>
        <w:tabs>
          <w:tab w:val="center" w:pos="4253"/>
        </w:tabs>
        <w:suppressAutoHyphens/>
        <w:spacing w:line="360" w:lineRule="auto"/>
        <w:jc w:val="center"/>
        <w:rPr>
          <w:rFonts w:cs="Arial"/>
          <w:spacing w:val="-3"/>
          <w:lang w:val="es-AR"/>
        </w:rPr>
      </w:pPr>
    </w:p>
    <w:p w:rsidR="00EA1EAF" w:rsidRPr="0023661F" w:rsidRDefault="00442358" w:rsidP="0023661F">
      <w:pPr>
        <w:pStyle w:val="Textoindependiente"/>
        <w:ind w:firstLine="851"/>
        <w:rPr>
          <w:rFonts w:cs="Arial"/>
        </w:rPr>
      </w:pPr>
      <w:r w:rsidRPr="0023661F">
        <w:rPr>
          <w:rFonts w:cs="Arial"/>
          <w:b/>
        </w:rPr>
        <w:t>VISTO:</w:t>
      </w:r>
      <w:r w:rsidRPr="0023661F">
        <w:rPr>
          <w:rFonts w:cs="Arial"/>
        </w:rPr>
        <w:t xml:space="preserve"> la Rendición de Cuentas y Balance de Ejecución Presupuestal por el Ejercicio 201</w:t>
      </w:r>
      <w:r w:rsidR="0023212C" w:rsidRPr="0023661F">
        <w:rPr>
          <w:rFonts w:cs="Arial"/>
        </w:rPr>
        <w:t xml:space="preserve">4 </w:t>
      </w:r>
      <w:r w:rsidRPr="0023661F">
        <w:rPr>
          <w:rFonts w:cs="Arial"/>
        </w:rPr>
        <w:t xml:space="preserve">de la Intendencia de </w:t>
      </w:r>
      <w:r w:rsidR="001825FE" w:rsidRPr="0023661F">
        <w:rPr>
          <w:rFonts w:cs="Arial"/>
        </w:rPr>
        <w:t>Paysandú</w:t>
      </w:r>
      <w:r w:rsidRPr="0023661F">
        <w:rPr>
          <w:rFonts w:cs="Arial"/>
        </w:rPr>
        <w:t>;</w:t>
      </w:r>
    </w:p>
    <w:p w:rsidR="00EA1EAF" w:rsidRPr="0023661F" w:rsidRDefault="00442358" w:rsidP="0023661F">
      <w:pPr>
        <w:pStyle w:val="Textoindependiente"/>
        <w:ind w:firstLine="851"/>
        <w:rPr>
          <w:rFonts w:cs="Arial"/>
        </w:rPr>
      </w:pPr>
      <w:r w:rsidRPr="0023661F">
        <w:rPr>
          <w:rFonts w:cs="Arial"/>
          <w:b/>
        </w:rPr>
        <w:t xml:space="preserve">RESULTANDO: </w:t>
      </w:r>
      <w:r w:rsidRPr="0023661F">
        <w:rPr>
          <w:rFonts w:cs="Arial"/>
        </w:rP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EA1EAF" w:rsidRPr="0023661F" w:rsidRDefault="00442358" w:rsidP="0023661F">
      <w:pPr>
        <w:pStyle w:val="Textoindependiente"/>
        <w:ind w:firstLine="851"/>
        <w:rPr>
          <w:rFonts w:cs="Arial"/>
        </w:rPr>
      </w:pPr>
      <w:r w:rsidRPr="0023661F">
        <w:rPr>
          <w:rFonts w:cs="Arial"/>
          <w:b/>
        </w:rPr>
        <w:t xml:space="preserve">CONSIDERANDO: </w:t>
      </w:r>
      <w:r w:rsidRPr="0023661F">
        <w:rPr>
          <w:rFonts w:cs="Arial"/>
        </w:rPr>
        <w:t>que las conclusiones y evidencias obtenidas son las que se expresan en el Informe de Auditoría, que incluye Dictamen e Informe a la Administración;</w:t>
      </w:r>
    </w:p>
    <w:p w:rsidR="00442358" w:rsidRPr="0023661F" w:rsidRDefault="00442358" w:rsidP="0023661F">
      <w:pPr>
        <w:pStyle w:val="Textoindependiente"/>
        <w:ind w:firstLine="851"/>
        <w:rPr>
          <w:rFonts w:cs="Arial"/>
        </w:rPr>
      </w:pPr>
      <w:r w:rsidRPr="0023661F">
        <w:rPr>
          <w:rFonts w:cs="Arial"/>
          <w:b/>
        </w:rPr>
        <w:t xml:space="preserve">ATENTO: </w:t>
      </w:r>
      <w:r w:rsidRPr="0023661F">
        <w:rPr>
          <w:rFonts w:cs="Arial"/>
        </w:rPr>
        <w:t>a lo dispuesto por el Artículo 211 Literal C) de la Constitución de la República;</w:t>
      </w:r>
    </w:p>
    <w:p w:rsidR="00442358" w:rsidRPr="0023661F" w:rsidRDefault="00442358" w:rsidP="0023661F">
      <w:pPr>
        <w:pStyle w:val="Ttulo6"/>
        <w:rPr>
          <w:rFonts w:cs="Arial"/>
          <w:szCs w:val="24"/>
        </w:rPr>
      </w:pPr>
      <w:r w:rsidRPr="0023661F">
        <w:rPr>
          <w:rFonts w:cs="Arial"/>
          <w:szCs w:val="24"/>
        </w:rPr>
        <w:t>EL TRIBUNAL ACUERDA</w:t>
      </w:r>
    </w:p>
    <w:p w:rsidR="00442358" w:rsidRPr="0023661F" w:rsidRDefault="00442358" w:rsidP="0023661F">
      <w:pPr>
        <w:pStyle w:val="Lista"/>
        <w:numPr>
          <w:ilvl w:val="0"/>
          <w:numId w:val="1"/>
        </w:numPr>
        <w:rPr>
          <w:rFonts w:cs="Arial"/>
          <w:szCs w:val="24"/>
        </w:rPr>
      </w:pPr>
      <w:r w:rsidRPr="0023661F">
        <w:rPr>
          <w:rFonts w:cs="Arial"/>
          <w:szCs w:val="24"/>
        </w:rPr>
        <w:t xml:space="preserve">Expedirse respecto a la Rendición de Cuentas y Balance de Ejecución Presupuestal de la Intendencia de </w:t>
      </w:r>
      <w:r w:rsidR="001825FE" w:rsidRPr="0023661F">
        <w:rPr>
          <w:rFonts w:cs="Arial"/>
          <w:szCs w:val="24"/>
        </w:rPr>
        <w:t>Paysandú</w:t>
      </w:r>
      <w:r w:rsidRPr="0023661F">
        <w:rPr>
          <w:rFonts w:cs="Arial"/>
          <w:szCs w:val="24"/>
        </w:rPr>
        <w:t xml:space="preserve"> correspondiente al Ejercicio 201</w:t>
      </w:r>
      <w:r w:rsidR="0023212C" w:rsidRPr="0023661F">
        <w:rPr>
          <w:rFonts w:cs="Arial"/>
          <w:szCs w:val="24"/>
        </w:rPr>
        <w:t>4</w:t>
      </w:r>
      <w:r w:rsidRPr="0023661F">
        <w:rPr>
          <w:rFonts w:cs="Arial"/>
          <w:szCs w:val="24"/>
        </w:rPr>
        <w:t>, en los términos del Informe de Auditoría</w:t>
      </w:r>
      <w:r w:rsidR="00EA1EAF" w:rsidRPr="0023661F">
        <w:rPr>
          <w:rFonts w:cs="Arial"/>
          <w:szCs w:val="24"/>
        </w:rPr>
        <w:t xml:space="preserve"> que se adjunta;</w:t>
      </w:r>
    </w:p>
    <w:p w:rsidR="00442358" w:rsidRPr="0023661F" w:rsidRDefault="00442358" w:rsidP="0023661F">
      <w:pPr>
        <w:pStyle w:val="Lista"/>
        <w:numPr>
          <w:ilvl w:val="0"/>
          <w:numId w:val="1"/>
        </w:numPr>
        <w:rPr>
          <w:rFonts w:cs="Arial"/>
          <w:szCs w:val="24"/>
        </w:rPr>
      </w:pPr>
      <w:r w:rsidRPr="0023661F">
        <w:rPr>
          <w:rFonts w:cs="Arial"/>
          <w:szCs w:val="24"/>
        </w:rPr>
        <w:t xml:space="preserve">Comunicar la presente Resolución a la Intendencia de </w:t>
      </w:r>
      <w:r w:rsidR="001825FE" w:rsidRPr="0023661F">
        <w:rPr>
          <w:rFonts w:cs="Arial"/>
          <w:szCs w:val="24"/>
        </w:rPr>
        <w:t>Paysandú</w:t>
      </w:r>
      <w:r w:rsidR="00EA1EAF" w:rsidRPr="0023661F">
        <w:rPr>
          <w:rFonts w:cs="Arial"/>
          <w:szCs w:val="24"/>
        </w:rPr>
        <w:t xml:space="preserve"> y a la Contadora Delegada;</w:t>
      </w:r>
    </w:p>
    <w:p w:rsidR="00F22988" w:rsidRPr="0023661F" w:rsidRDefault="00442358" w:rsidP="0023661F">
      <w:pPr>
        <w:pStyle w:val="Lista"/>
        <w:numPr>
          <w:ilvl w:val="0"/>
          <w:numId w:val="1"/>
        </w:numPr>
        <w:rPr>
          <w:rFonts w:cs="Arial"/>
          <w:szCs w:val="24"/>
        </w:rPr>
      </w:pPr>
      <w:r w:rsidRPr="0023661F">
        <w:rPr>
          <w:rFonts w:cs="Arial"/>
          <w:szCs w:val="24"/>
        </w:rPr>
        <w:t>Dar cuenta a la Asamblea General</w:t>
      </w:r>
      <w:r w:rsidR="007347E7" w:rsidRPr="0023661F">
        <w:rPr>
          <w:rFonts w:cs="Arial"/>
          <w:szCs w:val="24"/>
        </w:rPr>
        <w:t>.</w:t>
      </w:r>
    </w:p>
    <w:p w:rsidR="00EA1EAF" w:rsidRPr="0023661F" w:rsidRDefault="00EA1EAF" w:rsidP="0023661F">
      <w:pPr>
        <w:pStyle w:val="Lista"/>
        <w:rPr>
          <w:rFonts w:cs="Arial"/>
          <w:szCs w:val="24"/>
        </w:rPr>
      </w:pPr>
    </w:p>
    <w:p w:rsidR="0023661F" w:rsidRPr="0023661F" w:rsidRDefault="0023661F" w:rsidP="0023661F">
      <w:pPr>
        <w:pStyle w:val="Lista"/>
        <w:rPr>
          <w:rFonts w:cs="Arial"/>
          <w:szCs w:val="24"/>
        </w:rPr>
      </w:pPr>
    </w:p>
    <w:p w:rsidR="0023661F" w:rsidRPr="0023661F" w:rsidRDefault="0023661F" w:rsidP="0023661F">
      <w:pPr>
        <w:pStyle w:val="Lista"/>
        <w:rPr>
          <w:rFonts w:cs="Arial"/>
          <w:szCs w:val="24"/>
        </w:rPr>
      </w:pPr>
    </w:p>
    <w:p w:rsidR="0023661F" w:rsidRPr="0023661F" w:rsidRDefault="0023661F" w:rsidP="0023661F">
      <w:pPr>
        <w:pStyle w:val="Ttulo1"/>
        <w:jc w:val="center"/>
        <w:rPr>
          <w:rFonts w:cs="Arial"/>
          <w:szCs w:val="24"/>
        </w:rPr>
      </w:pPr>
      <w:bookmarkStart w:id="1" w:name="_Toc271807410"/>
      <w:bookmarkStart w:id="2" w:name="_Toc343587252"/>
      <w:bookmarkStart w:id="3" w:name="_Toc407008307"/>
      <w:bookmarkStart w:id="4" w:name="_Toc114298584"/>
      <w:r w:rsidRPr="0023661F">
        <w:rPr>
          <w:rFonts w:cs="Arial"/>
          <w:szCs w:val="24"/>
        </w:rPr>
        <w:lastRenderedPageBreak/>
        <w:t>DICTAMEN</w:t>
      </w:r>
      <w:bookmarkEnd w:id="1"/>
      <w:bookmarkEnd w:id="2"/>
      <w:bookmarkEnd w:id="3"/>
    </w:p>
    <w:p w:rsidR="0023661F" w:rsidRPr="0023661F" w:rsidRDefault="0023661F" w:rsidP="0023661F">
      <w:pPr>
        <w:pStyle w:val="Subttulo"/>
        <w:rPr>
          <w:rFonts w:ascii="Arial" w:hAnsi="Arial" w:cs="Arial"/>
          <w:b w:val="0"/>
          <w:szCs w:val="24"/>
        </w:rPr>
      </w:pPr>
      <w:r w:rsidRPr="0023661F">
        <w:rPr>
          <w:rFonts w:ascii="Arial" w:hAnsi="Arial" w:cs="Arial"/>
          <w:b w:val="0"/>
          <w:szCs w:val="24"/>
        </w:rPr>
        <w:t>El Tribunal de Cuentas ha examinado la Rendición de Cuentas y el Balance de Ejecución Presupuestal de la Intendencia de Paysandú correspondiente al Ejercicio 2014, que incluye los siguientes estados: de ejecución presupuestal con relación a los recursos y a los créditos, resultado del Ejercicio, resultado acumulado y</w:t>
      </w:r>
      <w:r w:rsidR="007F3F70">
        <w:rPr>
          <w:rFonts w:ascii="Arial" w:hAnsi="Arial" w:cs="Arial"/>
          <w:b w:val="0"/>
          <w:szCs w:val="24"/>
        </w:rPr>
        <w:t xml:space="preserve"> otros estados complementarios.</w:t>
      </w:r>
    </w:p>
    <w:p w:rsidR="0023661F" w:rsidRPr="0023661F" w:rsidRDefault="0023661F" w:rsidP="0023661F">
      <w:pPr>
        <w:pStyle w:val="Subttulo"/>
        <w:rPr>
          <w:rFonts w:ascii="Arial" w:hAnsi="Arial" w:cs="Arial"/>
          <w:b w:val="0"/>
          <w:szCs w:val="24"/>
        </w:rPr>
      </w:pPr>
      <w:r w:rsidRPr="0023661F">
        <w:rPr>
          <w:rFonts w:ascii="Arial" w:hAnsi="Arial" w:cs="Arial"/>
          <w:b w:val="0"/>
          <w:szCs w:val="24"/>
        </w:rPr>
        <w:t>También se presentan los incumplimientos legales constatados por el Tribunal de Cuentas en el curso de la auditoría efectuada.</w:t>
      </w:r>
    </w:p>
    <w:p w:rsidR="0023661F" w:rsidRPr="0023661F" w:rsidRDefault="0023661F" w:rsidP="0023661F">
      <w:pPr>
        <w:pStyle w:val="Subttulo"/>
        <w:rPr>
          <w:rFonts w:ascii="Arial" w:hAnsi="Arial" w:cs="Arial"/>
          <w:b w:val="0"/>
          <w:szCs w:val="24"/>
          <w:highlight w:val="yellow"/>
        </w:rPr>
      </w:pPr>
    </w:p>
    <w:p w:rsidR="0023661F" w:rsidRPr="0023661F" w:rsidRDefault="0023661F" w:rsidP="0023661F">
      <w:pPr>
        <w:pStyle w:val="Subttulo"/>
        <w:rPr>
          <w:rFonts w:ascii="Arial" w:hAnsi="Arial" w:cs="Arial"/>
          <w:szCs w:val="24"/>
        </w:rPr>
      </w:pPr>
      <w:r w:rsidRPr="0023661F">
        <w:rPr>
          <w:rFonts w:ascii="Arial" w:hAnsi="Arial" w:cs="Arial"/>
          <w:szCs w:val="24"/>
        </w:rPr>
        <w:t>Responsabilidad de la Intendencia</w:t>
      </w:r>
    </w:p>
    <w:p w:rsidR="0023661F" w:rsidRPr="0023661F" w:rsidRDefault="0023661F" w:rsidP="0023661F">
      <w:pPr>
        <w:pStyle w:val="Subttulo"/>
        <w:rPr>
          <w:rFonts w:ascii="Arial" w:hAnsi="Arial" w:cs="Arial"/>
          <w:b w:val="0"/>
          <w:szCs w:val="24"/>
        </w:rPr>
      </w:pPr>
      <w:r w:rsidRPr="0023661F">
        <w:rPr>
          <w:rFonts w:ascii="Arial" w:hAnsi="Arial" w:cs="Arial"/>
          <w:b w:val="0"/>
          <w:szCs w:val="24"/>
        </w:rPr>
        <w:t xml:space="preserve">La Intendencia es responsable por la preparación y la razonable presentación de estos estados de acuerdo con la normativa vigente y con la Resolución de este Tribunal de fecha 28 de enero de 2004. Esta responsabilidad incluye diseñar, implementar y mantener un sistema de control interno adecuado para la preparación y presentación razonable de estos estados que estén libres de errores significativos, ya sea debido a fraude o error, seleccionar y aplicar </w:t>
      </w:r>
      <w:r w:rsidR="007F3F70">
        <w:rPr>
          <w:rFonts w:ascii="Arial" w:hAnsi="Arial" w:cs="Arial"/>
          <w:b w:val="0"/>
          <w:szCs w:val="24"/>
        </w:rPr>
        <w:t>políticas contables apropiadas.</w:t>
      </w:r>
    </w:p>
    <w:p w:rsidR="0023661F" w:rsidRPr="0023661F" w:rsidRDefault="0023661F" w:rsidP="0023661F">
      <w:pPr>
        <w:pStyle w:val="Subttulo"/>
        <w:rPr>
          <w:rFonts w:ascii="Arial" w:hAnsi="Arial" w:cs="Arial"/>
          <w:b w:val="0"/>
          <w:szCs w:val="24"/>
          <w:highlight w:val="yellow"/>
        </w:rPr>
      </w:pPr>
    </w:p>
    <w:p w:rsidR="0023661F" w:rsidRPr="0023661F" w:rsidRDefault="0023661F" w:rsidP="0023661F">
      <w:pPr>
        <w:pStyle w:val="Subttulo"/>
        <w:rPr>
          <w:rFonts w:ascii="Arial" w:hAnsi="Arial" w:cs="Arial"/>
          <w:szCs w:val="24"/>
        </w:rPr>
      </w:pPr>
      <w:r w:rsidRPr="0023661F">
        <w:rPr>
          <w:rFonts w:ascii="Arial" w:hAnsi="Arial" w:cs="Arial"/>
          <w:szCs w:val="24"/>
        </w:rPr>
        <w:t>Responsabilidad del Auditor</w:t>
      </w:r>
    </w:p>
    <w:p w:rsidR="0023661F" w:rsidRPr="0023661F" w:rsidRDefault="0023661F" w:rsidP="007F3F70">
      <w:pPr>
        <w:spacing w:line="360" w:lineRule="auto"/>
        <w:jc w:val="both"/>
        <w:rPr>
          <w:rFonts w:cs="Arial"/>
        </w:rPr>
      </w:pPr>
      <w:r w:rsidRPr="0023661F">
        <w:rPr>
          <w:rFonts w:cs="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Esas normas requieren que se cumpla con requisitos éticos, se planifique y se realice la auditoría para obtener seguridad razonable acerca de si los estados contables están li</w:t>
      </w:r>
      <w:r w:rsidR="007F3F70">
        <w:rPr>
          <w:rFonts w:cs="Arial"/>
        </w:rPr>
        <w:t>bres de errores significativos.</w:t>
      </w:r>
    </w:p>
    <w:p w:rsidR="0023661F" w:rsidRPr="0023661F" w:rsidRDefault="0023661F" w:rsidP="007F3F70">
      <w:pPr>
        <w:spacing w:line="360" w:lineRule="auto"/>
        <w:jc w:val="both"/>
        <w:rPr>
          <w:rFonts w:cs="Arial"/>
        </w:rPr>
      </w:pPr>
      <w:r w:rsidRPr="0023661F">
        <w:rPr>
          <w:rFonts w:cs="Arial"/>
        </w:rPr>
        <w:t xml:space="preserve">Una auditoría implica realizar procedimientos para obtener evidencia acerca de </w:t>
      </w:r>
      <w:proofErr w:type="gramStart"/>
      <w:r w:rsidRPr="0023661F">
        <w:rPr>
          <w:rFonts w:cs="Arial"/>
        </w:rPr>
        <w:t>los</w:t>
      </w:r>
      <w:proofErr w:type="gramEnd"/>
      <w:r w:rsidRPr="0023661F">
        <w:rPr>
          <w:rFonts w:cs="Arial"/>
        </w:rPr>
        <w:t xml:space="preserve">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23661F" w:rsidRPr="0023661F" w:rsidRDefault="0023661F" w:rsidP="007F3F70">
      <w:pPr>
        <w:spacing w:line="360" w:lineRule="auto"/>
        <w:jc w:val="both"/>
        <w:rPr>
          <w:rFonts w:cs="Arial"/>
          <w:bCs/>
        </w:rPr>
      </w:pPr>
      <w:r w:rsidRPr="0023661F">
        <w:rPr>
          <w:rFonts w:cs="Arial"/>
          <w:bCs/>
        </w:rPr>
        <w:t>Se considera que la evidencia de auditoría obtenida brinda una base suficiente y apropiada para sustentar la opinión respecto a los estados de ejecución presupuestal con relación a los recursos y a los créditos. No obstante, debido a lo mencionado en el párrafo siguiente, no fue posible obtener evidencia de auditoría apropiada y suficiente para sustentar la opinión respecto a los Estados de Resultado del Ejercicio y de Resultado Acumulado al 31/12/14.</w:t>
      </w:r>
    </w:p>
    <w:p w:rsidR="0023661F" w:rsidRPr="0023661F" w:rsidRDefault="0023661F" w:rsidP="0023661F">
      <w:pPr>
        <w:pStyle w:val="Subttulo"/>
        <w:rPr>
          <w:rFonts w:ascii="Arial" w:hAnsi="Arial" w:cs="Arial"/>
          <w:b w:val="0"/>
          <w:szCs w:val="24"/>
          <w:highlight w:val="yellow"/>
        </w:rPr>
      </w:pPr>
    </w:p>
    <w:p w:rsidR="0023661F" w:rsidRDefault="0023661F" w:rsidP="0023661F">
      <w:pPr>
        <w:pStyle w:val="Ttulo2"/>
        <w:spacing w:after="0"/>
        <w:jc w:val="both"/>
        <w:rPr>
          <w:rFonts w:cs="Arial"/>
          <w:szCs w:val="24"/>
        </w:rPr>
      </w:pPr>
      <w:r w:rsidRPr="0023661F">
        <w:rPr>
          <w:rFonts w:cs="Arial"/>
          <w:szCs w:val="24"/>
        </w:rPr>
        <w:t>Bases para la abstención de opinión respecto de los Estados de Resultado del Ejercicio, Resultado Acumulado al 31/12/14 y de Ejecución en relación a los Créditos Presupuestales</w:t>
      </w:r>
    </w:p>
    <w:p w:rsidR="007F3F70" w:rsidRPr="007F3F70" w:rsidRDefault="007F3F70" w:rsidP="007F3F70">
      <w:pPr>
        <w:pStyle w:val="Textoindependiente"/>
      </w:pPr>
    </w:p>
    <w:p w:rsidR="0023661F" w:rsidRPr="0023661F" w:rsidRDefault="0023661F" w:rsidP="0023661F">
      <w:pPr>
        <w:pStyle w:val="Textoindependiente"/>
        <w:rPr>
          <w:rFonts w:cs="Arial"/>
        </w:rPr>
      </w:pPr>
      <w:r w:rsidRPr="0023661F">
        <w:rPr>
          <w:rFonts w:cs="Arial"/>
          <w:b/>
        </w:rPr>
        <w:t>1)</w:t>
      </w:r>
      <w:r w:rsidRPr="0023661F">
        <w:rPr>
          <w:rFonts w:cs="Arial"/>
        </w:rPr>
        <w:t xml:space="preserve"> No se ha podido verificar el Resultado Acumulado al 31/12/14 a partir de la suma del Resultado Acumulado al 31/12/13 más el Resultado del Ejercicio 2014, situación que se repi</w:t>
      </w:r>
      <w:r w:rsidR="007F3F70">
        <w:rPr>
          <w:rFonts w:cs="Arial"/>
        </w:rPr>
        <w:t>te desde ejercicios anteriores.</w:t>
      </w:r>
    </w:p>
    <w:p w:rsidR="0023661F" w:rsidRPr="0023661F" w:rsidRDefault="0023661F" w:rsidP="0023661F">
      <w:pPr>
        <w:pStyle w:val="Textoindependiente"/>
        <w:rPr>
          <w:rFonts w:cs="Arial"/>
        </w:rPr>
      </w:pPr>
      <w:r w:rsidRPr="0023661F">
        <w:rPr>
          <w:rFonts w:cs="Arial"/>
          <w:b/>
        </w:rPr>
        <w:t>2)</w:t>
      </w:r>
      <w:r w:rsidRPr="0023661F">
        <w:rPr>
          <w:rFonts w:cs="Arial"/>
        </w:rPr>
        <w:t xml:space="preserve"> El Estado de Resultado incluye como resultado </w:t>
      </w:r>
      <w:proofErr w:type="spellStart"/>
      <w:r w:rsidRPr="0023661F">
        <w:rPr>
          <w:rFonts w:cs="Arial"/>
        </w:rPr>
        <w:t>extrapresupuestal</w:t>
      </w:r>
      <w:proofErr w:type="spellEnd"/>
      <w:r w:rsidRPr="0023661F">
        <w:rPr>
          <w:rFonts w:cs="Arial"/>
        </w:rPr>
        <w:t xml:space="preserve">, ingresos por un importe de $ 212:703.785 y egresos por $ 115:287.417, presentándose exclusivamente el detalle de los mismos. No se adjunta el estado correspondiente a la evolución de estos fondos, a efectos de verificar la exactitud de la información incluida y la determinación de los saldos de fondos </w:t>
      </w:r>
      <w:proofErr w:type="spellStart"/>
      <w:r w:rsidRPr="0023661F">
        <w:rPr>
          <w:rFonts w:cs="Arial"/>
        </w:rPr>
        <w:t>extrapresupuestales</w:t>
      </w:r>
      <w:proofErr w:type="spellEnd"/>
      <w:r w:rsidRPr="0023661F">
        <w:rPr>
          <w:rFonts w:cs="Arial"/>
        </w:rPr>
        <w:t xml:space="preserve"> a cobrar y a pagar y de los que afectan el resultado.</w:t>
      </w:r>
    </w:p>
    <w:p w:rsidR="0023661F" w:rsidRPr="0023661F" w:rsidRDefault="0023661F" w:rsidP="007F3F70">
      <w:pPr>
        <w:spacing w:line="360" w:lineRule="auto"/>
        <w:jc w:val="both"/>
        <w:rPr>
          <w:rFonts w:cs="Arial"/>
        </w:rPr>
      </w:pPr>
      <w:r w:rsidRPr="0023661F">
        <w:rPr>
          <w:rFonts w:cs="Arial"/>
          <w:b/>
        </w:rPr>
        <w:t>3)</w:t>
      </w:r>
      <w:r w:rsidRPr="0023661F">
        <w:rPr>
          <w:rFonts w:cs="Arial"/>
        </w:rPr>
        <w:t xml:space="preserve"> No fue posible verificar los ajustes efectuados por la Intendencia al saldo de las obligaciones presupuestales impagas de ejercicios anteriores por $108:541.400, al no haberse proporcionado </w:t>
      </w:r>
      <w:r w:rsidR="007F3F70">
        <w:rPr>
          <w:rFonts w:cs="Arial"/>
        </w:rPr>
        <w:t>la correspondiente información.</w:t>
      </w:r>
    </w:p>
    <w:p w:rsidR="0023661F" w:rsidRPr="0023661F" w:rsidRDefault="0023661F" w:rsidP="007F3F70">
      <w:pPr>
        <w:spacing w:line="360" w:lineRule="auto"/>
        <w:jc w:val="both"/>
        <w:rPr>
          <w:rFonts w:cs="Arial"/>
        </w:rPr>
      </w:pPr>
      <w:r w:rsidRPr="0023661F">
        <w:rPr>
          <w:rFonts w:cs="Arial"/>
          <w:b/>
        </w:rPr>
        <w:t>4)</w:t>
      </w:r>
      <w:r w:rsidRPr="0023661F">
        <w:rPr>
          <w:rFonts w:cs="Arial"/>
        </w:rPr>
        <w:t xml:space="preserve"> El importe de las obligaciones presupuestales impagas generadas en el ejercicio ($ 284:879.800), que coincide con el incluido en el estado de ejecución con relación a los créditos, se ajustó en el Estado de Obligaciones Presupuestales Impagas, disminuyéndolo en $ 82:427.546. No se expone el detalle de los mencionados ajustes ni el respectivo fundamento. Asimismo, el  total de las obligaciones presupuestales impagas según el estado correspondiente difiere del total del detalle respectivo en $ 80:475.409.</w:t>
      </w:r>
    </w:p>
    <w:p w:rsidR="0023661F" w:rsidRPr="0023661F" w:rsidRDefault="0023661F" w:rsidP="007F3F70">
      <w:pPr>
        <w:spacing w:line="360" w:lineRule="auto"/>
        <w:jc w:val="both"/>
        <w:rPr>
          <w:rFonts w:cs="Arial"/>
        </w:rPr>
      </w:pPr>
      <w:r w:rsidRPr="0023661F">
        <w:rPr>
          <w:rFonts w:cs="Arial"/>
          <w:b/>
        </w:rPr>
        <w:t>5)</w:t>
      </w:r>
      <w:r w:rsidRPr="0023661F">
        <w:rPr>
          <w:rFonts w:cs="Arial"/>
        </w:rPr>
        <w:t xml:space="preserve"> No se presentó el detalle de las órdenes de Tesorería al 31/12/14, cuyo monto asciende a $ 51:971.673.</w:t>
      </w:r>
    </w:p>
    <w:p w:rsidR="0023661F" w:rsidRPr="0023661F" w:rsidRDefault="0023661F" w:rsidP="007F3F70">
      <w:pPr>
        <w:spacing w:line="360" w:lineRule="auto"/>
        <w:jc w:val="both"/>
        <w:rPr>
          <w:rFonts w:cs="Arial"/>
        </w:rPr>
      </w:pPr>
      <w:r w:rsidRPr="0023661F">
        <w:rPr>
          <w:rFonts w:cs="Arial"/>
          <w:b/>
        </w:rPr>
        <w:t>6)</w:t>
      </w:r>
      <w:r w:rsidRPr="0023661F">
        <w:rPr>
          <w:rFonts w:cs="Arial"/>
        </w:rPr>
        <w:t xml:space="preserve"> El Estado de Movimiento de Fondos y Valores incluye en los egresos una partida de “Pagos Ejercicios Anteriores </w:t>
      </w:r>
      <w:proofErr w:type="spellStart"/>
      <w:r w:rsidRPr="0023661F">
        <w:rPr>
          <w:rFonts w:cs="Arial"/>
        </w:rPr>
        <w:t>Extrapresupuestales</w:t>
      </w:r>
      <w:proofErr w:type="spellEnd"/>
      <w:r w:rsidRPr="0023661F">
        <w:rPr>
          <w:rFonts w:cs="Arial"/>
        </w:rPr>
        <w:t>” por $ 12:469.666 y otra de “Ajuste OPI” por $ 108:541.400, de las cuales no se proporcionó detalle. El monto del concepto “Pagos Ejercicios Anteriores” difiere del importe expuesto en el estado de evolución de obligaciones presupuestales impagas en $ 25:426.931.</w:t>
      </w:r>
    </w:p>
    <w:p w:rsidR="0023661F" w:rsidRPr="0023661F" w:rsidRDefault="0023661F" w:rsidP="007F3F70">
      <w:pPr>
        <w:spacing w:line="360" w:lineRule="auto"/>
        <w:jc w:val="both"/>
        <w:rPr>
          <w:rFonts w:cs="Arial"/>
        </w:rPr>
      </w:pPr>
      <w:r w:rsidRPr="0023661F">
        <w:rPr>
          <w:rFonts w:cs="Arial"/>
          <w:b/>
        </w:rPr>
        <w:t>7)</w:t>
      </w:r>
      <w:r w:rsidRPr="0023661F">
        <w:rPr>
          <w:rFonts w:cs="Arial"/>
        </w:rPr>
        <w:t xml:space="preserve"> El total de disponibilidades según el Estado de Movimiento de Fondos y Valores difiere del saldo proporcionado por el sistema </w:t>
      </w:r>
      <w:r w:rsidR="007F3F70">
        <w:rPr>
          <w:rFonts w:cs="Arial"/>
        </w:rPr>
        <w:t>contable (SEFI) en $45:358.158.</w:t>
      </w:r>
    </w:p>
    <w:p w:rsidR="0023661F" w:rsidRPr="0023661F" w:rsidRDefault="0023661F" w:rsidP="007F3F70">
      <w:pPr>
        <w:spacing w:line="360" w:lineRule="auto"/>
        <w:jc w:val="both"/>
        <w:rPr>
          <w:rFonts w:cs="Arial"/>
        </w:rPr>
      </w:pPr>
      <w:r w:rsidRPr="0023661F">
        <w:rPr>
          <w:rFonts w:cs="Arial"/>
          <w:b/>
        </w:rPr>
        <w:t>8)</w:t>
      </w:r>
      <w:r w:rsidRPr="0023661F">
        <w:rPr>
          <w:rFonts w:cs="Arial"/>
        </w:rPr>
        <w:t xml:space="preserve"> El SEFI incluye  depósitos a plazo fijo por un total de $ 11:798.865, que no están incluidos en la información proporcionada por el BROU al 31/12/14.</w:t>
      </w:r>
    </w:p>
    <w:p w:rsidR="0023661F" w:rsidRPr="0023661F" w:rsidRDefault="0023661F" w:rsidP="0023661F">
      <w:pPr>
        <w:pStyle w:val="Textoindependiente"/>
        <w:rPr>
          <w:rFonts w:cs="Arial"/>
        </w:rPr>
      </w:pPr>
    </w:p>
    <w:p w:rsidR="0023661F" w:rsidRPr="0023661F" w:rsidRDefault="0023661F" w:rsidP="0023661F">
      <w:pPr>
        <w:spacing w:line="360" w:lineRule="auto"/>
        <w:rPr>
          <w:rFonts w:cs="Arial"/>
        </w:rPr>
      </w:pPr>
    </w:p>
    <w:bookmarkEnd w:id="4"/>
    <w:p w:rsidR="0023661F" w:rsidRPr="0023661F" w:rsidRDefault="0023661F" w:rsidP="0023661F">
      <w:pPr>
        <w:pStyle w:val="Textoindependiente"/>
        <w:rPr>
          <w:rFonts w:cs="Arial"/>
          <w:b/>
          <w:bCs w:val="0"/>
        </w:rPr>
      </w:pPr>
      <w:r w:rsidRPr="0023661F">
        <w:rPr>
          <w:rFonts w:cs="Arial"/>
          <w:b/>
        </w:rPr>
        <w:t>Opinión</w:t>
      </w:r>
    </w:p>
    <w:p w:rsidR="0023661F" w:rsidRPr="0023661F" w:rsidRDefault="0023661F" w:rsidP="0023661F">
      <w:pPr>
        <w:pStyle w:val="Textoindependiente"/>
        <w:numPr>
          <w:ilvl w:val="0"/>
          <w:numId w:val="2"/>
        </w:numPr>
        <w:rPr>
          <w:rFonts w:cs="Arial"/>
        </w:rPr>
      </w:pPr>
      <w:r w:rsidRPr="0023661F">
        <w:rPr>
          <w:rFonts w:cs="Arial"/>
          <w:b/>
        </w:rPr>
        <w:t xml:space="preserve"> </w:t>
      </w:r>
      <w:r w:rsidRPr="0023661F">
        <w:rPr>
          <w:rFonts w:cs="Arial"/>
        </w:rPr>
        <w:t>En opinión del Tribunal de Cuentas, los Estados de Ejecución Presupuestal con relación a los recursos presentan razonablemente la ejecución de los recursos del Ejercicio 2014, en todos sus aspectos importantes, de acuerdo con las normas establecidas en el TOCAF y la Resolución de este Tribunal de fecha 28 de enero de 2004.</w:t>
      </w:r>
    </w:p>
    <w:p w:rsidR="0023661F" w:rsidRPr="0023661F" w:rsidRDefault="0023661F" w:rsidP="0023661F">
      <w:pPr>
        <w:numPr>
          <w:ilvl w:val="0"/>
          <w:numId w:val="2"/>
        </w:numPr>
        <w:spacing w:line="360" w:lineRule="auto"/>
        <w:jc w:val="both"/>
        <w:rPr>
          <w:rFonts w:cs="Arial"/>
        </w:rPr>
      </w:pPr>
      <w:r w:rsidRPr="0023661F">
        <w:rPr>
          <w:rFonts w:cs="Arial"/>
        </w:rPr>
        <w:t>Debido a las consideraciones efectuadas en el párrafo Bases para la abstención de opinión y a que no fue posible aplicar otros procedimientos de auditoría para obtener evidencia sobre los aspectos mencionados, el alcance de la auditoría no es suficiente para permitir expresar, y por tanto no se expresa, una opinión respecto a los Estados de Ejecución Presupuestal con relación a los créditos, el Resultado del ejercicio 2014 y de Resultado Acumu</w:t>
      </w:r>
      <w:r w:rsidRPr="0023661F">
        <w:rPr>
          <w:rFonts w:cs="Arial"/>
        </w:rPr>
        <w:softHyphen/>
        <w:t>lado al 31 de diciembre de 2014.</w:t>
      </w:r>
    </w:p>
    <w:p w:rsidR="0023661F" w:rsidRPr="0023661F" w:rsidRDefault="0023661F" w:rsidP="0023661F">
      <w:pPr>
        <w:spacing w:line="360" w:lineRule="auto"/>
        <w:ind w:left="340"/>
        <w:rPr>
          <w:rFonts w:cs="Arial"/>
        </w:rPr>
      </w:pPr>
    </w:p>
    <w:p w:rsidR="0023661F" w:rsidRPr="0023661F" w:rsidRDefault="0023661F" w:rsidP="004B4B18">
      <w:pPr>
        <w:spacing w:line="360" w:lineRule="auto"/>
        <w:jc w:val="both"/>
        <w:rPr>
          <w:rFonts w:cs="Arial"/>
        </w:rPr>
      </w:pPr>
      <w:r w:rsidRPr="0023661F">
        <w:rPr>
          <w:rFonts w:cs="Arial"/>
        </w:rPr>
        <w:t>Con relación al cumplimiento de la normativa vigente, en el curso de la auditoría se ha constatado que:</w:t>
      </w:r>
    </w:p>
    <w:p w:rsidR="0023661F" w:rsidRPr="0023661F" w:rsidRDefault="0023661F" w:rsidP="0023661F">
      <w:pPr>
        <w:spacing w:line="360" w:lineRule="auto"/>
        <w:rPr>
          <w:rFonts w:cs="Arial"/>
        </w:rPr>
      </w:pPr>
    </w:p>
    <w:p w:rsidR="0023661F" w:rsidRPr="0023661F" w:rsidRDefault="0023661F" w:rsidP="004B4B18">
      <w:pPr>
        <w:spacing w:line="360" w:lineRule="auto"/>
        <w:jc w:val="both"/>
        <w:rPr>
          <w:rFonts w:cs="Arial"/>
        </w:rPr>
      </w:pPr>
      <w:r w:rsidRPr="0023661F">
        <w:rPr>
          <w:rFonts w:cs="Arial"/>
          <w:b/>
          <w:bCs/>
        </w:rPr>
        <w:t xml:space="preserve">1) Artículo 86 de la Constitución de la República. </w:t>
      </w:r>
      <w:r w:rsidRPr="0023661F">
        <w:rPr>
          <w:rFonts w:cs="Arial"/>
        </w:rPr>
        <w:t>Durante el Ejercicio 2014 no se dio cumplimiento con la estructura orgánica establecida en la instancia presupuestal al no respetarse en su totalidad la cantidad de funcionarios presupuestados y no presupuestados. El sueldo pagado a los Alcaldes no se ajusta a lo establecido en el Artículo 6 del Presupuesto Quinquenal 2011-2015. Asimismo, los incrementos salariales otorgados a los funcionarios y partidas por concepto de compensación, otorgadas a alguno de éstos, no fueron establecido</w:t>
      </w:r>
      <w:r w:rsidR="004B4B18">
        <w:rPr>
          <w:rFonts w:cs="Arial"/>
        </w:rPr>
        <w:t>s en la instancia presupuestal.</w:t>
      </w:r>
    </w:p>
    <w:p w:rsidR="0023661F" w:rsidRPr="0023661F" w:rsidRDefault="0023661F" w:rsidP="004B4B18">
      <w:pPr>
        <w:pStyle w:val="NormalWeb"/>
        <w:shd w:val="clear" w:color="auto" w:fill="FFFFFF"/>
        <w:tabs>
          <w:tab w:val="left" w:pos="360"/>
        </w:tabs>
        <w:spacing w:before="0" w:beforeAutospacing="0" w:after="0" w:afterAutospacing="0" w:line="360" w:lineRule="auto"/>
        <w:jc w:val="both"/>
        <w:rPr>
          <w:rFonts w:ascii="Arial" w:hAnsi="Arial" w:cs="Arial"/>
        </w:rPr>
      </w:pPr>
      <w:r w:rsidRPr="0023661F">
        <w:rPr>
          <w:rFonts w:ascii="Arial" w:hAnsi="Arial" w:cs="Arial"/>
          <w:b/>
          <w:bCs/>
        </w:rPr>
        <w:t>2) Artículo 297 Numeral 1) de la Constitución de la República:</w:t>
      </w:r>
      <w:r w:rsidRPr="0023661F">
        <w:rPr>
          <w:rStyle w:val="apple-converted-space"/>
          <w:rFonts w:ascii="Arial" w:hAnsi="Arial" w:cs="Arial"/>
          <w:color w:val="000000"/>
        </w:rPr>
        <w:t> </w:t>
      </w:r>
      <w:r w:rsidRPr="0023661F">
        <w:rPr>
          <w:rFonts w:ascii="Arial" w:hAnsi="Arial" w:cs="Arial"/>
        </w:rPr>
        <w:t xml:space="preserve">Se aplicaron bonificaciones y descuentos por el pago de la Contribución Inmobiliaria Rural, </w:t>
      </w:r>
      <w:proofErr w:type="gramStart"/>
      <w:r w:rsidRPr="0023661F">
        <w:rPr>
          <w:rFonts w:ascii="Arial" w:hAnsi="Arial" w:cs="Arial"/>
        </w:rPr>
        <w:t>excediendo</w:t>
      </w:r>
      <w:proofErr w:type="gramEnd"/>
      <w:r w:rsidRPr="0023661F">
        <w:rPr>
          <w:rFonts w:ascii="Arial" w:hAnsi="Arial" w:cs="Arial"/>
        </w:rPr>
        <w:t xml:space="preserve"> la potestad tributaria departamental.</w:t>
      </w:r>
    </w:p>
    <w:p w:rsidR="0023661F" w:rsidRPr="0023661F" w:rsidRDefault="0023661F" w:rsidP="004B4B18">
      <w:pPr>
        <w:spacing w:line="360" w:lineRule="auto"/>
        <w:jc w:val="both"/>
        <w:rPr>
          <w:rFonts w:cs="Arial"/>
          <w:b/>
          <w:bCs/>
        </w:rPr>
      </w:pPr>
      <w:r w:rsidRPr="0023661F">
        <w:rPr>
          <w:rFonts w:cs="Arial"/>
          <w:b/>
          <w:bCs/>
        </w:rPr>
        <w:t>3) Artículo 297 de la Constitución y Artículos 93 y 94 del Código Tributario.</w:t>
      </w:r>
      <w:r w:rsidRPr="0023661F">
        <w:rPr>
          <w:rFonts w:cs="Arial"/>
        </w:rPr>
        <w:t xml:space="preserve"> Las alícuotas aplicadas por la Intendencia para determinar las multas por mora en el pago de la Contribución Inmobiliaria Rural y del Impuesto Ley Nº 12.700 sobre las ventas de semovientes,</w:t>
      </w:r>
      <w:r w:rsidR="004B4B18">
        <w:rPr>
          <w:rFonts w:cs="Arial"/>
        </w:rPr>
        <w:t xml:space="preserve"> no se ajustan a dichas normas.</w:t>
      </w:r>
    </w:p>
    <w:p w:rsidR="0023661F" w:rsidRPr="0023661F" w:rsidRDefault="0023661F" w:rsidP="004B4B18">
      <w:pPr>
        <w:autoSpaceDE w:val="0"/>
        <w:autoSpaceDN w:val="0"/>
        <w:adjustRightInd w:val="0"/>
        <w:spacing w:line="360" w:lineRule="auto"/>
        <w:jc w:val="both"/>
        <w:rPr>
          <w:rFonts w:cs="Arial"/>
        </w:rPr>
      </w:pPr>
      <w:r w:rsidRPr="0023661F">
        <w:rPr>
          <w:rFonts w:cs="Arial"/>
          <w:b/>
        </w:rPr>
        <w:t xml:space="preserve">4) Ley Nº 18.083 y Artículo 101 del Decreto Nº 220/98. </w:t>
      </w:r>
      <w:r w:rsidRPr="0023661F">
        <w:rPr>
          <w:rFonts w:cs="Arial"/>
        </w:rPr>
        <w:t xml:space="preserve">La Intendencia no facturó el IVA </w:t>
      </w:r>
      <w:r w:rsidR="004B4B18">
        <w:rPr>
          <w:rFonts w:cs="Arial"/>
        </w:rPr>
        <w:t xml:space="preserve">a los servicios </w:t>
      </w:r>
      <w:proofErr w:type="gramStart"/>
      <w:r w:rsidR="004B4B18">
        <w:rPr>
          <w:rFonts w:cs="Arial"/>
        </w:rPr>
        <w:t>de los camping</w:t>
      </w:r>
      <w:proofErr w:type="gramEnd"/>
      <w:r w:rsidR="004B4B18">
        <w:rPr>
          <w:rFonts w:cs="Arial"/>
        </w:rPr>
        <w:t>.</w:t>
      </w:r>
    </w:p>
    <w:p w:rsidR="0023661F" w:rsidRPr="0023661F" w:rsidRDefault="0023661F" w:rsidP="004B4B18">
      <w:pPr>
        <w:autoSpaceDE w:val="0"/>
        <w:autoSpaceDN w:val="0"/>
        <w:adjustRightInd w:val="0"/>
        <w:spacing w:line="360" w:lineRule="auto"/>
        <w:jc w:val="both"/>
        <w:rPr>
          <w:rFonts w:cs="Arial"/>
        </w:rPr>
      </w:pPr>
      <w:r w:rsidRPr="0023661F">
        <w:rPr>
          <w:rFonts w:cs="Arial"/>
          <w:b/>
        </w:rPr>
        <w:t xml:space="preserve">5) Artículo 13 del TOCAF. </w:t>
      </w:r>
      <w:r w:rsidRPr="0023661F">
        <w:rPr>
          <w:rFonts w:cs="Arial"/>
        </w:rPr>
        <w:t>Se imputaron gastos del Ejercicio 2015 en el Ejercicio 2014.</w:t>
      </w:r>
    </w:p>
    <w:p w:rsidR="0023661F" w:rsidRPr="0023661F" w:rsidRDefault="0023661F" w:rsidP="004B4B18">
      <w:pPr>
        <w:autoSpaceDE w:val="0"/>
        <w:autoSpaceDN w:val="0"/>
        <w:adjustRightInd w:val="0"/>
        <w:spacing w:line="360" w:lineRule="auto"/>
        <w:jc w:val="both"/>
        <w:rPr>
          <w:rFonts w:cs="Arial"/>
        </w:rPr>
      </w:pPr>
      <w:r w:rsidRPr="0023661F">
        <w:rPr>
          <w:rFonts w:cs="Arial"/>
          <w:b/>
        </w:rPr>
        <w:t>6) Artículo 14 del TOCAF.</w:t>
      </w:r>
      <w:r w:rsidRPr="0023661F">
        <w:rPr>
          <w:rFonts w:cs="Arial"/>
        </w:rPr>
        <w:t xml:space="preserve"> La mayoría de los contratos de función pública se imputaron en el objeto 031.Retribuciones Zafrales y Temporales y no en el  objeto 021 – Sueldo Básico de Funciones Contratadas que es el que corresponde.</w:t>
      </w:r>
    </w:p>
    <w:p w:rsidR="0023661F" w:rsidRPr="0023661F" w:rsidRDefault="0023661F" w:rsidP="004B4B18">
      <w:pPr>
        <w:autoSpaceDE w:val="0"/>
        <w:autoSpaceDN w:val="0"/>
        <w:adjustRightInd w:val="0"/>
        <w:spacing w:line="360" w:lineRule="auto"/>
        <w:jc w:val="both"/>
        <w:rPr>
          <w:rFonts w:cs="Arial"/>
        </w:rPr>
      </w:pPr>
      <w:r w:rsidRPr="0023661F">
        <w:rPr>
          <w:rFonts w:cs="Arial"/>
          <w:b/>
        </w:rPr>
        <w:t xml:space="preserve">7) Artículo 15 del TOCAF. </w:t>
      </w:r>
      <w:r w:rsidRPr="0023661F">
        <w:rPr>
          <w:rFonts w:cs="Arial"/>
        </w:rPr>
        <w:t>Se realizaron gastos sin contar con disponibilidad de crédito presupuestal.</w:t>
      </w:r>
    </w:p>
    <w:p w:rsidR="0023661F" w:rsidRPr="0023661F" w:rsidRDefault="0023661F" w:rsidP="004B4B18">
      <w:pPr>
        <w:autoSpaceDE w:val="0"/>
        <w:autoSpaceDN w:val="0"/>
        <w:adjustRightInd w:val="0"/>
        <w:spacing w:line="360" w:lineRule="auto"/>
        <w:jc w:val="both"/>
        <w:rPr>
          <w:rFonts w:cs="Arial"/>
        </w:rPr>
      </w:pPr>
      <w:r w:rsidRPr="0023661F">
        <w:rPr>
          <w:rFonts w:cs="Arial"/>
          <w:b/>
        </w:rPr>
        <w:t xml:space="preserve">8) Artículo 26 del TOCAF y Artículo 12 numeral 3 de la Ley N° 18.567. </w:t>
      </w:r>
      <w:r w:rsidRPr="0023661F">
        <w:rPr>
          <w:rFonts w:cs="Arial"/>
        </w:rPr>
        <w:t>La Intendencia creó “Fondos Permanentes” para los Municipios lo que implica que los gastos serán finalmente aprobados por el Intendente y no por el Municipio que</w:t>
      </w:r>
      <w:r w:rsidR="004B4B18">
        <w:rPr>
          <w:rFonts w:cs="Arial"/>
        </w:rPr>
        <w:t xml:space="preserve"> es lo que prevé la Ley citada.</w:t>
      </w:r>
    </w:p>
    <w:p w:rsidR="0023661F" w:rsidRPr="0023661F" w:rsidRDefault="0023661F" w:rsidP="004B4B18">
      <w:pPr>
        <w:pStyle w:val="Textoindependiente"/>
        <w:rPr>
          <w:rFonts w:cs="Arial"/>
          <w:color w:val="000000"/>
        </w:rPr>
      </w:pPr>
      <w:r w:rsidRPr="0023661F">
        <w:rPr>
          <w:rFonts w:cs="Arial"/>
          <w:b/>
        </w:rPr>
        <w:t>9) Artículos 33 y 43 del TOCAF.</w:t>
      </w:r>
      <w:r w:rsidRPr="0023661F">
        <w:rPr>
          <w:rFonts w:cs="Arial"/>
        </w:rPr>
        <w:t xml:space="preserve"> Se han efectuado compras sin los correspondientes llamados a licitación. </w:t>
      </w:r>
      <w:r w:rsidRPr="0023661F">
        <w:rPr>
          <w:rFonts w:cs="Arial"/>
          <w:color w:val="000000"/>
        </w:rPr>
        <w:t>Al no tener en cuenta las necesidades de suministros para todo el Ejercicio, se omitió la aplicación de los procedimientos de contratación que hubieran correspondido.</w:t>
      </w:r>
    </w:p>
    <w:p w:rsidR="0023661F" w:rsidRPr="0023661F" w:rsidRDefault="0023661F" w:rsidP="0023661F">
      <w:pPr>
        <w:pStyle w:val="NormalWeb"/>
        <w:shd w:val="clear" w:color="auto" w:fill="FFFFFF"/>
        <w:tabs>
          <w:tab w:val="left" w:pos="360"/>
        </w:tabs>
        <w:spacing w:before="0" w:beforeAutospacing="0" w:after="0" w:afterAutospacing="0" w:line="360" w:lineRule="auto"/>
        <w:jc w:val="both"/>
        <w:rPr>
          <w:rFonts w:ascii="Arial" w:hAnsi="Arial" w:cs="Arial"/>
          <w:b/>
          <w:bCs/>
        </w:rPr>
      </w:pPr>
      <w:r w:rsidRPr="0023661F">
        <w:rPr>
          <w:rFonts w:ascii="Arial" w:hAnsi="Arial" w:cs="Arial"/>
          <w:b/>
          <w:bCs/>
        </w:rPr>
        <w:t>10) Artículo 40 del TOCAF:</w:t>
      </w:r>
      <w:r w:rsidRPr="0023661F">
        <w:rPr>
          <w:rStyle w:val="apple-converted-space"/>
          <w:rFonts w:ascii="Arial" w:hAnsi="Arial" w:cs="Arial"/>
        </w:rPr>
        <w:t xml:space="preserve"> En las renovaciones de contratos de arrendamiento de inmuebles no se solicitó el informe previo de la oficina técnica competente con respecto al valor del arrendamiento a pagar.</w:t>
      </w:r>
    </w:p>
    <w:p w:rsidR="0023661F" w:rsidRPr="0023661F" w:rsidRDefault="0023661F" w:rsidP="004B4B18">
      <w:pPr>
        <w:spacing w:line="360" w:lineRule="auto"/>
        <w:jc w:val="both"/>
        <w:rPr>
          <w:rFonts w:cs="Arial"/>
        </w:rPr>
      </w:pPr>
      <w:r w:rsidRPr="0023661F">
        <w:rPr>
          <w:rFonts w:cs="Arial"/>
          <w:b/>
          <w:bCs/>
        </w:rPr>
        <w:t xml:space="preserve">11) Artículo 94 del TOCAF </w:t>
      </w:r>
      <w:r w:rsidRPr="0023661F">
        <w:rPr>
          <w:rFonts w:cs="Arial"/>
          <w:b/>
        </w:rPr>
        <w:t xml:space="preserve">y </w:t>
      </w:r>
      <w:r w:rsidRPr="0023661F">
        <w:rPr>
          <w:rFonts w:cs="Arial"/>
          <w:b/>
          <w:bCs/>
        </w:rPr>
        <w:t>Ordenanza 81 del Tribunal de Cuentas.</w:t>
      </w:r>
      <w:r w:rsidRPr="0023661F">
        <w:rPr>
          <w:rFonts w:cs="Arial"/>
        </w:rPr>
        <w:t xml:space="preserve"> La Intendencia no ha implementado totalmente un sistema contable que permita cumplir con lo establecido por dichas normas.</w:t>
      </w:r>
    </w:p>
    <w:p w:rsidR="0023661F" w:rsidRPr="0023661F" w:rsidRDefault="0023661F" w:rsidP="004B4B18">
      <w:pPr>
        <w:spacing w:line="360" w:lineRule="auto"/>
        <w:jc w:val="both"/>
        <w:rPr>
          <w:rFonts w:cs="Arial"/>
          <w:bCs/>
        </w:rPr>
      </w:pPr>
      <w:r w:rsidRPr="0023661F">
        <w:rPr>
          <w:rFonts w:cs="Arial"/>
          <w:b/>
        </w:rPr>
        <w:t xml:space="preserve">12) Artículos 102 y 119 del TOCAF. </w:t>
      </w:r>
      <w:r w:rsidRPr="0023661F">
        <w:rPr>
          <w:rFonts w:cs="Arial"/>
          <w:bCs/>
        </w:rPr>
        <w:t>No se efectuaron arqueos sorpresivos periódicos en la Tesorería de la Intendencia, los Municipios, Juntas Locales y Centros Termales.</w:t>
      </w:r>
    </w:p>
    <w:p w:rsidR="0023661F" w:rsidRPr="0023661F" w:rsidRDefault="0023661F" w:rsidP="004B4B18">
      <w:pPr>
        <w:autoSpaceDE w:val="0"/>
        <w:autoSpaceDN w:val="0"/>
        <w:adjustRightInd w:val="0"/>
        <w:spacing w:line="360" w:lineRule="auto"/>
        <w:jc w:val="both"/>
        <w:rPr>
          <w:rFonts w:cs="Arial"/>
        </w:rPr>
      </w:pPr>
      <w:r w:rsidRPr="0023661F">
        <w:rPr>
          <w:rFonts w:cs="Arial"/>
          <w:b/>
        </w:rPr>
        <w:t>13) Artículo 111 Numeral 6) del TOCAF.</w:t>
      </w:r>
      <w:r w:rsidRPr="0023661F">
        <w:rPr>
          <w:rFonts w:cs="Arial"/>
        </w:rPr>
        <w:t xml:space="preserve"> La Unidad de Auditoría Interna no proporcionó al Tribunal de Cuentas la planificación de auditoría prevista para el Ejercicio 2014.</w:t>
      </w:r>
    </w:p>
    <w:p w:rsidR="0023661F" w:rsidRPr="0023661F" w:rsidRDefault="0023661F" w:rsidP="00610A2E">
      <w:pPr>
        <w:spacing w:line="360" w:lineRule="auto"/>
        <w:jc w:val="both"/>
        <w:rPr>
          <w:rFonts w:cs="Arial"/>
          <w:bCs/>
        </w:rPr>
      </w:pPr>
      <w:r w:rsidRPr="0023661F">
        <w:rPr>
          <w:rFonts w:cs="Arial"/>
          <w:b/>
          <w:bCs/>
        </w:rPr>
        <w:t xml:space="preserve">14) Artículo 128 del TOCAF. </w:t>
      </w:r>
      <w:r w:rsidRPr="0023661F">
        <w:rPr>
          <w:rFonts w:cs="Arial"/>
        </w:rPr>
        <w:t>El estado remitido de cumplimiento de metas y objetivos no se ajusta a lo estipulado en la citada norma</w:t>
      </w:r>
      <w:r w:rsidR="001F3E88">
        <w:rPr>
          <w:rFonts w:cs="Arial"/>
          <w:bCs/>
        </w:rPr>
        <w:t>.</w:t>
      </w:r>
    </w:p>
    <w:p w:rsidR="0023661F" w:rsidRPr="0023661F" w:rsidRDefault="0023661F" w:rsidP="00610A2E">
      <w:pPr>
        <w:spacing w:line="360" w:lineRule="auto"/>
        <w:jc w:val="both"/>
        <w:rPr>
          <w:rFonts w:cs="Arial"/>
          <w:bCs/>
        </w:rPr>
      </w:pPr>
      <w:r w:rsidRPr="0023661F">
        <w:rPr>
          <w:rFonts w:cs="Arial"/>
          <w:b/>
          <w:bCs/>
        </w:rPr>
        <w:t>15) Artículo 9 del Estatuto del funcionario</w:t>
      </w:r>
      <w:r w:rsidR="00610A2E">
        <w:rPr>
          <w:rFonts w:cs="Arial"/>
          <w:b/>
          <w:bCs/>
        </w:rPr>
        <w:t>.</w:t>
      </w:r>
      <w:r w:rsidRPr="0023661F">
        <w:rPr>
          <w:rFonts w:cs="Arial"/>
          <w:bCs/>
        </w:rPr>
        <w:t xml:space="preserve"> Se efectuaron designaciones de nuevos funcionarios dentro de los doce meses anteriores a la finalización del período de gobierno.</w:t>
      </w:r>
    </w:p>
    <w:p w:rsidR="0023661F" w:rsidRPr="0023661F" w:rsidRDefault="0023661F" w:rsidP="00610A2E">
      <w:pPr>
        <w:pStyle w:val="NormalWeb"/>
        <w:shd w:val="clear" w:color="auto" w:fill="FFFFFF"/>
        <w:tabs>
          <w:tab w:val="left" w:pos="360"/>
          <w:tab w:val="left" w:pos="900"/>
        </w:tabs>
        <w:spacing w:before="0" w:beforeAutospacing="0" w:after="0" w:afterAutospacing="0" w:line="360" w:lineRule="auto"/>
        <w:jc w:val="both"/>
        <w:rPr>
          <w:rFonts w:ascii="Arial" w:hAnsi="Arial" w:cs="Arial"/>
          <w:color w:val="000000"/>
        </w:rPr>
      </w:pPr>
      <w:r w:rsidRPr="0023661F">
        <w:rPr>
          <w:rFonts w:ascii="Arial" w:hAnsi="Arial" w:cs="Arial"/>
          <w:b/>
          <w:bCs/>
          <w:color w:val="000000"/>
        </w:rPr>
        <w:t>16) Ordenanza N° 62 y Resolución del Tribunal de Cuentas del 16/08/95:</w:t>
      </w:r>
      <w:r w:rsidRPr="0023661F">
        <w:rPr>
          <w:rStyle w:val="apple-converted-space"/>
          <w:rFonts w:ascii="Arial" w:hAnsi="Arial" w:cs="Arial"/>
          <w:b/>
          <w:bCs/>
          <w:color w:val="000000"/>
        </w:rPr>
        <w:t> </w:t>
      </w:r>
      <w:r w:rsidRPr="0023661F">
        <w:rPr>
          <w:rFonts w:ascii="Arial" w:hAnsi="Arial" w:cs="Arial"/>
          <w:color w:val="000000"/>
        </w:rPr>
        <w:t>La Intendencia efectuó modificaciones de recursos sin el di</w:t>
      </w:r>
      <w:r w:rsidR="001F3E88">
        <w:rPr>
          <w:rFonts w:ascii="Arial" w:hAnsi="Arial" w:cs="Arial"/>
          <w:color w:val="000000"/>
        </w:rPr>
        <w:t>ctamen previo de este Tribunal.</w:t>
      </w:r>
    </w:p>
    <w:p w:rsidR="0023661F" w:rsidRPr="0023661F" w:rsidRDefault="0023661F" w:rsidP="00610A2E">
      <w:pPr>
        <w:autoSpaceDE w:val="0"/>
        <w:autoSpaceDN w:val="0"/>
        <w:adjustRightInd w:val="0"/>
        <w:spacing w:line="360" w:lineRule="auto"/>
        <w:jc w:val="both"/>
        <w:rPr>
          <w:rFonts w:cs="Arial"/>
          <w:color w:val="000000"/>
        </w:rPr>
      </w:pPr>
      <w:r w:rsidRPr="0023661F">
        <w:rPr>
          <w:rFonts w:cs="Arial"/>
          <w:b/>
          <w:color w:val="000000"/>
        </w:rPr>
        <w:t>17) Convenio N° 30 de la OIT.</w:t>
      </w:r>
      <w:r w:rsidRPr="0023661F">
        <w:rPr>
          <w:rFonts w:cs="Arial"/>
          <w:color w:val="000000"/>
        </w:rPr>
        <w:t xml:space="preserve"> Las liquidaciones de horas extras realizadas durante el Ejercicio 2014 superaron, en algunos casos, los topes establecidos en el mencionado Convenio.</w:t>
      </w:r>
    </w:p>
    <w:p w:rsidR="0023661F" w:rsidRPr="0023661F" w:rsidRDefault="0023661F" w:rsidP="00610A2E">
      <w:pPr>
        <w:autoSpaceDE w:val="0"/>
        <w:autoSpaceDN w:val="0"/>
        <w:adjustRightInd w:val="0"/>
        <w:spacing w:line="360" w:lineRule="auto"/>
        <w:jc w:val="both"/>
        <w:rPr>
          <w:rFonts w:cs="Arial"/>
          <w:color w:val="000000"/>
        </w:rPr>
      </w:pPr>
      <w:r w:rsidRPr="0023661F">
        <w:rPr>
          <w:rFonts w:cs="Arial"/>
          <w:b/>
          <w:color w:val="000000"/>
        </w:rPr>
        <w:t>18) Resolución del Tribunal de Cuentas de fecha 28/01/2004.</w:t>
      </w:r>
      <w:r w:rsidRPr="0023661F">
        <w:rPr>
          <w:rFonts w:cs="Arial"/>
          <w:color w:val="000000"/>
        </w:rPr>
        <w:t xml:space="preserve"> El documento presentado no se ajusta totalmente en su formulación a lo dispuesto por la citada Resolución.</w:t>
      </w:r>
    </w:p>
    <w:p w:rsidR="0023661F" w:rsidRPr="0023661F" w:rsidRDefault="0023661F" w:rsidP="00610A2E">
      <w:pPr>
        <w:autoSpaceDE w:val="0"/>
        <w:autoSpaceDN w:val="0"/>
        <w:adjustRightInd w:val="0"/>
        <w:spacing w:line="360" w:lineRule="auto"/>
        <w:jc w:val="both"/>
        <w:rPr>
          <w:rFonts w:cs="Arial"/>
          <w:color w:val="000000"/>
        </w:rPr>
      </w:pPr>
      <w:r w:rsidRPr="0023661F">
        <w:rPr>
          <w:rFonts w:cs="Arial"/>
          <w:b/>
          <w:color w:val="000000"/>
        </w:rPr>
        <w:t>19) Artículo 47 del Presupuesto Quinquenal 2011-2015:</w:t>
      </w:r>
      <w:r w:rsidRPr="0023661F">
        <w:rPr>
          <w:rFonts w:cs="Arial"/>
          <w:color w:val="000000"/>
        </w:rPr>
        <w:t xml:space="preserve"> El impuesto de Contribución Inmobiliaria Urbana no se liquidó en todos los casos sobre el valor real fijado por la Dirección General de Catastro.</w:t>
      </w:r>
    </w:p>
    <w:p w:rsidR="0023661F" w:rsidRPr="0023661F" w:rsidRDefault="0023661F" w:rsidP="0023661F">
      <w:pPr>
        <w:spacing w:after="120" w:line="360" w:lineRule="auto"/>
        <w:jc w:val="right"/>
        <w:rPr>
          <w:rFonts w:cs="Arial"/>
          <w:lang w:val="es-MX"/>
        </w:rPr>
      </w:pPr>
      <w:r w:rsidRPr="0023661F">
        <w:rPr>
          <w:rFonts w:cs="Arial"/>
          <w:lang w:val="es-MX"/>
        </w:rPr>
        <w:t>Montevideo, 15 de diciembre de 2015</w:t>
      </w:r>
    </w:p>
    <w:p w:rsidR="0023661F" w:rsidRPr="0023661F" w:rsidRDefault="0023661F" w:rsidP="0023661F">
      <w:pPr>
        <w:spacing w:after="120" w:line="360" w:lineRule="auto"/>
        <w:jc w:val="right"/>
        <w:rPr>
          <w:rFonts w:cs="Arial"/>
          <w:lang w:val="es-MX"/>
        </w:rPr>
      </w:pPr>
    </w:p>
    <w:p w:rsidR="0023661F" w:rsidRDefault="0023661F" w:rsidP="0023661F">
      <w:pPr>
        <w:pStyle w:val="Ttulo1"/>
        <w:jc w:val="center"/>
        <w:rPr>
          <w:rFonts w:cs="Arial"/>
          <w:szCs w:val="24"/>
        </w:rPr>
      </w:pPr>
      <w:bookmarkStart w:id="5" w:name="_Toc343587254"/>
      <w:bookmarkStart w:id="6" w:name="_Toc407008308"/>
      <w:r w:rsidRPr="0023661F">
        <w:rPr>
          <w:rFonts w:cs="Arial"/>
          <w:szCs w:val="24"/>
        </w:rPr>
        <w:t>INFORME A LA ADMINISTRACIÓN</w:t>
      </w:r>
      <w:bookmarkEnd w:id="5"/>
      <w:bookmarkEnd w:id="6"/>
    </w:p>
    <w:p w:rsidR="00610A2E" w:rsidRPr="00610A2E" w:rsidRDefault="00610A2E" w:rsidP="00610A2E"/>
    <w:p w:rsidR="0023661F" w:rsidRPr="0023661F" w:rsidRDefault="0023661F" w:rsidP="0023661F">
      <w:pPr>
        <w:pStyle w:val="Textoindependiente"/>
        <w:rPr>
          <w:rFonts w:cs="Arial"/>
        </w:rPr>
      </w:pPr>
      <w:r w:rsidRPr="0023661F">
        <w:rPr>
          <w:rFonts w:cs="Arial"/>
        </w:rPr>
        <w:t>El Tribunal de Cuentas ha examinado la Rendición de Cuentas y Balance de Ejecución Presupuestal correspondiente al Ejercicio 2014 y ha emitido su correspondiente Dictamen.</w:t>
      </w:r>
    </w:p>
    <w:p w:rsidR="0023661F" w:rsidRDefault="0023661F" w:rsidP="00610A2E">
      <w:pPr>
        <w:spacing w:line="360" w:lineRule="auto"/>
        <w:jc w:val="both"/>
        <w:rPr>
          <w:rFonts w:cs="Arial"/>
        </w:rPr>
      </w:pPr>
      <w:r w:rsidRPr="0023661F">
        <w:rPr>
          <w:rFonts w:cs="Arial"/>
        </w:rPr>
        <w:t>Como consecuencia del examen practicado, se incluyen en este Informe comentarios que se ha entendido conveniente exponer, relacionados con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610A2E" w:rsidRPr="0023661F" w:rsidRDefault="00610A2E" w:rsidP="00610A2E">
      <w:pPr>
        <w:spacing w:line="360" w:lineRule="auto"/>
        <w:jc w:val="both"/>
        <w:rPr>
          <w:rFonts w:cs="Arial"/>
        </w:rPr>
      </w:pPr>
    </w:p>
    <w:p w:rsidR="0023661F" w:rsidRDefault="0023661F" w:rsidP="0023661F">
      <w:pPr>
        <w:pStyle w:val="Ttulo2"/>
        <w:numPr>
          <w:ilvl w:val="0"/>
          <w:numId w:val="5"/>
        </w:numPr>
        <w:spacing w:after="0"/>
        <w:ind w:left="0" w:firstLine="0"/>
        <w:jc w:val="both"/>
        <w:rPr>
          <w:rFonts w:cs="Arial"/>
          <w:szCs w:val="24"/>
        </w:rPr>
      </w:pPr>
      <w:bookmarkStart w:id="7" w:name="_Toc117592863"/>
      <w:bookmarkStart w:id="8" w:name="_Toc147733818"/>
      <w:bookmarkStart w:id="9" w:name="_Toc279417833"/>
      <w:bookmarkStart w:id="10" w:name="_Toc176148647"/>
      <w:bookmarkStart w:id="11" w:name="_Toc176148746"/>
      <w:bookmarkStart w:id="12" w:name="_Toc176149130"/>
      <w:bookmarkStart w:id="13" w:name="_Toc177548563"/>
      <w:bookmarkStart w:id="14" w:name="_Toc343587255"/>
      <w:bookmarkStart w:id="15" w:name="_Toc407008309"/>
      <w:r w:rsidRPr="0023661F">
        <w:rPr>
          <w:rFonts w:cs="Arial"/>
          <w:szCs w:val="24"/>
          <w:lang w:val="es-ES_tradnl"/>
        </w:rPr>
        <w:t xml:space="preserve">Hechos que fundamentan un Dictamen con </w:t>
      </w:r>
      <w:bookmarkEnd w:id="7"/>
      <w:bookmarkEnd w:id="8"/>
      <w:r w:rsidRPr="0023661F">
        <w:rPr>
          <w:rFonts w:cs="Arial"/>
          <w:szCs w:val="24"/>
          <w:lang w:val="es-ES_tradnl"/>
        </w:rPr>
        <w:t>abstención</w:t>
      </w:r>
      <w:bookmarkEnd w:id="9"/>
      <w:r w:rsidRPr="0023661F">
        <w:rPr>
          <w:rFonts w:cs="Arial"/>
          <w:szCs w:val="24"/>
          <w:lang w:val="es-ES_tradnl"/>
        </w:rPr>
        <w:t xml:space="preserve"> </w:t>
      </w:r>
      <w:bookmarkStart w:id="16" w:name="_Toc279417834"/>
      <w:bookmarkEnd w:id="10"/>
      <w:bookmarkEnd w:id="11"/>
      <w:bookmarkEnd w:id="12"/>
      <w:bookmarkEnd w:id="13"/>
      <w:r w:rsidRPr="0023661F">
        <w:rPr>
          <w:rFonts w:cs="Arial"/>
          <w:szCs w:val="24"/>
        </w:rPr>
        <w:t>respecto a los  Estados de Resultado del Ejercicio, de Resultado Acumulado al 31 de diciembre de 201</w:t>
      </w:r>
      <w:bookmarkStart w:id="17" w:name="_Toc343587256"/>
      <w:bookmarkEnd w:id="14"/>
      <w:bookmarkEnd w:id="15"/>
      <w:bookmarkEnd w:id="16"/>
      <w:r w:rsidRPr="0023661F">
        <w:rPr>
          <w:rFonts w:cs="Arial"/>
          <w:szCs w:val="24"/>
        </w:rPr>
        <w:t>4 y de Ejecución en relación a los Créditos Presupuestales</w:t>
      </w:r>
    </w:p>
    <w:p w:rsidR="00610A2E" w:rsidRPr="00610A2E" w:rsidRDefault="00610A2E" w:rsidP="00610A2E">
      <w:pPr>
        <w:pStyle w:val="Textoindependiente"/>
      </w:pPr>
    </w:p>
    <w:p w:rsidR="0023661F" w:rsidRPr="0023661F" w:rsidRDefault="0023661F" w:rsidP="0023661F">
      <w:pPr>
        <w:pStyle w:val="Ttulo2"/>
        <w:numPr>
          <w:ilvl w:val="1"/>
          <w:numId w:val="6"/>
        </w:numPr>
        <w:spacing w:after="0"/>
        <w:ind w:left="567" w:hanging="567"/>
        <w:jc w:val="both"/>
        <w:rPr>
          <w:rFonts w:cs="Arial"/>
          <w:szCs w:val="24"/>
        </w:rPr>
      </w:pPr>
      <w:bookmarkStart w:id="18" w:name="_Toc407008310"/>
      <w:r w:rsidRPr="0023661F">
        <w:rPr>
          <w:rFonts w:cs="Arial"/>
          <w:szCs w:val="24"/>
        </w:rPr>
        <w:t xml:space="preserve">Resultado Acumulado al </w:t>
      </w:r>
      <w:bookmarkEnd w:id="17"/>
      <w:r w:rsidRPr="0023661F">
        <w:rPr>
          <w:rFonts w:cs="Arial"/>
          <w:szCs w:val="24"/>
        </w:rPr>
        <w:t>31 de diciembre de 2014</w:t>
      </w:r>
      <w:bookmarkEnd w:id="18"/>
    </w:p>
    <w:p w:rsidR="0023661F" w:rsidRPr="0023661F" w:rsidRDefault="0023661F" w:rsidP="0023661F">
      <w:pPr>
        <w:pStyle w:val="Textoindependiente"/>
        <w:rPr>
          <w:rFonts w:cs="Arial"/>
        </w:rPr>
      </w:pPr>
      <w:r w:rsidRPr="0023661F">
        <w:rPr>
          <w:rFonts w:cs="Arial"/>
        </w:rPr>
        <w:t xml:space="preserve">El resultado acumulado al 31 de diciembre de 2014 presentado por la Comuna, no resulta de la suma del resultado acumulado al 31 de diciembre de 2013 con el resultado del Ejercicio 2014 determinado en el Estado Nº 2 del documento. Se han incluido como activos, ingresos de origen nacional devengados en el ejercicio, que afectan el cálculo del resultado acumulado por un importe de $257:333.416. Asimismo, se incluye una partida de </w:t>
      </w:r>
      <w:proofErr w:type="spellStart"/>
      <w:r w:rsidRPr="0023661F">
        <w:rPr>
          <w:rFonts w:cs="Arial"/>
        </w:rPr>
        <w:t>extrapresupuesto</w:t>
      </w:r>
      <w:proofErr w:type="spellEnd"/>
      <w:r w:rsidRPr="0023661F">
        <w:rPr>
          <w:rFonts w:cs="Arial"/>
        </w:rPr>
        <w:t xml:space="preserve"> a cobrar (activo) por $ 2:959.603 y otra de </w:t>
      </w:r>
      <w:proofErr w:type="spellStart"/>
      <w:r w:rsidRPr="0023661F">
        <w:rPr>
          <w:rFonts w:cs="Arial"/>
        </w:rPr>
        <w:t>extrapresupuesto</w:t>
      </w:r>
      <w:proofErr w:type="spellEnd"/>
      <w:r w:rsidRPr="0023661F">
        <w:rPr>
          <w:rFonts w:cs="Arial"/>
        </w:rPr>
        <w:t xml:space="preserve"> a pagar (pasivo) por $93:057.402. La Rendición de Cuentas no incluye el estado que presenta la evolución de los fondos </w:t>
      </w:r>
      <w:proofErr w:type="spellStart"/>
      <w:r w:rsidRPr="0023661F">
        <w:rPr>
          <w:rFonts w:cs="Arial"/>
        </w:rPr>
        <w:t>extrapresupuestales</w:t>
      </w:r>
      <w:proofErr w:type="spellEnd"/>
      <w:r w:rsidRPr="0023661F">
        <w:rPr>
          <w:rFonts w:cs="Arial"/>
        </w:rPr>
        <w:t xml:space="preserve"> con identificación de aquellas partidas que, no afectando resultados, representan importes a percibir o a los que deberá darse el destino correspondiente y que son tomados en cuenta por la Intendencia a efectos de la determinación del resultado acumulado al cierre del ejercicio, por lo que no es posible verificar la exactitud de estos importes.</w:t>
      </w:r>
    </w:p>
    <w:p w:rsidR="0023661F" w:rsidRPr="0023661F" w:rsidRDefault="0023661F" w:rsidP="0023661F">
      <w:pPr>
        <w:pStyle w:val="Ttulo2"/>
        <w:spacing w:after="0"/>
        <w:jc w:val="both"/>
        <w:rPr>
          <w:rFonts w:cs="Arial"/>
          <w:szCs w:val="24"/>
        </w:rPr>
      </w:pPr>
      <w:bookmarkStart w:id="19" w:name="_Toc343587257"/>
      <w:bookmarkStart w:id="20" w:name="_Toc407008311"/>
      <w:bookmarkStart w:id="21" w:name="_Toc177813428"/>
      <w:bookmarkStart w:id="22" w:name="_Toc178493987"/>
      <w:bookmarkStart w:id="23" w:name="_Toc238899475"/>
      <w:r w:rsidRPr="0023661F">
        <w:rPr>
          <w:rFonts w:cs="Arial"/>
          <w:szCs w:val="24"/>
        </w:rPr>
        <w:t>1.2) Resultado del Ejercicio</w:t>
      </w:r>
      <w:bookmarkEnd w:id="19"/>
      <w:bookmarkEnd w:id="20"/>
    </w:p>
    <w:bookmarkEnd w:id="21"/>
    <w:bookmarkEnd w:id="22"/>
    <w:bookmarkEnd w:id="23"/>
    <w:p w:rsidR="0023661F" w:rsidRPr="0023661F" w:rsidRDefault="0023661F" w:rsidP="00611BD7">
      <w:pPr>
        <w:spacing w:line="360" w:lineRule="auto"/>
        <w:jc w:val="both"/>
        <w:rPr>
          <w:rFonts w:eastAsia="Calibri" w:cs="Arial"/>
          <w:lang w:val="es-UY" w:eastAsia="en-US"/>
        </w:rPr>
      </w:pPr>
      <w:r w:rsidRPr="0023661F">
        <w:rPr>
          <w:rFonts w:eastAsia="Calibri" w:cs="Arial"/>
          <w:lang w:val="es-UY" w:eastAsia="en-US"/>
        </w:rPr>
        <w:t xml:space="preserve">La Intendencia presenta solamente un detalle de los conceptos e importes de partidas </w:t>
      </w:r>
      <w:proofErr w:type="spellStart"/>
      <w:r w:rsidRPr="0023661F">
        <w:rPr>
          <w:rFonts w:eastAsia="Calibri" w:cs="Arial"/>
          <w:lang w:val="es-UY" w:eastAsia="en-US"/>
        </w:rPr>
        <w:t>extrapresupuestales</w:t>
      </w:r>
      <w:proofErr w:type="spellEnd"/>
      <w:r w:rsidRPr="0023661F">
        <w:rPr>
          <w:rFonts w:eastAsia="Calibri" w:cs="Arial"/>
          <w:lang w:val="es-UY" w:eastAsia="en-US"/>
        </w:rPr>
        <w:t xml:space="preserve"> que afectan el resultado del Ejercicio y no el correspondiente estado, por lo que no es posible verificar la exactitud del importe correspondiente a “Resultados </w:t>
      </w:r>
      <w:proofErr w:type="spellStart"/>
      <w:r w:rsidRPr="0023661F">
        <w:rPr>
          <w:rFonts w:eastAsia="Calibri" w:cs="Arial"/>
          <w:lang w:val="es-UY" w:eastAsia="en-US"/>
        </w:rPr>
        <w:t>Extrapresupuestales</w:t>
      </w:r>
      <w:proofErr w:type="spellEnd"/>
      <w:r w:rsidRPr="0023661F">
        <w:rPr>
          <w:rFonts w:eastAsia="Calibri" w:cs="Arial"/>
          <w:lang w:val="es-UY" w:eastAsia="en-US"/>
        </w:rPr>
        <w:t>” incluido en el resultado del Ejercicio.</w:t>
      </w:r>
    </w:p>
    <w:p w:rsidR="0023661F" w:rsidRPr="0023661F" w:rsidRDefault="0023661F" w:rsidP="0023661F">
      <w:pPr>
        <w:pStyle w:val="Ttulo2"/>
        <w:spacing w:after="0"/>
        <w:jc w:val="both"/>
        <w:rPr>
          <w:rFonts w:cs="Arial"/>
          <w:szCs w:val="24"/>
        </w:rPr>
      </w:pPr>
      <w:bookmarkStart w:id="24" w:name="_Toc343587258"/>
      <w:bookmarkStart w:id="25" w:name="_Toc407008312"/>
      <w:r w:rsidRPr="0023661F">
        <w:rPr>
          <w:rFonts w:cs="Arial"/>
          <w:szCs w:val="24"/>
        </w:rPr>
        <w:t>1.3 Obligaciones presupuestales impagas</w:t>
      </w:r>
      <w:bookmarkEnd w:id="24"/>
      <w:bookmarkEnd w:id="25"/>
    </w:p>
    <w:p w:rsidR="0023661F" w:rsidRPr="0023661F" w:rsidRDefault="0023661F" w:rsidP="00611BD7">
      <w:pPr>
        <w:spacing w:line="360" w:lineRule="auto"/>
        <w:jc w:val="both"/>
        <w:rPr>
          <w:rFonts w:cs="Arial"/>
        </w:rPr>
      </w:pPr>
      <w:bookmarkStart w:id="26" w:name="_Toc407008313"/>
      <w:bookmarkStart w:id="27" w:name="_Toc177548569"/>
      <w:r w:rsidRPr="0023661F">
        <w:rPr>
          <w:rFonts w:cs="Arial"/>
        </w:rPr>
        <w:t>En el Estado de obligaciones presupuestales impagas, se efectuaron ajustes a los saldos correspondientes a Ejercicios anteriores, por un importe de $26:113.854, sin exponer el detalle de los mismos. Asimismo, el importe de las obligaciones presupuestales impagas generadas en el Ejercicio ($284:879.800), que coincide con el monto incluido en el Estado de Ejecución del Presupuestal con relación a los créditos, se ajustó disminuyéndolo en $82:427.546. No se expone el detalle de los mencionados ajustes ni el respectivo fundamento.</w:t>
      </w:r>
    </w:p>
    <w:p w:rsidR="0023661F" w:rsidRPr="0023661F" w:rsidRDefault="0023661F" w:rsidP="0023661F">
      <w:pPr>
        <w:pStyle w:val="Ttulo2"/>
        <w:spacing w:after="0"/>
        <w:jc w:val="both"/>
        <w:rPr>
          <w:rFonts w:cs="Arial"/>
          <w:b w:val="0"/>
          <w:szCs w:val="24"/>
        </w:rPr>
      </w:pPr>
      <w:r w:rsidRPr="0023661F">
        <w:rPr>
          <w:rFonts w:cs="Arial"/>
          <w:b w:val="0"/>
          <w:szCs w:val="24"/>
        </w:rPr>
        <w:t>El monto total de las obligaciones presupuestales impagas según el estado correspondiente asciende a $ 310:492.975, mientras que el total según el detalle respectivo es de $ 230:017.566.</w:t>
      </w:r>
    </w:p>
    <w:p w:rsidR="0023661F" w:rsidRPr="0023661F" w:rsidRDefault="0023661F" w:rsidP="0023661F">
      <w:pPr>
        <w:pStyle w:val="Ttulo2"/>
        <w:spacing w:after="0"/>
        <w:rPr>
          <w:rFonts w:cs="Arial"/>
          <w:szCs w:val="24"/>
        </w:rPr>
      </w:pPr>
      <w:r w:rsidRPr="0023661F">
        <w:rPr>
          <w:rFonts w:cs="Arial"/>
          <w:szCs w:val="24"/>
        </w:rPr>
        <w:t>1.4 Órdenes de pago en Tesorería</w:t>
      </w:r>
      <w:bookmarkEnd w:id="26"/>
    </w:p>
    <w:p w:rsidR="0023661F" w:rsidRPr="0023661F" w:rsidRDefault="0023661F" w:rsidP="00611BD7">
      <w:pPr>
        <w:spacing w:line="360" w:lineRule="auto"/>
        <w:jc w:val="both"/>
        <w:rPr>
          <w:rFonts w:cs="Arial"/>
        </w:rPr>
      </w:pPr>
      <w:r w:rsidRPr="0023661F">
        <w:rPr>
          <w:rFonts w:cs="Arial"/>
        </w:rPr>
        <w:t>De acuerdo con lo establecido a fojas 195 de la Rendición de Cuentas presentada, el monto de las órdenes de pago en Tesorería al 31/12/14 asciende a $ 51:971.673, e integra el saldo de las obligaciones presupuestales impagas a esa misma fecha. No se ha proporcionado por la Intendencia un detalle de las órdenes de pago en Tesorería al 31/12/14.</w:t>
      </w:r>
    </w:p>
    <w:p w:rsidR="0023661F" w:rsidRPr="0023661F" w:rsidRDefault="0023661F" w:rsidP="0023661F">
      <w:pPr>
        <w:spacing w:line="360" w:lineRule="auto"/>
        <w:rPr>
          <w:rFonts w:cs="Arial"/>
          <w:b/>
        </w:rPr>
      </w:pPr>
      <w:r w:rsidRPr="0023661F">
        <w:rPr>
          <w:rFonts w:cs="Arial"/>
          <w:b/>
        </w:rPr>
        <w:t>1.5 Estado de</w:t>
      </w:r>
      <w:r w:rsidR="001F3E88">
        <w:rPr>
          <w:rFonts w:cs="Arial"/>
          <w:b/>
        </w:rPr>
        <w:t xml:space="preserve"> movimiento de fondos y valores</w:t>
      </w:r>
    </w:p>
    <w:p w:rsidR="0023661F" w:rsidRPr="0023661F" w:rsidRDefault="0023661F" w:rsidP="00611BD7">
      <w:pPr>
        <w:spacing w:line="360" w:lineRule="auto"/>
        <w:jc w:val="both"/>
        <w:rPr>
          <w:rFonts w:cs="Arial"/>
        </w:rPr>
      </w:pPr>
      <w:r w:rsidRPr="0023661F">
        <w:rPr>
          <w:rFonts w:cs="Arial"/>
        </w:rPr>
        <w:t xml:space="preserve">Se incluyen egresos por “Ajuste OPI” y “Pagos Ejercicios Anteriores </w:t>
      </w:r>
      <w:proofErr w:type="spellStart"/>
      <w:r w:rsidRPr="0023661F">
        <w:rPr>
          <w:rFonts w:cs="Arial"/>
        </w:rPr>
        <w:t>Extrapresupuestales</w:t>
      </w:r>
      <w:proofErr w:type="spellEnd"/>
      <w:r w:rsidRPr="0023661F">
        <w:rPr>
          <w:rFonts w:cs="Arial"/>
        </w:rPr>
        <w:t xml:space="preserve">” por $ 108:541.400 y $ 12:469.666, respectivamente, no habiéndose proporcionado detalle de los mismos. El monto del concepto  “Pagos Ejercicios Anteriores” ($ 162:495.838), no coincide con el importe expuesto en el estado de evolución de obligaciones presupuestales impagas ($137:068.907). La composición del saldo de caja y bancos no discrimina las cuentas </w:t>
      </w:r>
      <w:proofErr w:type="spellStart"/>
      <w:r w:rsidRPr="0023661F">
        <w:rPr>
          <w:rFonts w:cs="Arial"/>
        </w:rPr>
        <w:t>extrapresupuestales</w:t>
      </w:r>
      <w:proofErr w:type="spellEnd"/>
      <w:r w:rsidRPr="0023661F">
        <w:rPr>
          <w:rFonts w:cs="Arial"/>
        </w:rPr>
        <w:t xml:space="preserve"> en el BROU.</w:t>
      </w:r>
    </w:p>
    <w:p w:rsidR="0023661F" w:rsidRPr="0023661F" w:rsidRDefault="0023661F" w:rsidP="00611BD7">
      <w:pPr>
        <w:spacing w:line="360" w:lineRule="auto"/>
        <w:jc w:val="both"/>
        <w:rPr>
          <w:rFonts w:cs="Arial"/>
        </w:rPr>
      </w:pPr>
      <w:r w:rsidRPr="0023661F">
        <w:rPr>
          <w:rFonts w:cs="Arial"/>
          <w:b/>
        </w:rPr>
        <w:t>1.6) Diferencias entre el estado de</w:t>
      </w:r>
      <w:r w:rsidRPr="0023661F">
        <w:rPr>
          <w:rFonts w:cs="Arial"/>
        </w:rPr>
        <w:t xml:space="preserve"> </w:t>
      </w:r>
      <w:r w:rsidRPr="0023661F">
        <w:rPr>
          <w:rFonts w:cs="Arial"/>
          <w:b/>
        </w:rPr>
        <w:t>movimiento de fondos y valores y los registros contables</w:t>
      </w:r>
    </w:p>
    <w:p w:rsidR="0023661F" w:rsidRPr="0023661F" w:rsidRDefault="0023661F" w:rsidP="00611BD7">
      <w:pPr>
        <w:spacing w:line="360" w:lineRule="auto"/>
        <w:jc w:val="both"/>
        <w:rPr>
          <w:rFonts w:cs="Arial"/>
        </w:rPr>
      </w:pPr>
      <w:r w:rsidRPr="0023661F">
        <w:rPr>
          <w:rFonts w:cs="Arial"/>
        </w:rPr>
        <w:t>El total de disponibilidades según el referido estado asciende a $ 159:798.826, mientras que según el sistema contable (SEFI) es de $ 114:440.668. Asimismo, el SEFI incluye depósitos a plazo fijo por un total de $ 11:798.865. No obstante, de la información proporcionada por el BROU, no se comprueba la existencia de estos depósitos al 31/12/14.</w:t>
      </w:r>
    </w:p>
    <w:p w:rsidR="0023661F" w:rsidRPr="0023661F" w:rsidRDefault="0023661F" w:rsidP="0023661F">
      <w:pPr>
        <w:spacing w:line="360" w:lineRule="auto"/>
        <w:rPr>
          <w:rFonts w:cs="Arial"/>
          <w:b/>
        </w:rPr>
      </w:pPr>
      <w:r w:rsidRPr="0023661F">
        <w:rPr>
          <w:rFonts w:cs="Arial"/>
          <w:b/>
        </w:rPr>
        <w:t>1.7)  Conciliaciones bancarias</w:t>
      </w:r>
    </w:p>
    <w:p w:rsidR="0023661F" w:rsidRPr="0023661F" w:rsidRDefault="0023661F" w:rsidP="00611BD7">
      <w:pPr>
        <w:spacing w:line="360" w:lineRule="auto"/>
        <w:jc w:val="both"/>
        <w:rPr>
          <w:rFonts w:cs="Arial"/>
        </w:rPr>
      </w:pPr>
      <w:r w:rsidRPr="0023661F">
        <w:rPr>
          <w:rFonts w:cs="Arial"/>
        </w:rPr>
        <w:t>Los ajustes resultantes de las conciliaciones bancarias, si bien fueron considerados a los efectos de determinar el saldo de caja y bancos al 31/12/14, no fueron contabilizados.</w:t>
      </w:r>
    </w:p>
    <w:p w:rsidR="0023661F" w:rsidRPr="0023661F" w:rsidRDefault="0023661F" w:rsidP="0023661F">
      <w:pPr>
        <w:spacing w:line="360" w:lineRule="auto"/>
        <w:rPr>
          <w:rFonts w:cs="Arial"/>
        </w:rPr>
      </w:pPr>
    </w:p>
    <w:p w:rsidR="0023661F" w:rsidRPr="0023661F" w:rsidRDefault="0023661F" w:rsidP="0023661F">
      <w:pPr>
        <w:pStyle w:val="Ttulo2"/>
        <w:numPr>
          <w:ilvl w:val="0"/>
          <w:numId w:val="5"/>
        </w:numPr>
        <w:ind w:left="0" w:firstLine="0"/>
        <w:jc w:val="both"/>
        <w:rPr>
          <w:rFonts w:cs="Arial"/>
          <w:szCs w:val="24"/>
        </w:rPr>
      </w:pPr>
      <w:bookmarkStart w:id="28" w:name="_Toc343587259"/>
      <w:bookmarkStart w:id="29" w:name="_Toc407008314"/>
      <w:r w:rsidRPr="0023661F">
        <w:rPr>
          <w:rFonts w:cs="Arial"/>
          <w:szCs w:val="24"/>
        </w:rPr>
        <w:t>Constataciones</w:t>
      </w:r>
      <w:bookmarkStart w:id="30" w:name="_Toc343587260"/>
      <w:bookmarkStart w:id="31" w:name="_Toc147733823"/>
      <w:bookmarkStart w:id="32" w:name="_Toc176148651"/>
      <w:bookmarkStart w:id="33" w:name="_Toc176148750"/>
      <w:bookmarkStart w:id="34" w:name="_Toc176149134"/>
      <w:bookmarkStart w:id="35" w:name="_Toc177548570"/>
      <w:bookmarkEnd w:id="28"/>
      <w:bookmarkEnd w:id="29"/>
      <w:bookmarkEnd w:id="27"/>
    </w:p>
    <w:p w:rsidR="0023661F" w:rsidRPr="0023661F" w:rsidRDefault="0023661F" w:rsidP="0023661F">
      <w:pPr>
        <w:pStyle w:val="Textoindependiente"/>
        <w:rPr>
          <w:rFonts w:cs="Arial"/>
          <w:b/>
        </w:rPr>
      </w:pPr>
      <w:r w:rsidRPr="0023661F">
        <w:rPr>
          <w:rFonts w:cs="Arial"/>
          <w:b/>
        </w:rPr>
        <w:t>Juicios contra la Intendencia</w:t>
      </w:r>
      <w:bookmarkEnd w:id="30"/>
      <w:bookmarkEnd w:id="31"/>
      <w:bookmarkEnd w:id="32"/>
      <w:bookmarkEnd w:id="33"/>
      <w:bookmarkEnd w:id="34"/>
      <w:bookmarkEnd w:id="35"/>
    </w:p>
    <w:p w:rsidR="0023661F" w:rsidRPr="0023661F" w:rsidRDefault="0023661F" w:rsidP="00611BD7">
      <w:pPr>
        <w:spacing w:line="360" w:lineRule="auto"/>
        <w:jc w:val="both"/>
        <w:rPr>
          <w:rFonts w:cs="Arial"/>
        </w:rPr>
      </w:pPr>
      <w:r w:rsidRPr="0023661F">
        <w:rPr>
          <w:rFonts w:cs="Arial"/>
        </w:rPr>
        <w:t>De acuerdo con la información presentada en la Rendición de Cuentas, al 31/12/14 existían juicios contra la Intendencia por montos reclamados del orden de $ 35:591.820, U$S 1:674.400 y otros aún determinados, lo que podría incidir en el déficit acumulado por las pos</w:t>
      </w:r>
      <w:r w:rsidR="00611BD7">
        <w:rPr>
          <w:rFonts w:cs="Arial"/>
        </w:rPr>
        <w:t>ibles erogaciones que resulten.</w:t>
      </w:r>
    </w:p>
    <w:p w:rsidR="0023661F" w:rsidRPr="0023661F" w:rsidRDefault="0023661F" w:rsidP="0023661F">
      <w:pPr>
        <w:pStyle w:val="Textoindependiente"/>
        <w:rPr>
          <w:rFonts w:cs="Arial"/>
        </w:rPr>
      </w:pPr>
      <w:bookmarkStart w:id="36" w:name="_Toc343587264"/>
    </w:p>
    <w:p w:rsidR="0023661F" w:rsidRPr="0023661F" w:rsidRDefault="0023661F" w:rsidP="0023661F">
      <w:pPr>
        <w:pStyle w:val="Textoindependiente"/>
        <w:rPr>
          <w:rFonts w:cs="Arial"/>
        </w:rPr>
      </w:pPr>
    </w:p>
    <w:p w:rsidR="0023661F" w:rsidRPr="0023661F" w:rsidRDefault="0023661F" w:rsidP="0023661F">
      <w:pPr>
        <w:pStyle w:val="Ttulo2"/>
        <w:jc w:val="both"/>
        <w:rPr>
          <w:rFonts w:cs="Arial"/>
          <w:szCs w:val="24"/>
        </w:rPr>
      </w:pPr>
      <w:bookmarkStart w:id="37" w:name="_Toc407008315"/>
      <w:r w:rsidRPr="0023661F">
        <w:rPr>
          <w:rFonts w:cs="Arial"/>
          <w:szCs w:val="24"/>
        </w:rPr>
        <w:t>3)   Incumplimiento de normas</w:t>
      </w:r>
      <w:bookmarkEnd w:id="36"/>
      <w:bookmarkEnd w:id="37"/>
    </w:p>
    <w:p w:rsidR="0023661F" w:rsidRPr="0023661F" w:rsidRDefault="0023661F" w:rsidP="0023661F">
      <w:pPr>
        <w:pStyle w:val="Ttulo2"/>
        <w:jc w:val="both"/>
        <w:rPr>
          <w:rFonts w:cs="Arial"/>
          <w:szCs w:val="24"/>
        </w:rPr>
      </w:pPr>
      <w:bookmarkStart w:id="38" w:name="_Toc177977158"/>
      <w:bookmarkStart w:id="39" w:name="_Toc179282312"/>
      <w:bookmarkStart w:id="40" w:name="_Toc310948780"/>
      <w:bookmarkStart w:id="41" w:name="_Toc343587265"/>
      <w:bookmarkStart w:id="42" w:name="_Toc407008316"/>
      <w:bookmarkStart w:id="43" w:name="_Toc177548579"/>
      <w:r w:rsidRPr="0023661F">
        <w:rPr>
          <w:rFonts w:cs="Arial"/>
          <w:szCs w:val="24"/>
        </w:rPr>
        <w:t xml:space="preserve">3.1) </w:t>
      </w:r>
      <w:bookmarkEnd w:id="38"/>
      <w:bookmarkEnd w:id="39"/>
      <w:bookmarkEnd w:id="40"/>
      <w:bookmarkEnd w:id="41"/>
      <w:bookmarkEnd w:id="42"/>
      <w:r w:rsidRPr="0023661F">
        <w:rPr>
          <w:rFonts w:cs="Arial"/>
          <w:szCs w:val="24"/>
        </w:rPr>
        <w:t>Artículo 86 de la Constitución de la República</w:t>
      </w:r>
    </w:p>
    <w:p w:rsidR="0023661F" w:rsidRPr="0023661F" w:rsidRDefault="0023661F" w:rsidP="0023661F">
      <w:pPr>
        <w:pStyle w:val="Textoindependiente"/>
        <w:rPr>
          <w:rFonts w:cs="Arial"/>
        </w:rPr>
      </w:pPr>
      <w:r w:rsidRPr="0023661F">
        <w:rPr>
          <w:rFonts w:cs="Arial"/>
          <w:b/>
        </w:rPr>
        <w:t>3.1.1)</w:t>
      </w:r>
      <w:r w:rsidRPr="0023661F">
        <w:rPr>
          <w:rFonts w:cs="Arial"/>
        </w:rPr>
        <w:t xml:space="preserve"> </w:t>
      </w:r>
      <w:r w:rsidRPr="0023661F">
        <w:rPr>
          <w:rFonts w:cs="Arial"/>
          <w:b/>
        </w:rPr>
        <w:t>Presupuesto Quinquenal 2011-2015</w:t>
      </w:r>
    </w:p>
    <w:p w:rsidR="0023661F" w:rsidRPr="0023661F" w:rsidRDefault="0023661F" w:rsidP="00611BD7">
      <w:pPr>
        <w:pStyle w:val="Textoindependiente"/>
        <w:rPr>
          <w:rFonts w:cs="Arial"/>
        </w:rPr>
      </w:pPr>
      <w:r w:rsidRPr="0023661F">
        <w:rPr>
          <w:rFonts w:cs="Arial"/>
        </w:rPr>
        <w:t>Se constató que durante el Ejercicio 2014, la cantidad de funcionarios presupuestados y contratados de la Intendencia, en algunos escalafones y grados, excedió a la prevista presupuestalmente. Por lo expuesto, la Intendencia no se ajustó a la estructura orgánica administrativa que fuera aprobada por la Junta Departamental e incumplió además con el Artículo 86 de l</w:t>
      </w:r>
      <w:r w:rsidR="00611BD7">
        <w:rPr>
          <w:rFonts w:cs="Arial"/>
        </w:rPr>
        <w:t>a Constitución de la República.</w:t>
      </w:r>
    </w:p>
    <w:p w:rsidR="0023661F" w:rsidRPr="0023661F" w:rsidRDefault="0023661F" w:rsidP="0023661F">
      <w:pPr>
        <w:pStyle w:val="Ttulo2"/>
        <w:rPr>
          <w:rFonts w:cs="Arial"/>
          <w:szCs w:val="24"/>
        </w:rPr>
      </w:pPr>
      <w:bookmarkStart w:id="44" w:name="_Toc407008317"/>
      <w:r w:rsidRPr="0023661F">
        <w:rPr>
          <w:rFonts w:cs="Arial"/>
          <w:szCs w:val="24"/>
        </w:rPr>
        <w:t>3.1.2) Resolución 222/11 de la Junta Departamental</w:t>
      </w:r>
      <w:bookmarkEnd w:id="44"/>
    </w:p>
    <w:p w:rsidR="0023661F" w:rsidRDefault="0023661F" w:rsidP="00611BD7">
      <w:pPr>
        <w:pStyle w:val="Textoindependiente"/>
        <w:rPr>
          <w:rFonts w:cs="Arial"/>
        </w:rPr>
      </w:pPr>
      <w:r w:rsidRPr="0023661F">
        <w:rPr>
          <w:rFonts w:cs="Arial"/>
        </w:rPr>
        <w:t xml:space="preserve">Se estableció a partir del 1/1/11, una compensación de gastos de representación equivalente al 50% de lo fijado para el Intendente para los Directores Generales, que no fue prevista presupuestalmente en la normativa y en los programas respectivos con disposición expresa de su destino. Asimismo, se abonaron a los funcionarios que trabajan en las Termas de </w:t>
      </w:r>
      <w:proofErr w:type="spellStart"/>
      <w:r w:rsidRPr="0023661F">
        <w:rPr>
          <w:rFonts w:cs="Arial"/>
        </w:rPr>
        <w:t>Guaviyú</w:t>
      </w:r>
      <w:proofErr w:type="spellEnd"/>
      <w:r w:rsidRPr="0023661F">
        <w:rPr>
          <w:rFonts w:cs="Arial"/>
        </w:rPr>
        <w:t xml:space="preserve"> una compensación mediante una partida por capacitación y transporte. Ninguna de las compensaciones abonadas fue establecida en la instancia presupuestal.</w:t>
      </w:r>
    </w:p>
    <w:p w:rsidR="00611BD7" w:rsidRPr="0023661F" w:rsidRDefault="00611BD7" w:rsidP="00611BD7">
      <w:pPr>
        <w:pStyle w:val="Textoindependiente"/>
        <w:rPr>
          <w:rFonts w:cs="Arial"/>
        </w:rPr>
      </w:pPr>
    </w:p>
    <w:p w:rsidR="0023661F" w:rsidRPr="0023661F" w:rsidRDefault="0023661F" w:rsidP="0023661F">
      <w:pPr>
        <w:pStyle w:val="Ttulo2"/>
        <w:jc w:val="both"/>
        <w:rPr>
          <w:rFonts w:cs="Arial"/>
          <w:szCs w:val="24"/>
        </w:rPr>
      </w:pPr>
      <w:bookmarkStart w:id="45" w:name="_Toc343587268"/>
      <w:bookmarkStart w:id="46" w:name="_Toc407008319"/>
      <w:bookmarkStart w:id="47" w:name="_Toc177548580"/>
      <w:bookmarkEnd w:id="43"/>
      <w:r w:rsidRPr="0023661F">
        <w:rPr>
          <w:rFonts w:cs="Arial"/>
          <w:szCs w:val="24"/>
        </w:rPr>
        <w:t>3.2) Resolución del Tribunal de Cuentas de fecha 28 de enero de 2004</w:t>
      </w:r>
      <w:bookmarkEnd w:id="45"/>
      <w:bookmarkEnd w:id="46"/>
    </w:p>
    <w:p w:rsidR="0023661F" w:rsidRPr="0023661F" w:rsidRDefault="0023661F" w:rsidP="00611BD7">
      <w:pPr>
        <w:pStyle w:val="Textoindependiente"/>
        <w:rPr>
          <w:rFonts w:cs="Arial"/>
        </w:rPr>
      </w:pPr>
      <w:r w:rsidRPr="0023661F">
        <w:rPr>
          <w:rFonts w:cs="Arial"/>
        </w:rPr>
        <w:t>La Intendencia no cumplió con dicha Resoluc</w:t>
      </w:r>
      <w:r w:rsidR="00611BD7">
        <w:rPr>
          <w:rFonts w:cs="Arial"/>
        </w:rPr>
        <w:t>ión por los siguientes motivos:</w:t>
      </w:r>
    </w:p>
    <w:p w:rsidR="0023661F" w:rsidRPr="0023661F" w:rsidRDefault="0023661F" w:rsidP="00611BD7">
      <w:pPr>
        <w:autoSpaceDE w:val="0"/>
        <w:autoSpaceDN w:val="0"/>
        <w:adjustRightInd w:val="0"/>
        <w:spacing w:line="360" w:lineRule="auto"/>
        <w:jc w:val="both"/>
        <w:rPr>
          <w:rFonts w:cs="Arial"/>
          <w:color w:val="000000"/>
        </w:rPr>
      </w:pPr>
      <w:r w:rsidRPr="0023661F">
        <w:rPr>
          <w:rFonts w:cs="Arial"/>
          <w:color w:val="000000"/>
        </w:rPr>
        <w:t xml:space="preserve">-  No se presentó el estado de Fondos </w:t>
      </w:r>
      <w:proofErr w:type="spellStart"/>
      <w:r w:rsidRPr="0023661F">
        <w:rPr>
          <w:rFonts w:cs="Arial"/>
          <w:color w:val="000000"/>
        </w:rPr>
        <w:t>Extrapresupuestales</w:t>
      </w:r>
      <w:proofErr w:type="spellEnd"/>
      <w:r w:rsidRPr="0023661F">
        <w:rPr>
          <w:rFonts w:cs="Arial"/>
          <w:color w:val="000000"/>
        </w:rPr>
        <w:t>.</w:t>
      </w:r>
    </w:p>
    <w:p w:rsidR="0023661F" w:rsidRPr="0023661F" w:rsidRDefault="0023661F" w:rsidP="00611BD7">
      <w:pPr>
        <w:spacing w:line="360" w:lineRule="auto"/>
        <w:jc w:val="both"/>
        <w:rPr>
          <w:rFonts w:cs="Arial"/>
        </w:rPr>
      </w:pPr>
      <w:r w:rsidRPr="0023661F">
        <w:rPr>
          <w:rFonts w:cs="Arial"/>
          <w:color w:val="000000"/>
        </w:rPr>
        <w:t xml:space="preserve">- </w:t>
      </w:r>
      <w:r w:rsidRPr="0023661F">
        <w:rPr>
          <w:rFonts w:cs="Arial"/>
        </w:rPr>
        <w:t>No se efectuaron arqueos al 31/12/14 en los Municipios, Juntas Locales ni Centros Termales.</w:t>
      </w:r>
    </w:p>
    <w:p w:rsidR="0023661F" w:rsidRPr="0023661F" w:rsidRDefault="0023661F" w:rsidP="00611BD7">
      <w:pPr>
        <w:spacing w:line="360" w:lineRule="auto"/>
        <w:jc w:val="both"/>
        <w:rPr>
          <w:rFonts w:cs="Arial"/>
        </w:rPr>
      </w:pPr>
      <w:r w:rsidRPr="0023661F">
        <w:rPr>
          <w:rFonts w:cs="Arial"/>
        </w:rPr>
        <w:t>- La Rendición de Cuentas presentada no incluye las conciliaciones bancarias de las siguientes cuentas: Nos. 17123-7, 1489-0, 1998-5, 2171-4, 39/80-2, 55/49-6, 158/367-4, 158/797-2, 46707-1, 54011-1 y 59938-3.</w:t>
      </w:r>
    </w:p>
    <w:p w:rsidR="0023661F" w:rsidRPr="0023661F" w:rsidRDefault="0023661F" w:rsidP="00611BD7">
      <w:pPr>
        <w:spacing w:line="360" w:lineRule="auto"/>
        <w:jc w:val="both"/>
        <w:rPr>
          <w:rFonts w:cs="Arial"/>
        </w:rPr>
      </w:pPr>
      <w:r w:rsidRPr="0023661F">
        <w:rPr>
          <w:rFonts w:cs="Arial"/>
        </w:rPr>
        <w:t>- No se incluyeron las certificaciones bancarias de las siguientes cuentas: Nos. 1667-6, 1765-7, 1825-9, 1887-3, 1888-1, 1933-6, 2043-4, 2063-7, 2068-8, 2279-7, 32993-3 y 41539-6.</w:t>
      </w:r>
    </w:p>
    <w:p w:rsidR="0023661F" w:rsidRPr="0023661F" w:rsidRDefault="0023661F" w:rsidP="0023661F">
      <w:pPr>
        <w:pStyle w:val="Ttulo2"/>
        <w:jc w:val="both"/>
        <w:rPr>
          <w:rFonts w:cs="Arial"/>
          <w:szCs w:val="24"/>
          <w:lang w:val="es-ES_tradnl"/>
        </w:rPr>
      </w:pPr>
    </w:p>
    <w:p w:rsidR="0023661F" w:rsidRPr="0023661F" w:rsidRDefault="0023661F" w:rsidP="0023661F">
      <w:pPr>
        <w:pStyle w:val="Ttulo2"/>
        <w:jc w:val="both"/>
        <w:rPr>
          <w:rFonts w:cs="Arial"/>
          <w:szCs w:val="24"/>
        </w:rPr>
      </w:pPr>
      <w:bookmarkStart w:id="48" w:name="_Toc178494004"/>
      <w:bookmarkStart w:id="49" w:name="_Toc343587269"/>
      <w:bookmarkStart w:id="50" w:name="_Toc407008320"/>
      <w:bookmarkEnd w:id="47"/>
      <w:r w:rsidRPr="0023661F">
        <w:rPr>
          <w:rFonts w:cs="Arial"/>
          <w:szCs w:val="24"/>
        </w:rPr>
        <w:t>4 Debilidades de Control Interno</w:t>
      </w:r>
      <w:bookmarkEnd w:id="48"/>
      <w:bookmarkEnd w:id="49"/>
      <w:bookmarkEnd w:id="50"/>
    </w:p>
    <w:p w:rsidR="0023661F" w:rsidRPr="0023661F" w:rsidRDefault="0023661F" w:rsidP="0023661F">
      <w:pPr>
        <w:pStyle w:val="Ttulo2"/>
        <w:jc w:val="both"/>
        <w:rPr>
          <w:rFonts w:cs="Arial"/>
          <w:szCs w:val="24"/>
          <w:lang w:val="es-ES_tradnl"/>
        </w:rPr>
      </w:pPr>
      <w:bookmarkStart w:id="51" w:name="_Toc178494005"/>
      <w:bookmarkStart w:id="52" w:name="_Toc343587270"/>
      <w:bookmarkStart w:id="53" w:name="_Toc407008321"/>
      <w:r w:rsidRPr="0023661F">
        <w:rPr>
          <w:rFonts w:cs="Arial"/>
          <w:szCs w:val="24"/>
        </w:rPr>
        <w:t>4.1) Respecto a recursos y manejo de fondos</w:t>
      </w:r>
      <w:bookmarkEnd w:id="51"/>
      <w:bookmarkEnd w:id="52"/>
      <w:bookmarkEnd w:id="53"/>
    </w:p>
    <w:p w:rsidR="0023661F" w:rsidRPr="0023661F" w:rsidRDefault="0023661F" w:rsidP="0023661F">
      <w:pPr>
        <w:numPr>
          <w:ilvl w:val="0"/>
          <w:numId w:val="3"/>
        </w:numPr>
        <w:tabs>
          <w:tab w:val="num" w:pos="397"/>
          <w:tab w:val="num" w:pos="567"/>
        </w:tabs>
        <w:spacing w:line="360" w:lineRule="auto"/>
        <w:ind w:left="397" w:hanging="397"/>
        <w:jc w:val="both"/>
        <w:rPr>
          <w:rFonts w:cs="Arial"/>
        </w:rPr>
      </w:pPr>
      <w:r w:rsidRPr="0023661F">
        <w:rPr>
          <w:rFonts w:cs="Arial"/>
        </w:rPr>
        <w:t>No se mantiene un compendio de todas las normas tributarias aplicadas por la Intendencia.</w:t>
      </w:r>
    </w:p>
    <w:p w:rsidR="0023661F" w:rsidRPr="0023661F" w:rsidRDefault="0023661F" w:rsidP="0023661F">
      <w:pPr>
        <w:numPr>
          <w:ilvl w:val="0"/>
          <w:numId w:val="3"/>
        </w:numPr>
        <w:tabs>
          <w:tab w:val="num" w:pos="397"/>
          <w:tab w:val="num" w:pos="567"/>
        </w:tabs>
        <w:spacing w:line="360" w:lineRule="auto"/>
        <w:ind w:left="397" w:hanging="397"/>
        <w:jc w:val="both"/>
        <w:rPr>
          <w:rFonts w:cs="Arial"/>
        </w:rPr>
      </w:pPr>
      <w:r w:rsidRPr="0023661F">
        <w:rPr>
          <w:rFonts w:cs="Arial"/>
        </w:rPr>
        <w:t>Al momento de practicar los arqueos de fondos de la “Caja Sueldos” en Tesorería, se carece de información del saldo contable en el sistema correspondiente a las partidas pendientes de entrega, a efectos de cotejar que los montos recontados por este concepto sean coincidentes con aquéllos.</w:t>
      </w:r>
    </w:p>
    <w:p w:rsidR="0023661F" w:rsidRPr="0023661F" w:rsidRDefault="0023661F" w:rsidP="0023661F">
      <w:pPr>
        <w:numPr>
          <w:ilvl w:val="0"/>
          <w:numId w:val="3"/>
        </w:numPr>
        <w:tabs>
          <w:tab w:val="num" w:pos="397"/>
          <w:tab w:val="num" w:pos="567"/>
        </w:tabs>
        <w:spacing w:line="360" w:lineRule="auto"/>
        <w:ind w:left="397" w:hanging="397"/>
        <w:jc w:val="both"/>
        <w:rPr>
          <w:rFonts w:cs="Arial"/>
        </w:rPr>
      </w:pPr>
      <w:r w:rsidRPr="0023661F">
        <w:rPr>
          <w:rFonts w:cs="Arial"/>
        </w:rPr>
        <w:t>En los arqueos de valores que se adjuntan en el documento, no consta el recuento de los depósitos en garantía que se encuentran en la Tesorería de la Intendencia.</w:t>
      </w:r>
    </w:p>
    <w:p w:rsidR="0023661F" w:rsidRPr="0023661F" w:rsidRDefault="0023661F" w:rsidP="0023661F">
      <w:pPr>
        <w:numPr>
          <w:ilvl w:val="0"/>
          <w:numId w:val="3"/>
        </w:numPr>
        <w:tabs>
          <w:tab w:val="num" w:pos="397"/>
          <w:tab w:val="num" w:pos="567"/>
        </w:tabs>
        <w:spacing w:line="360" w:lineRule="auto"/>
        <w:ind w:left="397" w:hanging="397"/>
        <w:jc w:val="both"/>
        <w:rPr>
          <w:rFonts w:cs="Arial"/>
        </w:rPr>
      </w:pPr>
      <w:r w:rsidRPr="0023661F">
        <w:rPr>
          <w:rFonts w:cs="Arial"/>
        </w:rPr>
        <w:t>En el año 2014, no se realizaron arqueos sorpresivos en la mayoría de los Municipios, Juntas Locales y Centros Termales.</w:t>
      </w:r>
    </w:p>
    <w:p w:rsidR="0023661F" w:rsidRPr="0023661F" w:rsidRDefault="0023661F" w:rsidP="0023661F">
      <w:pPr>
        <w:numPr>
          <w:ilvl w:val="0"/>
          <w:numId w:val="3"/>
        </w:numPr>
        <w:tabs>
          <w:tab w:val="num" w:pos="397"/>
          <w:tab w:val="num" w:pos="567"/>
        </w:tabs>
        <w:spacing w:line="360" w:lineRule="auto"/>
        <w:ind w:left="397" w:hanging="397"/>
        <w:jc w:val="both"/>
        <w:rPr>
          <w:rFonts w:cs="Arial"/>
        </w:rPr>
      </w:pPr>
      <w:r w:rsidRPr="0023661F">
        <w:rPr>
          <w:rFonts w:cs="Arial"/>
        </w:rPr>
        <w:t>Se constata la existencia de partidas conciliatorias de varios años de antigüedad.</w:t>
      </w:r>
    </w:p>
    <w:p w:rsidR="0023661F" w:rsidRPr="0023661F" w:rsidRDefault="0023661F" w:rsidP="0023661F">
      <w:pPr>
        <w:spacing w:line="360" w:lineRule="auto"/>
        <w:outlineLvl w:val="1"/>
        <w:rPr>
          <w:rFonts w:cs="Arial"/>
          <w:b/>
        </w:rPr>
      </w:pPr>
      <w:bookmarkStart w:id="54" w:name="_Toc343587271"/>
      <w:bookmarkStart w:id="55" w:name="_Toc402449352"/>
    </w:p>
    <w:p w:rsidR="0023661F" w:rsidRPr="0023661F" w:rsidRDefault="0023661F" w:rsidP="0023661F">
      <w:pPr>
        <w:spacing w:line="360" w:lineRule="auto"/>
        <w:outlineLvl w:val="1"/>
        <w:rPr>
          <w:rFonts w:cs="Arial"/>
          <w:b/>
        </w:rPr>
      </w:pPr>
      <w:r w:rsidRPr="0023661F">
        <w:rPr>
          <w:rFonts w:cs="Arial"/>
          <w:b/>
        </w:rPr>
        <w:t>4.2) Respecto al área de compras</w:t>
      </w:r>
      <w:bookmarkEnd w:id="54"/>
      <w:bookmarkEnd w:id="55"/>
    </w:p>
    <w:p w:rsidR="0023661F" w:rsidRPr="0023661F" w:rsidRDefault="0023661F" w:rsidP="000531E1">
      <w:pPr>
        <w:numPr>
          <w:ilvl w:val="0"/>
          <w:numId w:val="4"/>
        </w:numPr>
        <w:tabs>
          <w:tab w:val="num" w:pos="397"/>
        </w:tabs>
        <w:spacing w:line="360" w:lineRule="auto"/>
        <w:ind w:left="397" w:hanging="397"/>
        <w:jc w:val="both"/>
        <w:rPr>
          <w:rFonts w:cs="Arial"/>
        </w:rPr>
      </w:pPr>
      <w:r w:rsidRPr="0023661F">
        <w:rPr>
          <w:rFonts w:cs="Arial"/>
        </w:rPr>
        <w:t>No existe un manual que abarque todo el procedimiento de compras.</w:t>
      </w:r>
    </w:p>
    <w:p w:rsidR="0023661F" w:rsidRPr="0023661F" w:rsidRDefault="0023661F" w:rsidP="000531E1">
      <w:pPr>
        <w:numPr>
          <w:ilvl w:val="0"/>
          <w:numId w:val="4"/>
        </w:numPr>
        <w:tabs>
          <w:tab w:val="num" w:pos="397"/>
        </w:tabs>
        <w:spacing w:line="360" w:lineRule="auto"/>
        <w:ind w:left="397" w:hanging="397"/>
        <w:jc w:val="both"/>
        <w:rPr>
          <w:rFonts w:cs="Arial"/>
        </w:rPr>
      </w:pPr>
      <w:r w:rsidRPr="0023661F">
        <w:rPr>
          <w:rFonts w:cs="Arial"/>
        </w:rPr>
        <w:t>No se realizan conciliaciones de saldos con los proveedores (públicos y privados).</w:t>
      </w:r>
    </w:p>
    <w:p w:rsidR="0023661F" w:rsidRDefault="0023661F" w:rsidP="000531E1">
      <w:pPr>
        <w:numPr>
          <w:ilvl w:val="0"/>
          <w:numId w:val="4"/>
        </w:numPr>
        <w:tabs>
          <w:tab w:val="num" w:pos="397"/>
        </w:tabs>
        <w:spacing w:line="360" w:lineRule="auto"/>
        <w:ind w:left="397" w:hanging="397"/>
        <w:jc w:val="both"/>
        <w:rPr>
          <w:rFonts w:cs="Arial"/>
        </w:rPr>
      </w:pPr>
      <w:r w:rsidRPr="0023661F">
        <w:rPr>
          <w:rFonts w:cs="Arial"/>
        </w:rPr>
        <w:t>No hay una planificación anual para la compra de Artículos.</w:t>
      </w:r>
    </w:p>
    <w:p w:rsidR="000531E1" w:rsidRPr="0023661F" w:rsidRDefault="000531E1" w:rsidP="000531E1">
      <w:pPr>
        <w:spacing w:line="360" w:lineRule="auto"/>
        <w:ind w:left="397"/>
        <w:jc w:val="both"/>
        <w:rPr>
          <w:rFonts w:cs="Arial"/>
        </w:rPr>
      </w:pPr>
    </w:p>
    <w:p w:rsidR="0023661F" w:rsidRPr="0023661F" w:rsidRDefault="0023661F" w:rsidP="0023661F">
      <w:pPr>
        <w:spacing w:line="360" w:lineRule="auto"/>
        <w:outlineLvl w:val="1"/>
        <w:rPr>
          <w:rFonts w:cs="Arial"/>
          <w:b/>
        </w:rPr>
      </w:pPr>
      <w:bookmarkStart w:id="56" w:name="_Toc343587272"/>
      <w:bookmarkStart w:id="57" w:name="_Toc402449353"/>
      <w:r w:rsidRPr="0023661F">
        <w:rPr>
          <w:rFonts w:cs="Arial"/>
          <w:b/>
        </w:rPr>
        <w:t>4.3) Respecto a retribuciones personales</w:t>
      </w:r>
      <w:bookmarkEnd w:id="56"/>
      <w:bookmarkEnd w:id="57"/>
    </w:p>
    <w:p w:rsidR="0023661F" w:rsidRPr="0023661F" w:rsidRDefault="0023661F" w:rsidP="0023661F">
      <w:pPr>
        <w:numPr>
          <w:ilvl w:val="0"/>
          <w:numId w:val="4"/>
        </w:numPr>
        <w:tabs>
          <w:tab w:val="num" w:pos="397"/>
        </w:tabs>
        <w:spacing w:line="360" w:lineRule="auto"/>
        <w:ind w:left="397" w:hanging="397"/>
        <w:jc w:val="both"/>
        <w:rPr>
          <w:rFonts w:cs="Arial"/>
        </w:rPr>
      </w:pPr>
      <w:r w:rsidRPr="0023661F">
        <w:rPr>
          <w:rFonts w:cs="Arial"/>
        </w:rPr>
        <w:t>No se cuenta con un compendio normativo actualizado que incluya las normas presupuestales de la totalidad de las partidas abonadas a los funcionarios.</w:t>
      </w:r>
    </w:p>
    <w:p w:rsidR="0023661F" w:rsidRPr="0023661F" w:rsidRDefault="0023661F" w:rsidP="0023661F">
      <w:pPr>
        <w:pStyle w:val="Textoindependiente"/>
        <w:ind w:left="397"/>
        <w:rPr>
          <w:rFonts w:cs="Arial"/>
        </w:rPr>
      </w:pPr>
      <w:r w:rsidRPr="0023661F">
        <w:rPr>
          <w:rFonts w:cs="Arial"/>
        </w:rPr>
        <w:t>Se efectúan pagos a cuenta de los sueldos por motivos justificados, que si bien no constituyen adelantos de sueldos, carecen de una norma que los regule.</w:t>
      </w:r>
    </w:p>
    <w:p w:rsidR="0023661F" w:rsidRPr="0023661F" w:rsidRDefault="0023661F" w:rsidP="0023661F">
      <w:pPr>
        <w:pStyle w:val="Textoindependiente"/>
        <w:ind w:left="397"/>
        <w:rPr>
          <w:rFonts w:cs="Arial"/>
        </w:rPr>
      </w:pPr>
    </w:p>
    <w:p w:rsidR="0023661F" w:rsidRPr="0023661F" w:rsidRDefault="0023661F" w:rsidP="0023661F">
      <w:pPr>
        <w:pStyle w:val="Ttulo2"/>
        <w:numPr>
          <w:ilvl w:val="0"/>
          <w:numId w:val="7"/>
        </w:numPr>
        <w:spacing w:after="0"/>
        <w:ind w:left="142" w:hanging="142"/>
        <w:jc w:val="both"/>
        <w:rPr>
          <w:rFonts w:cs="Arial"/>
          <w:b w:val="0"/>
          <w:color w:val="000000"/>
          <w:szCs w:val="24"/>
        </w:rPr>
      </w:pPr>
      <w:bookmarkStart w:id="58" w:name="_Toc310948796"/>
      <w:bookmarkStart w:id="59" w:name="_Toc343587273"/>
      <w:bookmarkStart w:id="60" w:name="_Toc407008324"/>
      <w:r w:rsidRPr="0023661F">
        <w:rPr>
          <w:rFonts w:cs="Arial"/>
          <w:szCs w:val="24"/>
        </w:rPr>
        <w:t>Recomendaciones</w:t>
      </w:r>
      <w:bookmarkEnd w:id="58"/>
      <w:bookmarkEnd w:id="59"/>
      <w:bookmarkEnd w:id="60"/>
    </w:p>
    <w:p w:rsidR="0023661F" w:rsidRPr="0023661F" w:rsidRDefault="0023661F" w:rsidP="0023661F">
      <w:pPr>
        <w:pStyle w:val="Ttulo2"/>
        <w:spacing w:after="0"/>
        <w:jc w:val="both"/>
        <w:rPr>
          <w:rFonts w:cs="Arial"/>
          <w:szCs w:val="24"/>
          <w:lang w:val="es-ES_tradnl"/>
        </w:rPr>
      </w:pPr>
      <w:bookmarkStart w:id="61" w:name="_Toc343587277"/>
      <w:bookmarkStart w:id="62" w:name="_Toc407008325"/>
      <w:r w:rsidRPr="0023661F">
        <w:rPr>
          <w:rFonts w:cs="Arial"/>
          <w:szCs w:val="24"/>
          <w:lang w:val="es-ES_tradnl"/>
        </w:rPr>
        <w:t>5.1) Recomendaciones del ejercicio anterior no cumplidas</w:t>
      </w:r>
      <w:bookmarkEnd w:id="61"/>
      <w:bookmarkEnd w:id="62"/>
    </w:p>
    <w:p w:rsidR="0023661F" w:rsidRPr="0023661F" w:rsidRDefault="0023661F" w:rsidP="0023661F">
      <w:pPr>
        <w:pStyle w:val="Ttulo2"/>
        <w:spacing w:after="0"/>
        <w:jc w:val="both"/>
        <w:rPr>
          <w:rFonts w:cs="Arial"/>
          <w:szCs w:val="24"/>
        </w:rPr>
      </w:pPr>
      <w:bookmarkStart w:id="63" w:name="_Toc343587278"/>
      <w:bookmarkStart w:id="64" w:name="_Toc407008326"/>
      <w:r w:rsidRPr="0023661F">
        <w:rPr>
          <w:rFonts w:cs="Arial"/>
          <w:szCs w:val="24"/>
        </w:rPr>
        <w:t>5.1.1) Estados de Resultado del Ejercicio y de Resultado Acumulado</w:t>
      </w:r>
      <w:bookmarkEnd w:id="63"/>
      <w:bookmarkEnd w:id="64"/>
    </w:p>
    <w:p w:rsidR="0023661F" w:rsidRDefault="0023661F" w:rsidP="0023661F">
      <w:pPr>
        <w:pStyle w:val="Textoindependiente"/>
        <w:rPr>
          <w:rFonts w:cs="Arial"/>
        </w:rPr>
      </w:pPr>
      <w:r w:rsidRPr="0023661F">
        <w:rPr>
          <w:rFonts w:cs="Arial"/>
        </w:rPr>
        <w:t>La Intendencia deberá ajustar su forma de determinación de acuerdo con lo expuesto en los numerales 1.1) y 1.2), e incluir los conceptos que establece el Instructivo para la presentación de la Rendición de Cuentas aprobado por este Tribunal.</w:t>
      </w:r>
    </w:p>
    <w:p w:rsidR="004B477B" w:rsidRPr="0023661F" w:rsidRDefault="004B477B" w:rsidP="0023661F">
      <w:pPr>
        <w:pStyle w:val="Textoindependiente"/>
        <w:rPr>
          <w:rFonts w:cs="Arial"/>
        </w:rPr>
      </w:pPr>
    </w:p>
    <w:p w:rsidR="0023661F" w:rsidRPr="0023661F" w:rsidRDefault="0023661F" w:rsidP="0023661F">
      <w:pPr>
        <w:pStyle w:val="Ttulo2"/>
        <w:spacing w:after="0"/>
        <w:jc w:val="both"/>
        <w:rPr>
          <w:rFonts w:cs="Arial"/>
          <w:szCs w:val="24"/>
        </w:rPr>
      </w:pPr>
      <w:bookmarkStart w:id="65" w:name="_Toc343587279"/>
      <w:bookmarkStart w:id="66" w:name="_Toc407008327"/>
      <w:r w:rsidRPr="0023661F">
        <w:rPr>
          <w:rFonts w:cs="Arial"/>
          <w:szCs w:val="24"/>
        </w:rPr>
        <w:t xml:space="preserve">5.1.2)  </w:t>
      </w:r>
      <w:bookmarkEnd w:id="65"/>
      <w:bookmarkEnd w:id="66"/>
      <w:r w:rsidRPr="0023661F">
        <w:rPr>
          <w:rFonts w:cs="Arial"/>
          <w:szCs w:val="24"/>
        </w:rPr>
        <w:t>Instructivo del Tribunal de Cuentas de 28/01/04</w:t>
      </w:r>
    </w:p>
    <w:p w:rsidR="0023661F" w:rsidRPr="0023661F" w:rsidRDefault="0023661F" w:rsidP="0023661F">
      <w:pPr>
        <w:pStyle w:val="Textoindependiente"/>
        <w:rPr>
          <w:rFonts w:cs="Arial"/>
        </w:rPr>
      </w:pPr>
      <w:r w:rsidRPr="0023661F">
        <w:rPr>
          <w:rFonts w:cs="Arial"/>
          <w:b/>
        </w:rPr>
        <w:t>5.1.2.1)</w:t>
      </w:r>
      <w:r w:rsidRPr="0023661F">
        <w:rPr>
          <w:rFonts w:cs="Arial"/>
        </w:rPr>
        <w:t xml:space="preserve"> </w:t>
      </w:r>
      <w:r w:rsidRPr="0023661F">
        <w:rPr>
          <w:rFonts w:cs="Arial"/>
          <w:b/>
        </w:rPr>
        <w:t xml:space="preserve">Fondos </w:t>
      </w:r>
      <w:proofErr w:type="spellStart"/>
      <w:r w:rsidRPr="0023661F">
        <w:rPr>
          <w:rFonts w:cs="Arial"/>
          <w:b/>
        </w:rPr>
        <w:t>extrapresupuestales</w:t>
      </w:r>
      <w:proofErr w:type="spellEnd"/>
    </w:p>
    <w:p w:rsidR="0023661F" w:rsidRPr="0023661F" w:rsidRDefault="0023661F" w:rsidP="0023661F">
      <w:pPr>
        <w:pStyle w:val="Textoindependiente"/>
        <w:rPr>
          <w:rFonts w:cs="Arial"/>
        </w:rPr>
      </w:pPr>
      <w:r w:rsidRPr="0023661F">
        <w:rPr>
          <w:rFonts w:cs="Arial"/>
        </w:rPr>
        <w:t xml:space="preserve">El estado correspondiente a los fondos </w:t>
      </w:r>
      <w:proofErr w:type="spellStart"/>
      <w:r w:rsidRPr="0023661F">
        <w:rPr>
          <w:rFonts w:cs="Arial"/>
        </w:rPr>
        <w:t>extrapresupuestales</w:t>
      </w:r>
      <w:proofErr w:type="spellEnd"/>
      <w:r w:rsidRPr="0023661F">
        <w:rPr>
          <w:rFonts w:cs="Arial"/>
        </w:rPr>
        <w:t xml:space="preserve"> debe ser presentado en la forma establecida en el Instructivo de este Tribunal aprobado en Sesión de fecha 28 de enero de 2004, de forma que estén claramente identificadas las partidas que permanecen con saldos al cierre del ejercicio y las que, por el contrario, son afectadas al resultado del ejercicio.</w:t>
      </w:r>
    </w:p>
    <w:p w:rsidR="0023661F" w:rsidRPr="0023661F" w:rsidRDefault="0023661F" w:rsidP="0023661F">
      <w:pPr>
        <w:pStyle w:val="Ttulo2"/>
        <w:tabs>
          <w:tab w:val="num" w:pos="2880"/>
        </w:tabs>
        <w:spacing w:after="0"/>
        <w:jc w:val="both"/>
        <w:rPr>
          <w:rFonts w:cs="Arial"/>
          <w:szCs w:val="24"/>
        </w:rPr>
      </w:pPr>
      <w:r w:rsidRPr="0023661F">
        <w:rPr>
          <w:rFonts w:cs="Arial"/>
          <w:szCs w:val="24"/>
        </w:rPr>
        <w:t>5.1.2.2) Caducidad de obligaciones presupuestales impagas</w:t>
      </w:r>
    </w:p>
    <w:p w:rsidR="0023661F" w:rsidRDefault="0023661F" w:rsidP="00925C0F">
      <w:pPr>
        <w:pStyle w:val="Textoindependiente"/>
        <w:rPr>
          <w:rFonts w:cs="Arial"/>
        </w:rPr>
      </w:pPr>
      <w:r w:rsidRPr="0023661F">
        <w:rPr>
          <w:rFonts w:cs="Arial"/>
        </w:rPr>
        <w:t>Si deben darse de baja determinadas obligaciones, en razón de que no corresponde abonarlas, deberá indicarse el detalle de las mismas y el motivo por el que se dan de baja, de acuerdo con lo previsto en numeral 3.8.1 del Instructivo de este Tribunal de 28 de enero de 2004.</w:t>
      </w:r>
    </w:p>
    <w:p w:rsidR="0023661F" w:rsidRPr="0023661F" w:rsidRDefault="0023661F" w:rsidP="0023661F">
      <w:pPr>
        <w:pStyle w:val="Ttulo2"/>
        <w:tabs>
          <w:tab w:val="num" w:pos="2880"/>
        </w:tabs>
        <w:spacing w:after="0"/>
        <w:jc w:val="both"/>
        <w:rPr>
          <w:rFonts w:cs="Arial"/>
          <w:szCs w:val="24"/>
        </w:rPr>
      </w:pPr>
      <w:bookmarkStart w:id="67" w:name="_Toc343587281"/>
      <w:bookmarkStart w:id="68" w:name="_Toc407008328"/>
      <w:r w:rsidRPr="0023661F">
        <w:rPr>
          <w:rFonts w:cs="Arial"/>
          <w:szCs w:val="24"/>
        </w:rPr>
        <w:t>5.1.3) Arqueos de fondos</w:t>
      </w:r>
      <w:bookmarkEnd w:id="67"/>
      <w:bookmarkEnd w:id="68"/>
    </w:p>
    <w:p w:rsidR="0023661F" w:rsidRPr="0023661F" w:rsidRDefault="0023661F" w:rsidP="0023661F">
      <w:pPr>
        <w:pStyle w:val="Textoindependiente"/>
        <w:rPr>
          <w:rFonts w:cs="Arial"/>
        </w:rPr>
      </w:pPr>
      <w:r w:rsidRPr="0023661F">
        <w:rPr>
          <w:rFonts w:cs="Arial"/>
        </w:rPr>
        <w:t>A efectos de tener un adecuado contralor sobre el manejo de fondos en las diferentes oficinas de la Intendencia, deberán practicarse arqueos sorpresivos en la Tesorería de la Intendencia, los Municipios, Jun</w:t>
      </w:r>
      <w:r w:rsidR="00925C0F">
        <w:rPr>
          <w:rFonts w:cs="Arial"/>
        </w:rPr>
        <w:t>tas Locales y Centros Termales.</w:t>
      </w:r>
    </w:p>
    <w:p w:rsidR="0023661F" w:rsidRPr="0023661F" w:rsidRDefault="0023661F" w:rsidP="0023661F">
      <w:pPr>
        <w:pStyle w:val="Textoindependiente"/>
        <w:rPr>
          <w:rFonts w:cs="Arial"/>
        </w:rPr>
      </w:pPr>
    </w:p>
    <w:p w:rsidR="0023661F" w:rsidRPr="0023661F" w:rsidRDefault="0023661F" w:rsidP="0023661F">
      <w:pPr>
        <w:pStyle w:val="Ttulo2"/>
        <w:spacing w:after="0"/>
        <w:jc w:val="both"/>
        <w:rPr>
          <w:rFonts w:cs="Arial"/>
          <w:szCs w:val="24"/>
        </w:rPr>
      </w:pPr>
      <w:bookmarkStart w:id="69" w:name="_Toc273697919"/>
      <w:bookmarkStart w:id="70" w:name="_Toc343587282"/>
      <w:bookmarkStart w:id="71" w:name="_Toc407008329"/>
      <w:r w:rsidRPr="0023661F">
        <w:rPr>
          <w:rFonts w:cs="Arial"/>
          <w:szCs w:val="24"/>
        </w:rPr>
        <w:t xml:space="preserve">5.1.4 </w:t>
      </w:r>
      <w:bookmarkEnd w:id="69"/>
      <w:bookmarkEnd w:id="70"/>
      <w:bookmarkEnd w:id="71"/>
      <w:r w:rsidRPr="0023661F">
        <w:rPr>
          <w:rFonts w:cs="Arial"/>
          <w:szCs w:val="24"/>
        </w:rPr>
        <w:t>Convenio 30 de la OIT</w:t>
      </w:r>
    </w:p>
    <w:p w:rsidR="0023661F" w:rsidRPr="0023661F" w:rsidRDefault="0023661F" w:rsidP="0023661F">
      <w:pPr>
        <w:pStyle w:val="Textoindependiente"/>
        <w:rPr>
          <w:rFonts w:cs="Arial"/>
        </w:rPr>
      </w:pPr>
      <w:r w:rsidRPr="0023661F">
        <w:rPr>
          <w:rFonts w:cs="Arial"/>
        </w:rPr>
        <w:t>La Intendencia deberá considerar lo establecido en el Convenio Nº 30 de la OIT en cuanto a cantidad de horas extras realizadas.</w:t>
      </w:r>
    </w:p>
    <w:p w:rsidR="0023661F" w:rsidRPr="0023661F" w:rsidRDefault="0023661F" w:rsidP="0023661F">
      <w:pPr>
        <w:pStyle w:val="Textoindependiente"/>
        <w:rPr>
          <w:rFonts w:cs="Arial"/>
        </w:rPr>
      </w:pPr>
    </w:p>
    <w:p w:rsidR="0023661F" w:rsidRPr="0023661F" w:rsidRDefault="0023661F" w:rsidP="0023661F">
      <w:pPr>
        <w:pStyle w:val="Ttulo2"/>
        <w:tabs>
          <w:tab w:val="num" w:pos="2880"/>
        </w:tabs>
        <w:spacing w:after="0"/>
        <w:jc w:val="both"/>
        <w:rPr>
          <w:rFonts w:cs="Arial"/>
          <w:szCs w:val="24"/>
        </w:rPr>
      </w:pPr>
      <w:bookmarkStart w:id="72" w:name="_Toc343587284"/>
      <w:bookmarkStart w:id="73" w:name="_Toc407008330"/>
      <w:r w:rsidRPr="0023661F">
        <w:rPr>
          <w:rFonts w:cs="Arial"/>
          <w:szCs w:val="24"/>
        </w:rPr>
        <w:t xml:space="preserve">5.1.5 </w:t>
      </w:r>
      <w:bookmarkEnd w:id="72"/>
      <w:bookmarkEnd w:id="73"/>
      <w:r w:rsidRPr="0023661F">
        <w:rPr>
          <w:rFonts w:cs="Arial"/>
          <w:szCs w:val="24"/>
        </w:rPr>
        <w:t>Artículo 15 del TOCAF</w:t>
      </w:r>
    </w:p>
    <w:p w:rsidR="0023661F" w:rsidRPr="0023661F" w:rsidRDefault="0023661F" w:rsidP="0023661F">
      <w:pPr>
        <w:pStyle w:val="Textoindependiente"/>
        <w:rPr>
          <w:rFonts w:cs="Arial"/>
        </w:rPr>
      </w:pPr>
      <w:r w:rsidRPr="0023661F">
        <w:rPr>
          <w:rFonts w:cs="Arial"/>
        </w:rPr>
        <w:t>A efectos de dar cumplimiento a lo dispuesto por el Artículo 15 del TOCAF, no deberán comprometerse gastos sin que exista crédito presupuestal disponible en los objetos de gastos respectivos.</w:t>
      </w:r>
    </w:p>
    <w:p w:rsidR="0023661F" w:rsidRPr="0023661F" w:rsidRDefault="0023661F" w:rsidP="0023661F">
      <w:pPr>
        <w:pStyle w:val="Textoindependiente"/>
        <w:rPr>
          <w:rFonts w:cs="Arial"/>
        </w:rPr>
      </w:pPr>
    </w:p>
    <w:p w:rsidR="0023661F" w:rsidRPr="0023661F" w:rsidRDefault="0023661F" w:rsidP="0023661F">
      <w:pPr>
        <w:pStyle w:val="Ttulo2"/>
        <w:spacing w:after="0"/>
        <w:jc w:val="both"/>
        <w:rPr>
          <w:rFonts w:cs="Arial"/>
          <w:szCs w:val="24"/>
        </w:rPr>
      </w:pPr>
      <w:bookmarkStart w:id="74" w:name="_Toc343587287"/>
      <w:bookmarkStart w:id="75" w:name="_Toc407008332"/>
      <w:r w:rsidRPr="0023661F">
        <w:rPr>
          <w:rFonts w:cs="Arial"/>
          <w:szCs w:val="24"/>
        </w:rPr>
        <w:t>5.1.6 Compendio normativo</w:t>
      </w:r>
      <w:bookmarkEnd w:id="74"/>
      <w:bookmarkEnd w:id="75"/>
    </w:p>
    <w:p w:rsidR="0023661F" w:rsidRPr="0023661F" w:rsidRDefault="0023661F" w:rsidP="0023661F">
      <w:pPr>
        <w:pStyle w:val="Textoindependiente"/>
        <w:rPr>
          <w:rFonts w:cs="Arial"/>
        </w:rPr>
      </w:pPr>
      <w:r w:rsidRPr="0023661F">
        <w:rPr>
          <w:rFonts w:cs="Arial"/>
        </w:rPr>
        <w:t>Deberán arbitrarse los mecanismos a fin de mantener un texto ordenado de todas las normas tributarias que aplica la Intendencia.</w:t>
      </w:r>
    </w:p>
    <w:p w:rsidR="0023661F" w:rsidRPr="0023661F" w:rsidRDefault="0023661F" w:rsidP="0023661F">
      <w:pPr>
        <w:pStyle w:val="Ttulo2"/>
        <w:spacing w:after="0"/>
        <w:jc w:val="both"/>
        <w:rPr>
          <w:rFonts w:cs="Arial"/>
          <w:szCs w:val="24"/>
        </w:rPr>
      </w:pPr>
      <w:bookmarkStart w:id="76" w:name="_Toc343587288"/>
      <w:bookmarkStart w:id="77" w:name="_Toc407008333"/>
    </w:p>
    <w:p w:rsidR="0023661F" w:rsidRPr="0023661F" w:rsidRDefault="0023661F" w:rsidP="0023661F">
      <w:pPr>
        <w:pStyle w:val="Ttulo2"/>
        <w:spacing w:after="0"/>
        <w:jc w:val="both"/>
        <w:rPr>
          <w:rFonts w:cs="Arial"/>
          <w:szCs w:val="24"/>
        </w:rPr>
      </w:pPr>
      <w:r w:rsidRPr="0023661F">
        <w:rPr>
          <w:rFonts w:cs="Arial"/>
          <w:szCs w:val="24"/>
        </w:rPr>
        <w:t>5.1.7 Arqueos de “Caja Sueldos”</w:t>
      </w:r>
      <w:bookmarkEnd w:id="76"/>
      <w:bookmarkEnd w:id="77"/>
    </w:p>
    <w:p w:rsidR="0023661F" w:rsidRDefault="0023661F" w:rsidP="0023661F">
      <w:pPr>
        <w:pStyle w:val="Textoindependiente"/>
        <w:rPr>
          <w:rFonts w:cs="Arial"/>
        </w:rPr>
      </w:pPr>
      <w:r w:rsidRPr="0023661F">
        <w:rPr>
          <w:rFonts w:cs="Arial"/>
        </w:rPr>
        <w:t>Los saldos contables de los fondos sujetos a arqueo deben estar disponibles al momento de practicar cada arqueo a efectos de su verificación con los fondos recontados.</w:t>
      </w:r>
    </w:p>
    <w:p w:rsidR="00925C0F" w:rsidRPr="0023661F" w:rsidRDefault="00925C0F" w:rsidP="0023661F">
      <w:pPr>
        <w:pStyle w:val="Textoindependiente"/>
        <w:rPr>
          <w:rFonts w:cs="Arial"/>
        </w:rPr>
      </w:pPr>
    </w:p>
    <w:p w:rsidR="0023661F" w:rsidRPr="0023661F" w:rsidRDefault="0023661F" w:rsidP="0023661F">
      <w:pPr>
        <w:pStyle w:val="Ttulo2"/>
        <w:spacing w:after="0"/>
        <w:jc w:val="both"/>
        <w:rPr>
          <w:rFonts w:cs="Arial"/>
          <w:szCs w:val="24"/>
        </w:rPr>
      </w:pPr>
      <w:bookmarkStart w:id="78" w:name="_Toc343587289"/>
      <w:bookmarkStart w:id="79" w:name="_Toc407008334"/>
      <w:r w:rsidRPr="0023661F">
        <w:rPr>
          <w:rFonts w:cs="Arial"/>
          <w:szCs w:val="24"/>
        </w:rPr>
        <w:t>5.1.8 Conciliaciones de saldos de proveedores</w:t>
      </w:r>
      <w:bookmarkEnd w:id="78"/>
      <w:bookmarkEnd w:id="79"/>
    </w:p>
    <w:p w:rsidR="0023661F" w:rsidRPr="0023661F" w:rsidRDefault="0023661F" w:rsidP="0023661F">
      <w:pPr>
        <w:pStyle w:val="Textoindependiente"/>
        <w:rPr>
          <w:rFonts w:cs="Arial"/>
        </w:rPr>
      </w:pPr>
      <w:r w:rsidRPr="0023661F">
        <w:rPr>
          <w:rFonts w:cs="Arial"/>
        </w:rPr>
        <w:t xml:space="preserve">Los saldos contables de las cuentas de proveedores (públicos y privados) se deberán mantener actualizados, disponiéndose a tales efectos de mecanismos de contralor como la realización de </w:t>
      </w:r>
      <w:proofErr w:type="spellStart"/>
      <w:r w:rsidRPr="0023661F">
        <w:rPr>
          <w:rFonts w:cs="Arial"/>
        </w:rPr>
        <w:t>circularizaciones</w:t>
      </w:r>
      <w:proofErr w:type="spellEnd"/>
      <w:r w:rsidRPr="0023661F">
        <w:rPr>
          <w:rFonts w:cs="Arial"/>
        </w:rPr>
        <w:t xml:space="preserve"> periódicas por muestras escogidas al azar y efectuar las conciliaciones con los mayores respectivos.</w:t>
      </w:r>
    </w:p>
    <w:p w:rsidR="0023661F" w:rsidRPr="0023661F" w:rsidRDefault="0023661F" w:rsidP="0023661F">
      <w:pPr>
        <w:pStyle w:val="Textoindependiente"/>
        <w:rPr>
          <w:rFonts w:cs="Arial"/>
        </w:rPr>
      </w:pPr>
    </w:p>
    <w:p w:rsidR="0023661F" w:rsidRPr="0023661F" w:rsidRDefault="0023661F" w:rsidP="0023661F">
      <w:pPr>
        <w:pStyle w:val="Ttulo2"/>
        <w:jc w:val="both"/>
        <w:rPr>
          <w:rFonts w:cs="Arial"/>
          <w:szCs w:val="24"/>
        </w:rPr>
      </w:pPr>
      <w:bookmarkStart w:id="80" w:name="_Toc207699455"/>
      <w:bookmarkStart w:id="81" w:name="_Toc343587290"/>
      <w:bookmarkStart w:id="82" w:name="_Toc407008335"/>
      <w:r w:rsidRPr="0023661F">
        <w:rPr>
          <w:rFonts w:cs="Arial"/>
          <w:szCs w:val="24"/>
        </w:rPr>
        <w:t>5.2 Recomendaciones del ejercicio</w:t>
      </w:r>
      <w:bookmarkEnd w:id="80"/>
      <w:bookmarkEnd w:id="81"/>
      <w:bookmarkEnd w:id="82"/>
    </w:p>
    <w:p w:rsidR="0023661F" w:rsidRPr="0023661F" w:rsidRDefault="0023661F" w:rsidP="00925C0F">
      <w:pPr>
        <w:pStyle w:val="Textoindependiente"/>
        <w:widowControl w:val="0"/>
        <w:rPr>
          <w:rFonts w:cs="Arial"/>
        </w:rPr>
      </w:pPr>
      <w:r w:rsidRPr="0023661F">
        <w:rPr>
          <w:rFonts w:cs="Arial"/>
        </w:rPr>
        <w:t xml:space="preserve">Se reiteran las recomendaciones señaladas en el Numeral 5.1. </w:t>
      </w:r>
      <w:proofErr w:type="gramStart"/>
      <w:r w:rsidRPr="0023661F">
        <w:rPr>
          <w:rFonts w:cs="Arial"/>
        </w:rPr>
        <w:t>y</w:t>
      </w:r>
      <w:proofErr w:type="gramEnd"/>
      <w:r w:rsidRPr="0023661F">
        <w:rPr>
          <w:rFonts w:cs="Arial"/>
        </w:rPr>
        <w:t xml:space="preserve"> se agrega la siguiente:</w:t>
      </w:r>
    </w:p>
    <w:p w:rsidR="0023661F" w:rsidRPr="0023661F" w:rsidRDefault="0023661F" w:rsidP="0023661F">
      <w:pPr>
        <w:pStyle w:val="Textoindependiente"/>
        <w:widowControl w:val="0"/>
        <w:rPr>
          <w:rFonts w:cs="Arial"/>
          <w:b/>
          <w:bCs w:val="0"/>
        </w:rPr>
      </w:pPr>
      <w:r w:rsidRPr="0023661F">
        <w:rPr>
          <w:rFonts w:cs="Arial"/>
          <w:b/>
          <w:spacing w:val="-3"/>
        </w:rPr>
        <w:t>Artículo 26 del TOCAF y Artículo 12 Numerales 3) y 4) Ley 19.272</w:t>
      </w:r>
    </w:p>
    <w:p w:rsidR="0023661F" w:rsidRPr="0023661F" w:rsidRDefault="0023661F" w:rsidP="00925C0F">
      <w:pPr>
        <w:suppressAutoHyphens/>
        <w:spacing w:line="360" w:lineRule="auto"/>
        <w:jc w:val="both"/>
        <w:rPr>
          <w:rFonts w:cs="Arial"/>
          <w:bCs/>
          <w:spacing w:val="-3"/>
        </w:rPr>
      </w:pPr>
      <w:r w:rsidRPr="0023661F">
        <w:rPr>
          <w:rFonts w:cs="Arial"/>
          <w:bCs/>
          <w:spacing w:val="-3"/>
        </w:rPr>
        <w:t>La Intendencia  deberá adoptar las medidas pertinentes a los efectos de que los Municipios puedan administrar sus propios fondos.</w:t>
      </w:r>
    </w:p>
    <w:p w:rsidR="0023661F" w:rsidRPr="0023661F" w:rsidRDefault="0023661F" w:rsidP="0023661F">
      <w:pPr>
        <w:pStyle w:val="Sangra3detindependiente"/>
        <w:jc w:val="right"/>
        <w:rPr>
          <w:rFonts w:cs="Arial"/>
          <w:szCs w:val="24"/>
          <w:lang w:val="es-MX"/>
        </w:rPr>
      </w:pPr>
      <w:r w:rsidRPr="0023661F">
        <w:rPr>
          <w:rFonts w:cs="Arial"/>
          <w:szCs w:val="24"/>
        </w:rPr>
        <w:t xml:space="preserve">Montevideo, </w:t>
      </w:r>
      <w:r w:rsidRPr="0023661F">
        <w:rPr>
          <w:rFonts w:cs="Arial"/>
          <w:szCs w:val="24"/>
          <w:lang w:val="es-MX"/>
        </w:rPr>
        <w:t>15 de diciembre de 2015</w:t>
      </w:r>
    </w:p>
    <w:p w:rsidR="0023661F" w:rsidRPr="0023661F" w:rsidRDefault="0023661F" w:rsidP="0023661F">
      <w:pPr>
        <w:pStyle w:val="Sangra3detindependiente"/>
        <w:ind w:hanging="426"/>
        <w:jc w:val="left"/>
        <w:rPr>
          <w:rFonts w:cs="Arial"/>
          <w:szCs w:val="24"/>
        </w:rPr>
      </w:pPr>
      <w:proofErr w:type="gramStart"/>
      <w:r w:rsidRPr="0023661F">
        <w:rPr>
          <w:rFonts w:cs="Arial"/>
          <w:szCs w:val="24"/>
          <w:lang w:val="es-MX"/>
        </w:rPr>
        <w:t>dc</w:t>
      </w:r>
      <w:proofErr w:type="gramEnd"/>
    </w:p>
    <w:sectPr w:rsidR="0023661F" w:rsidRPr="0023661F" w:rsidSect="00EA1EAF">
      <w:footerReference w:type="even" r:id="rId8"/>
      <w:footerReference w:type="default" r:id="rId9"/>
      <w:pgSz w:w="11906" w:h="16838" w:code="9"/>
      <w:pgMar w:top="3402" w:right="1701" w:bottom="1701"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77B" w:rsidRDefault="004B477B">
      <w:r>
        <w:separator/>
      </w:r>
    </w:p>
  </w:endnote>
  <w:endnote w:type="continuationSeparator" w:id="0">
    <w:p w:rsidR="004B477B" w:rsidRDefault="004B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77B" w:rsidRDefault="004B477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B477B" w:rsidRDefault="004B47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77B" w:rsidRDefault="004B477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04C9">
      <w:rPr>
        <w:rStyle w:val="Nmerodepgina"/>
        <w:noProof/>
      </w:rPr>
      <w:t>1</w:t>
    </w:r>
    <w:r>
      <w:rPr>
        <w:rStyle w:val="Nmerodepgina"/>
      </w:rPr>
      <w:fldChar w:fldCharType="end"/>
    </w:r>
  </w:p>
  <w:p w:rsidR="004B477B" w:rsidRDefault="004B47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77B" w:rsidRDefault="004B477B">
      <w:r>
        <w:separator/>
      </w:r>
    </w:p>
  </w:footnote>
  <w:footnote w:type="continuationSeparator" w:id="0">
    <w:p w:rsidR="004B477B" w:rsidRDefault="004B4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E40"/>
    <w:multiLevelType w:val="hybridMultilevel"/>
    <w:tmpl w:val="DF36D5B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86C5018"/>
    <w:multiLevelType w:val="hybridMultilevel"/>
    <w:tmpl w:val="8ED058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FC04BF8"/>
    <w:multiLevelType w:val="hybridMultilevel"/>
    <w:tmpl w:val="7528F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7B63764"/>
    <w:multiLevelType w:val="hybridMultilevel"/>
    <w:tmpl w:val="90C65F40"/>
    <w:lvl w:ilvl="0" w:tplc="6D166090">
      <w:start w:val="1"/>
      <w:numFmt w:val="decimal"/>
      <w:lvlText w:val="%1)"/>
      <w:lvlJc w:val="left"/>
      <w:pPr>
        <w:tabs>
          <w:tab w:val="num" w:pos="360"/>
        </w:tabs>
        <w:ind w:left="340" w:hanging="34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DFC5887"/>
    <w:multiLevelType w:val="hybridMultilevel"/>
    <w:tmpl w:val="9F6A2EAE"/>
    <w:lvl w:ilvl="0" w:tplc="FFFFFFFF">
      <w:start w:val="1"/>
      <w:numFmt w:val="decimal"/>
      <w:lvlText w:val="%1)"/>
      <w:lvlJc w:val="left"/>
      <w:pPr>
        <w:tabs>
          <w:tab w:val="num" w:pos="360"/>
        </w:tabs>
        <w:ind w:left="340" w:hanging="34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60764B5E"/>
    <w:multiLevelType w:val="multilevel"/>
    <w:tmpl w:val="47FCFB1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DD10451"/>
    <w:multiLevelType w:val="hybridMultilevel"/>
    <w:tmpl w:val="F8A09E6A"/>
    <w:lvl w:ilvl="0" w:tplc="3C0CE606">
      <w:start w:val="5"/>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58"/>
    <w:rsid w:val="000531E1"/>
    <w:rsid w:val="000C54CB"/>
    <w:rsid w:val="000D5986"/>
    <w:rsid w:val="00116613"/>
    <w:rsid w:val="001825FE"/>
    <w:rsid w:val="001F3E88"/>
    <w:rsid w:val="001F43D6"/>
    <w:rsid w:val="00213BA2"/>
    <w:rsid w:val="0023212C"/>
    <w:rsid w:val="0023661F"/>
    <w:rsid w:val="002B4DA9"/>
    <w:rsid w:val="00376843"/>
    <w:rsid w:val="00442358"/>
    <w:rsid w:val="004B477B"/>
    <w:rsid w:val="004B4B18"/>
    <w:rsid w:val="005941DC"/>
    <w:rsid w:val="005A1868"/>
    <w:rsid w:val="00610A2E"/>
    <w:rsid w:val="00611BD7"/>
    <w:rsid w:val="006B59AA"/>
    <w:rsid w:val="007347E7"/>
    <w:rsid w:val="00753FEC"/>
    <w:rsid w:val="007F3F70"/>
    <w:rsid w:val="00925C0F"/>
    <w:rsid w:val="00AC20BF"/>
    <w:rsid w:val="00CB11DA"/>
    <w:rsid w:val="00D44D65"/>
    <w:rsid w:val="00DD04C9"/>
    <w:rsid w:val="00E24557"/>
    <w:rsid w:val="00EA1EAF"/>
    <w:rsid w:val="00ED0702"/>
    <w:rsid w:val="00F2298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5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3661F"/>
    <w:pPr>
      <w:spacing w:after="180" w:line="360" w:lineRule="auto"/>
      <w:outlineLvl w:val="0"/>
    </w:pPr>
    <w:rPr>
      <w:b/>
      <w:caps/>
      <w:kern w:val="18"/>
      <w:szCs w:val="20"/>
    </w:rPr>
  </w:style>
  <w:style w:type="paragraph" w:styleId="Ttulo2">
    <w:name w:val="heading 2"/>
    <w:basedOn w:val="Normal"/>
    <w:next w:val="Textoindependiente"/>
    <w:link w:val="Ttulo2Car"/>
    <w:qFormat/>
    <w:rsid w:val="0023661F"/>
    <w:pPr>
      <w:spacing w:after="170" w:line="360" w:lineRule="auto"/>
      <w:outlineLvl w:val="1"/>
    </w:pPr>
    <w:rPr>
      <w:b/>
      <w:kern w:val="18"/>
      <w:szCs w:val="20"/>
    </w:rPr>
  </w:style>
  <w:style w:type="paragraph" w:styleId="Ttulo6">
    <w:name w:val="heading 6"/>
    <w:basedOn w:val="Normal"/>
    <w:next w:val="Normal"/>
    <w:link w:val="Ttulo6Car"/>
    <w:qFormat/>
    <w:rsid w:val="00442358"/>
    <w:pPr>
      <w:keepNext/>
      <w:spacing w:line="360" w:lineRule="auto"/>
      <w:jc w:val="center"/>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42358"/>
    <w:rPr>
      <w:rFonts w:ascii="Arial" w:eastAsia="Times New Roman" w:hAnsi="Arial" w:cs="Times New Roman"/>
      <w:b/>
      <w:sz w:val="24"/>
      <w:szCs w:val="20"/>
      <w:lang w:val="es-ES" w:eastAsia="es-ES"/>
    </w:rPr>
  </w:style>
  <w:style w:type="paragraph" w:styleId="Textoindependiente">
    <w:name w:val="Body Text"/>
    <w:basedOn w:val="Normal"/>
    <w:link w:val="TextoindependienteCar"/>
    <w:rsid w:val="00442358"/>
    <w:pPr>
      <w:spacing w:line="360" w:lineRule="auto"/>
      <w:jc w:val="both"/>
    </w:pPr>
    <w:rPr>
      <w:bCs/>
    </w:rPr>
  </w:style>
  <w:style w:type="character" w:customStyle="1" w:styleId="TextoindependienteCar">
    <w:name w:val="Texto independiente Car"/>
    <w:basedOn w:val="Fuentedeprrafopredeter"/>
    <w:link w:val="Textoindependiente"/>
    <w:rsid w:val="00442358"/>
    <w:rPr>
      <w:rFonts w:ascii="Arial" w:eastAsia="Times New Roman" w:hAnsi="Arial" w:cs="Times New Roman"/>
      <w:bCs/>
      <w:sz w:val="24"/>
      <w:szCs w:val="24"/>
      <w:lang w:val="es-ES" w:eastAsia="es-ES"/>
    </w:rPr>
  </w:style>
  <w:style w:type="paragraph" w:styleId="Piedepgina">
    <w:name w:val="footer"/>
    <w:basedOn w:val="Normal"/>
    <w:link w:val="PiedepginaCar"/>
    <w:semiHidden/>
    <w:rsid w:val="00442358"/>
    <w:pPr>
      <w:tabs>
        <w:tab w:val="center" w:pos="4252"/>
        <w:tab w:val="right" w:pos="8504"/>
      </w:tabs>
    </w:pPr>
  </w:style>
  <w:style w:type="character" w:customStyle="1" w:styleId="PiedepginaCar">
    <w:name w:val="Pie de página Car"/>
    <w:basedOn w:val="Fuentedeprrafopredeter"/>
    <w:link w:val="Piedepgina"/>
    <w:semiHidden/>
    <w:rsid w:val="00442358"/>
    <w:rPr>
      <w:rFonts w:ascii="Arial" w:eastAsia="Times New Roman" w:hAnsi="Arial" w:cs="Times New Roman"/>
      <w:sz w:val="24"/>
      <w:szCs w:val="24"/>
      <w:lang w:val="es-ES" w:eastAsia="es-ES"/>
    </w:rPr>
  </w:style>
  <w:style w:type="character" w:styleId="Nmerodepgina">
    <w:name w:val="page number"/>
    <w:basedOn w:val="Fuentedeprrafopredeter"/>
    <w:semiHidden/>
    <w:rsid w:val="00442358"/>
  </w:style>
  <w:style w:type="paragraph" w:styleId="Lista">
    <w:name w:val="List"/>
    <w:basedOn w:val="Normal"/>
    <w:semiHidden/>
    <w:rsid w:val="00442358"/>
    <w:pPr>
      <w:spacing w:line="360" w:lineRule="auto"/>
      <w:ind w:left="283" w:hanging="283"/>
      <w:jc w:val="both"/>
    </w:pPr>
    <w:rPr>
      <w:kern w:val="18"/>
      <w:szCs w:val="20"/>
      <w:lang w:val="es-ES_tradnl"/>
    </w:rPr>
  </w:style>
  <w:style w:type="character" w:customStyle="1" w:styleId="Ttulo1Car">
    <w:name w:val="Título 1 Car"/>
    <w:basedOn w:val="Fuentedeprrafopredeter"/>
    <w:link w:val="Ttulo1"/>
    <w:rsid w:val="0023661F"/>
    <w:rPr>
      <w:rFonts w:ascii="Arial" w:eastAsia="Times New Roman" w:hAnsi="Arial" w:cs="Times New Roman"/>
      <w:b/>
      <w:caps/>
      <w:kern w:val="18"/>
      <w:sz w:val="24"/>
      <w:szCs w:val="20"/>
      <w:lang w:val="es-ES" w:eastAsia="es-ES"/>
    </w:rPr>
  </w:style>
  <w:style w:type="character" w:customStyle="1" w:styleId="Ttulo2Car">
    <w:name w:val="Título 2 Car"/>
    <w:basedOn w:val="Fuentedeprrafopredeter"/>
    <w:link w:val="Ttulo2"/>
    <w:rsid w:val="0023661F"/>
    <w:rPr>
      <w:rFonts w:ascii="Arial" w:eastAsia="Times New Roman" w:hAnsi="Arial" w:cs="Times New Roman"/>
      <w:b/>
      <w:kern w:val="18"/>
      <w:sz w:val="24"/>
      <w:szCs w:val="20"/>
      <w:lang w:val="es-ES" w:eastAsia="es-ES"/>
    </w:rPr>
  </w:style>
  <w:style w:type="paragraph" w:styleId="Subttulo">
    <w:name w:val="Subtitle"/>
    <w:basedOn w:val="Normal"/>
    <w:link w:val="SubttuloCar"/>
    <w:qFormat/>
    <w:rsid w:val="0023661F"/>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23661F"/>
    <w:rPr>
      <w:rFonts w:ascii="Bookman Old Style" w:eastAsia="Times New Roman" w:hAnsi="Bookman Old Style" w:cs="Times New Roman"/>
      <w:b/>
      <w:kern w:val="18"/>
      <w:sz w:val="24"/>
      <w:szCs w:val="20"/>
      <w:lang w:val="es-ES" w:eastAsia="es-ES"/>
    </w:rPr>
  </w:style>
  <w:style w:type="paragraph" w:styleId="NormalWeb">
    <w:name w:val="Normal (Web)"/>
    <w:basedOn w:val="Normal"/>
    <w:rsid w:val="0023661F"/>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rsid w:val="0023661F"/>
  </w:style>
  <w:style w:type="paragraph" w:styleId="Sangra3detindependiente">
    <w:name w:val="Body Text Indent 3"/>
    <w:basedOn w:val="Normal"/>
    <w:link w:val="Sangra3detindependienteCar"/>
    <w:rsid w:val="0023661F"/>
    <w:pPr>
      <w:suppressAutoHyphens/>
      <w:spacing w:line="360" w:lineRule="auto"/>
      <w:ind w:firstLine="851"/>
      <w:jc w:val="both"/>
    </w:pPr>
    <w:rPr>
      <w:kern w:val="18"/>
      <w:szCs w:val="20"/>
      <w:lang w:val="es-ES_tradnl"/>
    </w:rPr>
  </w:style>
  <w:style w:type="character" w:customStyle="1" w:styleId="Sangra3detindependienteCar">
    <w:name w:val="Sangría 3 de t. independiente Car"/>
    <w:basedOn w:val="Fuentedeprrafopredeter"/>
    <w:link w:val="Sangra3detindependiente"/>
    <w:rsid w:val="0023661F"/>
    <w:rPr>
      <w:rFonts w:ascii="Arial" w:eastAsia="Times New Roman" w:hAnsi="Arial" w:cs="Times New Roman"/>
      <w:kern w:val="18"/>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5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3661F"/>
    <w:pPr>
      <w:spacing w:after="180" w:line="360" w:lineRule="auto"/>
      <w:outlineLvl w:val="0"/>
    </w:pPr>
    <w:rPr>
      <w:b/>
      <w:caps/>
      <w:kern w:val="18"/>
      <w:szCs w:val="20"/>
    </w:rPr>
  </w:style>
  <w:style w:type="paragraph" w:styleId="Ttulo2">
    <w:name w:val="heading 2"/>
    <w:basedOn w:val="Normal"/>
    <w:next w:val="Textoindependiente"/>
    <w:link w:val="Ttulo2Car"/>
    <w:qFormat/>
    <w:rsid w:val="0023661F"/>
    <w:pPr>
      <w:spacing w:after="170" w:line="360" w:lineRule="auto"/>
      <w:outlineLvl w:val="1"/>
    </w:pPr>
    <w:rPr>
      <w:b/>
      <w:kern w:val="18"/>
      <w:szCs w:val="20"/>
    </w:rPr>
  </w:style>
  <w:style w:type="paragraph" w:styleId="Ttulo6">
    <w:name w:val="heading 6"/>
    <w:basedOn w:val="Normal"/>
    <w:next w:val="Normal"/>
    <w:link w:val="Ttulo6Car"/>
    <w:qFormat/>
    <w:rsid w:val="00442358"/>
    <w:pPr>
      <w:keepNext/>
      <w:spacing w:line="360" w:lineRule="auto"/>
      <w:jc w:val="center"/>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42358"/>
    <w:rPr>
      <w:rFonts w:ascii="Arial" w:eastAsia="Times New Roman" w:hAnsi="Arial" w:cs="Times New Roman"/>
      <w:b/>
      <w:sz w:val="24"/>
      <w:szCs w:val="20"/>
      <w:lang w:val="es-ES" w:eastAsia="es-ES"/>
    </w:rPr>
  </w:style>
  <w:style w:type="paragraph" w:styleId="Textoindependiente">
    <w:name w:val="Body Text"/>
    <w:basedOn w:val="Normal"/>
    <w:link w:val="TextoindependienteCar"/>
    <w:rsid w:val="00442358"/>
    <w:pPr>
      <w:spacing w:line="360" w:lineRule="auto"/>
      <w:jc w:val="both"/>
    </w:pPr>
    <w:rPr>
      <w:bCs/>
    </w:rPr>
  </w:style>
  <w:style w:type="character" w:customStyle="1" w:styleId="TextoindependienteCar">
    <w:name w:val="Texto independiente Car"/>
    <w:basedOn w:val="Fuentedeprrafopredeter"/>
    <w:link w:val="Textoindependiente"/>
    <w:rsid w:val="00442358"/>
    <w:rPr>
      <w:rFonts w:ascii="Arial" w:eastAsia="Times New Roman" w:hAnsi="Arial" w:cs="Times New Roman"/>
      <w:bCs/>
      <w:sz w:val="24"/>
      <w:szCs w:val="24"/>
      <w:lang w:val="es-ES" w:eastAsia="es-ES"/>
    </w:rPr>
  </w:style>
  <w:style w:type="paragraph" w:styleId="Piedepgina">
    <w:name w:val="footer"/>
    <w:basedOn w:val="Normal"/>
    <w:link w:val="PiedepginaCar"/>
    <w:semiHidden/>
    <w:rsid w:val="00442358"/>
    <w:pPr>
      <w:tabs>
        <w:tab w:val="center" w:pos="4252"/>
        <w:tab w:val="right" w:pos="8504"/>
      </w:tabs>
    </w:pPr>
  </w:style>
  <w:style w:type="character" w:customStyle="1" w:styleId="PiedepginaCar">
    <w:name w:val="Pie de página Car"/>
    <w:basedOn w:val="Fuentedeprrafopredeter"/>
    <w:link w:val="Piedepgina"/>
    <w:semiHidden/>
    <w:rsid w:val="00442358"/>
    <w:rPr>
      <w:rFonts w:ascii="Arial" w:eastAsia="Times New Roman" w:hAnsi="Arial" w:cs="Times New Roman"/>
      <w:sz w:val="24"/>
      <w:szCs w:val="24"/>
      <w:lang w:val="es-ES" w:eastAsia="es-ES"/>
    </w:rPr>
  </w:style>
  <w:style w:type="character" w:styleId="Nmerodepgina">
    <w:name w:val="page number"/>
    <w:basedOn w:val="Fuentedeprrafopredeter"/>
    <w:semiHidden/>
    <w:rsid w:val="00442358"/>
  </w:style>
  <w:style w:type="paragraph" w:styleId="Lista">
    <w:name w:val="List"/>
    <w:basedOn w:val="Normal"/>
    <w:semiHidden/>
    <w:rsid w:val="00442358"/>
    <w:pPr>
      <w:spacing w:line="360" w:lineRule="auto"/>
      <w:ind w:left="283" w:hanging="283"/>
      <w:jc w:val="both"/>
    </w:pPr>
    <w:rPr>
      <w:kern w:val="18"/>
      <w:szCs w:val="20"/>
      <w:lang w:val="es-ES_tradnl"/>
    </w:rPr>
  </w:style>
  <w:style w:type="character" w:customStyle="1" w:styleId="Ttulo1Car">
    <w:name w:val="Título 1 Car"/>
    <w:basedOn w:val="Fuentedeprrafopredeter"/>
    <w:link w:val="Ttulo1"/>
    <w:rsid w:val="0023661F"/>
    <w:rPr>
      <w:rFonts w:ascii="Arial" w:eastAsia="Times New Roman" w:hAnsi="Arial" w:cs="Times New Roman"/>
      <w:b/>
      <w:caps/>
      <w:kern w:val="18"/>
      <w:sz w:val="24"/>
      <w:szCs w:val="20"/>
      <w:lang w:val="es-ES" w:eastAsia="es-ES"/>
    </w:rPr>
  </w:style>
  <w:style w:type="character" w:customStyle="1" w:styleId="Ttulo2Car">
    <w:name w:val="Título 2 Car"/>
    <w:basedOn w:val="Fuentedeprrafopredeter"/>
    <w:link w:val="Ttulo2"/>
    <w:rsid w:val="0023661F"/>
    <w:rPr>
      <w:rFonts w:ascii="Arial" w:eastAsia="Times New Roman" w:hAnsi="Arial" w:cs="Times New Roman"/>
      <w:b/>
      <w:kern w:val="18"/>
      <w:sz w:val="24"/>
      <w:szCs w:val="20"/>
      <w:lang w:val="es-ES" w:eastAsia="es-ES"/>
    </w:rPr>
  </w:style>
  <w:style w:type="paragraph" w:styleId="Subttulo">
    <w:name w:val="Subtitle"/>
    <w:basedOn w:val="Normal"/>
    <w:link w:val="SubttuloCar"/>
    <w:qFormat/>
    <w:rsid w:val="0023661F"/>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23661F"/>
    <w:rPr>
      <w:rFonts w:ascii="Bookman Old Style" w:eastAsia="Times New Roman" w:hAnsi="Bookman Old Style" w:cs="Times New Roman"/>
      <w:b/>
      <w:kern w:val="18"/>
      <w:sz w:val="24"/>
      <w:szCs w:val="20"/>
      <w:lang w:val="es-ES" w:eastAsia="es-ES"/>
    </w:rPr>
  </w:style>
  <w:style w:type="paragraph" w:styleId="NormalWeb">
    <w:name w:val="Normal (Web)"/>
    <w:basedOn w:val="Normal"/>
    <w:rsid w:val="0023661F"/>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rsid w:val="0023661F"/>
  </w:style>
  <w:style w:type="paragraph" w:styleId="Sangra3detindependiente">
    <w:name w:val="Body Text Indent 3"/>
    <w:basedOn w:val="Normal"/>
    <w:link w:val="Sangra3detindependienteCar"/>
    <w:rsid w:val="0023661F"/>
    <w:pPr>
      <w:suppressAutoHyphens/>
      <w:spacing w:line="360" w:lineRule="auto"/>
      <w:ind w:firstLine="851"/>
      <w:jc w:val="both"/>
    </w:pPr>
    <w:rPr>
      <w:kern w:val="18"/>
      <w:szCs w:val="20"/>
      <w:lang w:val="es-ES_tradnl"/>
    </w:rPr>
  </w:style>
  <w:style w:type="character" w:customStyle="1" w:styleId="Sangra3detindependienteCar">
    <w:name w:val="Sangría 3 de t. independiente Car"/>
    <w:basedOn w:val="Fuentedeprrafopredeter"/>
    <w:link w:val="Sangra3detindependiente"/>
    <w:rsid w:val="0023661F"/>
    <w:rPr>
      <w:rFonts w:ascii="Arial" w:eastAsia="Times New Roman" w:hAnsi="Arial" w:cs="Times New Roman"/>
      <w:kern w:val="18"/>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3444</Words>
  <Characters>18942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De Souza</dc:creator>
  <cp:lastModifiedBy> </cp:lastModifiedBy>
  <cp:revision>4</cp:revision>
  <cp:lastPrinted>2015-12-29T14:39:00Z</cp:lastPrinted>
  <dcterms:created xsi:type="dcterms:W3CDTF">2015-12-29T14:40:00Z</dcterms:created>
  <dcterms:modified xsi:type="dcterms:W3CDTF">2016-01-21T14:28:00Z</dcterms:modified>
</cp:coreProperties>
</file>