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3D" w:rsidRPr="00CA716C" w:rsidRDefault="00CA613D">
      <w:pPr>
        <w:tabs>
          <w:tab w:val="center" w:pos="4253"/>
        </w:tabs>
        <w:suppressAutoHyphens/>
        <w:jc w:val="center"/>
        <w:rPr>
          <w:rFonts w:cs="Arial"/>
          <w:b/>
          <w:lang w:val="es-ES_tradnl"/>
        </w:rPr>
      </w:pPr>
      <w:bookmarkStart w:id="0" w:name="_GoBack"/>
      <w:bookmarkEnd w:id="0"/>
      <w:r w:rsidRPr="00CA716C">
        <w:rPr>
          <w:rFonts w:cs="Arial"/>
          <w:b/>
          <w:lang w:val="es-ES_tradnl"/>
        </w:rPr>
        <w:t>RESOLUCION ADOPTADA POR EL</w:t>
      </w:r>
    </w:p>
    <w:p w:rsidR="00CA613D" w:rsidRPr="00CA716C" w:rsidRDefault="00CA613D">
      <w:pPr>
        <w:tabs>
          <w:tab w:val="left" w:pos="-720"/>
        </w:tabs>
        <w:suppressAutoHyphens/>
        <w:jc w:val="center"/>
        <w:rPr>
          <w:rFonts w:cs="Arial"/>
          <w:b/>
          <w:lang w:val="es-ES_tradnl"/>
        </w:rPr>
      </w:pPr>
    </w:p>
    <w:p w:rsidR="00CA613D" w:rsidRPr="00CA716C" w:rsidRDefault="00CA613D">
      <w:pPr>
        <w:tabs>
          <w:tab w:val="center" w:pos="4253"/>
        </w:tabs>
        <w:suppressAutoHyphens/>
        <w:jc w:val="center"/>
        <w:rPr>
          <w:rFonts w:cs="Arial"/>
          <w:b/>
          <w:lang w:val="es-ES_tradnl"/>
        </w:rPr>
      </w:pPr>
      <w:r w:rsidRPr="00CA716C">
        <w:rPr>
          <w:rFonts w:cs="Arial"/>
          <w:b/>
          <w:lang w:val="es-ES_tradnl"/>
        </w:rPr>
        <w:t>TRIBUNAL DE CUENTAS</w:t>
      </w:r>
    </w:p>
    <w:p w:rsidR="00CA613D" w:rsidRPr="00CA716C" w:rsidRDefault="00CA613D">
      <w:pPr>
        <w:tabs>
          <w:tab w:val="left" w:pos="-720"/>
        </w:tabs>
        <w:suppressAutoHyphens/>
        <w:jc w:val="center"/>
        <w:rPr>
          <w:rFonts w:cs="Arial"/>
          <w:b/>
          <w:lang w:val="es-ES_tradnl"/>
        </w:rPr>
      </w:pPr>
    </w:p>
    <w:p w:rsidR="00CA613D" w:rsidRPr="00CA716C" w:rsidRDefault="00CA613D">
      <w:pPr>
        <w:tabs>
          <w:tab w:val="center" w:pos="4253"/>
        </w:tabs>
        <w:suppressAutoHyphens/>
        <w:jc w:val="center"/>
        <w:rPr>
          <w:rFonts w:cs="Arial"/>
          <w:b/>
          <w:lang w:val="es-ES_tradnl"/>
        </w:rPr>
      </w:pPr>
      <w:r w:rsidRPr="00CA716C">
        <w:rPr>
          <w:rFonts w:cs="Arial"/>
          <w:b/>
          <w:lang w:val="es-ES_tradnl"/>
        </w:rPr>
        <w:t>EN SESION DE FECHA 23 DE DICIEMBRE DE 2015</w:t>
      </w:r>
    </w:p>
    <w:p w:rsidR="00CA613D" w:rsidRPr="00CA716C" w:rsidRDefault="00CA613D">
      <w:pPr>
        <w:tabs>
          <w:tab w:val="center" w:pos="4253"/>
        </w:tabs>
        <w:suppressAutoHyphens/>
        <w:jc w:val="center"/>
        <w:rPr>
          <w:rFonts w:cs="Arial"/>
          <w:b/>
          <w:lang w:val="es-ES_tradnl"/>
        </w:rPr>
      </w:pPr>
    </w:p>
    <w:p w:rsidR="00CA613D" w:rsidRPr="00CA716C" w:rsidRDefault="00CA613D">
      <w:pPr>
        <w:tabs>
          <w:tab w:val="center" w:pos="4253"/>
        </w:tabs>
        <w:suppressAutoHyphens/>
        <w:jc w:val="center"/>
        <w:rPr>
          <w:rFonts w:cs="Arial"/>
          <w:b/>
          <w:lang w:val="es-UY"/>
        </w:rPr>
      </w:pPr>
      <w:r w:rsidRPr="00CA716C">
        <w:rPr>
          <w:rFonts w:cs="Arial"/>
          <w:b/>
          <w:lang w:val="es-UY"/>
        </w:rPr>
        <w:t>(E. E. Nº 2015-17-1-0008566, Ent. N° 6773/15)</w:t>
      </w:r>
    </w:p>
    <w:p w:rsidR="00CA613D" w:rsidRDefault="00CA613D">
      <w:pPr>
        <w:tabs>
          <w:tab w:val="center" w:pos="4253"/>
        </w:tabs>
        <w:suppressAutoHyphens/>
        <w:jc w:val="center"/>
        <w:rPr>
          <w:spacing w:val="-3"/>
          <w:lang w:val="es-UY"/>
        </w:rPr>
      </w:pPr>
    </w:p>
    <w:p w:rsidR="00CA716C" w:rsidRPr="003156B2" w:rsidRDefault="00CA716C">
      <w:pPr>
        <w:tabs>
          <w:tab w:val="center" w:pos="4253"/>
        </w:tabs>
        <w:suppressAutoHyphens/>
        <w:jc w:val="center"/>
        <w:rPr>
          <w:spacing w:val="-3"/>
          <w:lang w:val="es-UY"/>
        </w:rPr>
      </w:pPr>
    </w:p>
    <w:p w:rsidR="0051603F" w:rsidRDefault="0051603F" w:rsidP="00CA716C">
      <w:pPr>
        <w:pStyle w:val="Textoindependiente"/>
        <w:ind w:firstLine="851"/>
      </w:pPr>
      <w:r>
        <w:rPr>
          <w:b/>
        </w:rPr>
        <w:t>VISTO:</w:t>
      </w:r>
      <w:r>
        <w:t xml:space="preserve"> que este Tribunal ha examinado el Proyecto de Presupuesto Quinquenal de la Junta Departamental de Paysandú para los ejercicios 2016 -2020;</w:t>
      </w:r>
    </w:p>
    <w:p w:rsidR="0051603F" w:rsidRDefault="0051603F" w:rsidP="00CA716C">
      <w:pPr>
        <w:pStyle w:val="Textoindependiente"/>
        <w:ind w:firstLine="851"/>
        <w:rPr>
          <w:bCs/>
        </w:rPr>
      </w:pPr>
      <w:r w:rsidRPr="00CA613D">
        <w:rPr>
          <w:b/>
          <w:spacing w:val="-6"/>
        </w:rPr>
        <w:t>CONSIDERANDO:</w:t>
      </w:r>
      <w:r w:rsidRPr="00CA613D">
        <w:rPr>
          <w:spacing w:val="-6"/>
        </w:rPr>
        <w:t xml:space="preserve"> </w:t>
      </w:r>
      <w:r w:rsidRPr="00CA613D">
        <w:rPr>
          <w:b/>
          <w:spacing w:val="-6"/>
        </w:rPr>
        <w:t xml:space="preserve">1) </w:t>
      </w:r>
      <w:r w:rsidRPr="00CA613D">
        <w:rPr>
          <w:bCs/>
          <w:spacing w:val="-6"/>
        </w:rPr>
        <w:t>que se ha dado cumplimiento a lo establecido en</w:t>
      </w:r>
      <w:r>
        <w:rPr>
          <w:bCs/>
        </w:rPr>
        <w:t xml:space="preserve"> los </w:t>
      </w:r>
      <w:r w:rsidRPr="00CA613D">
        <w:rPr>
          <w:bCs/>
          <w:spacing w:val="-10"/>
        </w:rPr>
        <w:t>Artículos 273 N</w:t>
      </w:r>
      <w:r w:rsidR="00CA613D" w:rsidRPr="00CA613D">
        <w:rPr>
          <w:bCs/>
          <w:spacing w:val="-10"/>
        </w:rPr>
        <w:t>umer</w:t>
      </w:r>
      <w:r w:rsidRPr="00CA613D">
        <w:rPr>
          <w:bCs/>
          <w:spacing w:val="-10"/>
        </w:rPr>
        <w:t>al 6</w:t>
      </w:r>
      <w:r w:rsidR="00CA613D" w:rsidRPr="00CA613D">
        <w:rPr>
          <w:bCs/>
          <w:spacing w:val="-10"/>
        </w:rPr>
        <w:t>)</w:t>
      </w:r>
      <w:r w:rsidRPr="00CA613D">
        <w:rPr>
          <w:bCs/>
          <w:spacing w:val="-10"/>
        </w:rPr>
        <w:t xml:space="preserve"> de la Constitución de la República y 483 de la Ley N°</w:t>
      </w:r>
      <w:r>
        <w:rPr>
          <w:bCs/>
        </w:rPr>
        <w:t xml:space="preserve"> 17.296; </w:t>
      </w:r>
    </w:p>
    <w:p w:rsidR="0051603F" w:rsidRDefault="0051603F" w:rsidP="00CA716C">
      <w:pPr>
        <w:pStyle w:val="Textoindependiente"/>
        <w:ind w:firstLine="2977"/>
      </w:pPr>
      <w:r>
        <w:rPr>
          <w:b/>
          <w:bCs/>
        </w:rPr>
        <w:t>2)</w:t>
      </w:r>
      <w:r>
        <w:t xml:space="preserve"> que las conclusiones y evidencias obtenidas son las que se expresan en el Dictamen que se adjunta;</w:t>
      </w:r>
    </w:p>
    <w:p w:rsidR="0051603F" w:rsidRDefault="0051603F" w:rsidP="00CA716C">
      <w:pPr>
        <w:pStyle w:val="Textoindependiente"/>
        <w:ind w:firstLine="851"/>
      </w:pPr>
      <w:r>
        <w:rPr>
          <w:b/>
        </w:rPr>
        <w:t>ATENTO:</w:t>
      </w:r>
      <w:r>
        <w:t xml:space="preserve"> a lo dispuesto por los Artículos 211 </w:t>
      </w:r>
      <w:r w:rsidR="00CA613D">
        <w:t>L</w:t>
      </w:r>
      <w:r>
        <w:t>iteral A) y 225 de la Constitución de la República y Artículo 483 de la Ley N° 17.296;</w:t>
      </w:r>
    </w:p>
    <w:p w:rsidR="0051603F" w:rsidRDefault="0051603F" w:rsidP="0051603F">
      <w:pPr>
        <w:pStyle w:val="Textoindependiente"/>
        <w:jc w:val="center"/>
        <w:rPr>
          <w:b/>
        </w:rPr>
      </w:pPr>
      <w:r>
        <w:rPr>
          <w:b/>
        </w:rPr>
        <w:t>EL TRIBUNAL ACUERDA</w:t>
      </w:r>
    </w:p>
    <w:p w:rsidR="0051603F" w:rsidRDefault="0051603F" w:rsidP="00CA613D">
      <w:pPr>
        <w:pStyle w:val="Textoindependiente"/>
        <w:numPr>
          <w:ilvl w:val="0"/>
          <w:numId w:val="1"/>
        </w:numPr>
        <w:tabs>
          <w:tab w:val="clear" w:pos="720"/>
          <w:tab w:val="num" w:pos="360"/>
        </w:tabs>
        <w:ind w:left="360"/>
      </w:pPr>
      <w:r>
        <w:t>Emitir su pronunciamiento respecto al Proyecto de Presupuesto Quinquenal de la Junta Departamental de Paysandú correspondiente al período 2016-2020, en los térmi</w:t>
      </w:r>
      <w:r w:rsidR="00CA716C">
        <w:t>nos del Dictamen que se adjunta;</w:t>
      </w:r>
    </w:p>
    <w:p w:rsidR="0051603F" w:rsidRDefault="0051603F" w:rsidP="00CA613D">
      <w:pPr>
        <w:pStyle w:val="Textoindependiente"/>
        <w:numPr>
          <w:ilvl w:val="0"/>
          <w:numId w:val="1"/>
        </w:numPr>
        <w:tabs>
          <w:tab w:val="clear" w:pos="720"/>
          <w:tab w:val="num" w:pos="360"/>
        </w:tabs>
        <w:ind w:left="360"/>
      </w:pPr>
      <w:r>
        <w:t xml:space="preserve">Observar el referido documento por lo expresado </w:t>
      </w:r>
      <w:r w:rsidR="005B7042">
        <w:t>en los párrafos 2.2), 3.3) y 3.4) de este</w:t>
      </w:r>
      <w:r w:rsidR="00CA716C">
        <w:t xml:space="preserve"> Dictamen;</w:t>
      </w:r>
    </w:p>
    <w:p w:rsidR="005B7042" w:rsidRDefault="005B7042" w:rsidP="00CA613D">
      <w:pPr>
        <w:pStyle w:val="Textoindependiente"/>
        <w:numPr>
          <w:ilvl w:val="0"/>
          <w:numId w:val="1"/>
        </w:numPr>
        <w:tabs>
          <w:tab w:val="clear" w:pos="720"/>
          <w:tab w:val="num" w:pos="360"/>
        </w:tabs>
        <w:ind w:left="360"/>
      </w:pPr>
      <w:r>
        <w:t xml:space="preserve">Téngase presente </w:t>
      </w:r>
      <w:r w:rsidR="00CA716C">
        <w:t>lo expresado en el párrafo 3.2);</w:t>
      </w:r>
    </w:p>
    <w:p w:rsidR="0051603F" w:rsidRDefault="0051603F" w:rsidP="00CA613D">
      <w:pPr>
        <w:pStyle w:val="Textoindependiente"/>
        <w:numPr>
          <w:ilvl w:val="0"/>
          <w:numId w:val="1"/>
        </w:numPr>
        <w:tabs>
          <w:tab w:val="clear" w:pos="720"/>
          <w:tab w:val="num" w:pos="360"/>
        </w:tabs>
        <w:ind w:left="360"/>
      </w:pPr>
      <w:r>
        <w:t>Señalar que las asignaciones presupuestales proyectadas deberán ser financiadas por la Intendencia de Pays</w:t>
      </w:r>
      <w:r w:rsidR="00CA716C">
        <w:t>andú;</w:t>
      </w:r>
    </w:p>
    <w:p w:rsidR="0051603F" w:rsidRDefault="0051603F" w:rsidP="00CA613D">
      <w:pPr>
        <w:pStyle w:val="Textoindependiente"/>
        <w:numPr>
          <w:ilvl w:val="0"/>
          <w:numId w:val="1"/>
        </w:numPr>
        <w:tabs>
          <w:tab w:val="clear" w:pos="720"/>
          <w:tab w:val="num" w:pos="360"/>
        </w:tabs>
        <w:ind w:left="360"/>
      </w:pPr>
      <w:r>
        <w:t>Comunicar la presente Resoluci</w:t>
      </w:r>
      <w:r w:rsidR="00CA613D">
        <w:t>ón a la Intendencia de Paysandú; y</w:t>
      </w:r>
    </w:p>
    <w:p w:rsidR="0051603F" w:rsidRDefault="0051603F" w:rsidP="00CA613D">
      <w:pPr>
        <w:pStyle w:val="Textoindependiente"/>
        <w:numPr>
          <w:ilvl w:val="0"/>
          <w:numId w:val="1"/>
        </w:numPr>
        <w:tabs>
          <w:tab w:val="clear" w:pos="720"/>
          <w:tab w:val="num" w:pos="360"/>
        </w:tabs>
        <w:ind w:left="360"/>
      </w:pPr>
      <w:r>
        <w:t>Devolver los antecedentes a la Junta Departamental de Paysandú.</w:t>
      </w:r>
    </w:p>
    <w:p w:rsidR="00977F25" w:rsidRDefault="00977F25" w:rsidP="00977F25">
      <w:pPr>
        <w:pStyle w:val="Textoindependiente"/>
      </w:pPr>
    </w:p>
    <w:p w:rsidR="00977F25" w:rsidRDefault="00977F25" w:rsidP="00977F25">
      <w:pPr>
        <w:pStyle w:val="Textoindependiente"/>
      </w:pPr>
    </w:p>
    <w:p w:rsidR="00977F25" w:rsidRDefault="00977F25" w:rsidP="00977F25">
      <w:pPr>
        <w:pStyle w:val="Textoindependiente"/>
      </w:pPr>
    </w:p>
    <w:p w:rsidR="00977F25" w:rsidRDefault="00977F25" w:rsidP="00977F25">
      <w:pPr>
        <w:pStyle w:val="Textoindependiente"/>
      </w:pPr>
    </w:p>
    <w:p w:rsidR="00977F25" w:rsidRDefault="00977F25" w:rsidP="00CA716C">
      <w:pPr>
        <w:jc w:val="center"/>
        <w:rPr>
          <w:b/>
        </w:rPr>
      </w:pPr>
      <w:r w:rsidRPr="00997B0C">
        <w:rPr>
          <w:b/>
        </w:rPr>
        <w:t>DICTAMEN</w:t>
      </w:r>
    </w:p>
    <w:p w:rsidR="00CA716C" w:rsidRPr="00997B0C" w:rsidRDefault="00CA716C" w:rsidP="00CA716C">
      <w:pPr>
        <w:jc w:val="center"/>
        <w:rPr>
          <w:b/>
        </w:rPr>
      </w:pPr>
    </w:p>
    <w:p w:rsidR="00977F25" w:rsidRDefault="00977F25" w:rsidP="00CA716C">
      <w:pPr>
        <w:spacing w:line="360" w:lineRule="auto"/>
        <w:jc w:val="both"/>
      </w:pPr>
      <w:r>
        <w:t>El Tribunal de Cuentas ha examinado el Proyecto de Presupuesto Quinquenal para el período 2016-2020 de la Junta Departamental de Paysandú.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Artículo 483 de la Ley N° 17.296 y establecer, en caso que corresponda, los hallazgos realizados en relación con el cumplimiento de las normas constitucionales, legales y reglamen</w:t>
      </w:r>
      <w:r w:rsidR="00CA716C">
        <w:t>tarias que resulten aplicables.</w:t>
      </w:r>
    </w:p>
    <w:p w:rsidR="00CA716C" w:rsidRDefault="00CA716C" w:rsidP="00CA716C">
      <w:pPr>
        <w:spacing w:line="360" w:lineRule="auto"/>
        <w:jc w:val="both"/>
      </w:pPr>
    </w:p>
    <w:p w:rsidR="00977F25" w:rsidRDefault="00CA716C" w:rsidP="00CA716C">
      <w:pPr>
        <w:pStyle w:val="Sangradetextonormal"/>
        <w:ind w:firstLine="0"/>
        <w:rPr>
          <w:rFonts w:ascii="Arial" w:hAnsi="Arial" w:cs="Arial"/>
          <w:b/>
        </w:rPr>
      </w:pPr>
      <w:r>
        <w:rPr>
          <w:rFonts w:ascii="Arial" w:hAnsi="Arial" w:cs="Arial"/>
          <w:b/>
        </w:rPr>
        <w:t>1) Antecedentes</w:t>
      </w:r>
    </w:p>
    <w:p w:rsidR="00977F25" w:rsidRPr="00E768B3" w:rsidRDefault="00977F25" w:rsidP="00CA716C">
      <w:pPr>
        <w:spacing w:line="360" w:lineRule="auto"/>
        <w:jc w:val="both"/>
        <w:rPr>
          <w:rFonts w:cs="Arial"/>
        </w:rPr>
      </w:pPr>
      <w:r w:rsidRPr="005935E8">
        <w:rPr>
          <w:rFonts w:cs="Arial"/>
          <w:b/>
        </w:rPr>
        <w:t>1.1)</w:t>
      </w:r>
      <w:r w:rsidRPr="00E768B3">
        <w:rPr>
          <w:rFonts w:cs="Arial"/>
        </w:rPr>
        <w:t xml:space="preserve"> En sesión ordinaria de la Junta Departamental de Paysandú de fecha  2 de diciembre de 2015, de conformidad al artículo 273 numeral 6 de la Constitución de la República, </w:t>
      </w:r>
      <w:r>
        <w:rPr>
          <w:rFonts w:cs="Arial"/>
        </w:rPr>
        <w:t xml:space="preserve">se aprobó </w:t>
      </w:r>
      <w:r w:rsidRPr="00E768B3">
        <w:rPr>
          <w:rFonts w:cs="Arial"/>
        </w:rPr>
        <w:t xml:space="preserve">ad referéndum del dictamen </w:t>
      </w:r>
      <w:r>
        <w:rPr>
          <w:rFonts w:cs="Arial"/>
        </w:rPr>
        <w:t xml:space="preserve">del </w:t>
      </w:r>
      <w:r w:rsidRPr="00E768B3">
        <w:rPr>
          <w:rFonts w:cs="Arial"/>
        </w:rPr>
        <w:t>Tribunal de Cuentas</w:t>
      </w:r>
      <w:r>
        <w:rPr>
          <w:rFonts w:cs="Arial"/>
        </w:rPr>
        <w:t xml:space="preserve">, </w:t>
      </w:r>
      <w:r w:rsidRPr="00E768B3">
        <w:rPr>
          <w:rFonts w:cs="Arial"/>
        </w:rPr>
        <w:t>en general con el voto de 31 Ediles presentes en Sala,</w:t>
      </w:r>
      <w:r>
        <w:rPr>
          <w:rFonts w:cs="Arial"/>
        </w:rPr>
        <w:t xml:space="preserve"> </w:t>
      </w:r>
      <w:r w:rsidRPr="00E768B3">
        <w:rPr>
          <w:rFonts w:cs="Arial"/>
        </w:rPr>
        <w:t>y en particular por las mayorías requeridas y que se expresan, el</w:t>
      </w:r>
      <w:r w:rsidRPr="00E768B3">
        <w:rPr>
          <w:rFonts w:cs="Arial"/>
          <w:b/>
        </w:rPr>
        <w:t xml:space="preserve"> </w:t>
      </w:r>
      <w:r w:rsidRPr="00E768B3">
        <w:rPr>
          <w:rFonts w:cs="Arial"/>
        </w:rPr>
        <w:t>Proyecto de Presupuest</w:t>
      </w:r>
      <w:r>
        <w:rPr>
          <w:rFonts w:cs="Arial"/>
        </w:rPr>
        <w:t>o de la Corporación para el perí</w:t>
      </w:r>
      <w:r w:rsidRPr="00E768B3">
        <w:rPr>
          <w:rFonts w:cs="Arial"/>
        </w:rPr>
        <w:t>odo 2016 -2020 a regir desde el 1° de enero del 2016</w:t>
      </w:r>
      <w:r>
        <w:rPr>
          <w:rFonts w:cs="Arial"/>
        </w:rPr>
        <w:t>.</w:t>
      </w:r>
    </w:p>
    <w:p w:rsidR="00977F25" w:rsidRPr="00E768B3" w:rsidRDefault="00977F25" w:rsidP="00CA716C">
      <w:pPr>
        <w:pStyle w:val="Encabezadodetda"/>
        <w:tabs>
          <w:tab w:val="clear" w:pos="9360"/>
        </w:tabs>
        <w:suppressAutoHyphens w:val="0"/>
        <w:spacing w:line="360" w:lineRule="auto"/>
        <w:jc w:val="both"/>
        <w:rPr>
          <w:rFonts w:ascii="Arial" w:hAnsi="Arial" w:cs="Arial"/>
          <w:spacing w:val="-3"/>
          <w:sz w:val="24"/>
          <w:lang w:val="es-ES_tradnl"/>
        </w:rPr>
      </w:pPr>
      <w:r w:rsidRPr="005935E8">
        <w:rPr>
          <w:rFonts w:ascii="Arial" w:hAnsi="Arial" w:cs="Arial"/>
          <w:b/>
          <w:spacing w:val="-3"/>
          <w:sz w:val="24"/>
          <w:lang w:val="es-ES_tradnl"/>
        </w:rPr>
        <w:t>1.2)</w:t>
      </w:r>
      <w:r w:rsidRPr="00E768B3">
        <w:rPr>
          <w:rFonts w:ascii="Arial" w:hAnsi="Arial" w:cs="Arial"/>
          <w:spacing w:val="-3"/>
          <w:sz w:val="24"/>
          <w:lang w:val="es-ES_tradnl"/>
        </w:rPr>
        <w:t xml:space="preserve"> Por Oficio No.1129/15 del 2/12/15, el Legislativo Comunal de Paysandú remitió al Tribunal de Cuentas las presentes actuaciones para su consideración, produciéndose  la  entrada  oficial  en  sesión  de  fecha 9/12/15 (Ordenanzas Nos. 51 de 22/11/1972 y 69 de 20/7/1994).</w:t>
      </w:r>
    </w:p>
    <w:p w:rsidR="00977F25" w:rsidRPr="00E768B3" w:rsidRDefault="00977F25" w:rsidP="00CA716C">
      <w:pPr>
        <w:spacing w:line="360" w:lineRule="auto"/>
        <w:jc w:val="both"/>
        <w:rPr>
          <w:rFonts w:cs="Arial"/>
        </w:rPr>
      </w:pPr>
      <w:r w:rsidRPr="005935E8">
        <w:rPr>
          <w:rFonts w:cs="Arial"/>
          <w:b/>
        </w:rPr>
        <w:t>1.3)</w:t>
      </w:r>
      <w:r w:rsidRPr="00E768B3">
        <w:rPr>
          <w:rFonts w:cs="Arial"/>
        </w:rPr>
        <w:t xml:space="preserve"> De conformidad a lo establecido en el Art</w:t>
      </w:r>
      <w:r>
        <w:rPr>
          <w:rFonts w:cs="Arial"/>
        </w:rPr>
        <w:t>ículo</w:t>
      </w:r>
      <w:r w:rsidRPr="00E768B3">
        <w:rPr>
          <w:rFonts w:cs="Arial"/>
        </w:rPr>
        <w:t xml:space="preserve"> 225 de la Constitución de la República el plazo para la emisión del dictamen con</w:t>
      </w:r>
      <w:r w:rsidR="00CA716C">
        <w:rPr>
          <w:rFonts w:cs="Arial"/>
        </w:rPr>
        <w:t>stitucional vence el 28/12/15.</w:t>
      </w:r>
    </w:p>
    <w:p w:rsidR="00977F25" w:rsidRDefault="00977F25" w:rsidP="00CA716C">
      <w:pPr>
        <w:spacing w:line="360" w:lineRule="auto"/>
        <w:jc w:val="right"/>
        <w:rPr>
          <w:rFonts w:cs="Arial"/>
          <w:b/>
        </w:rPr>
      </w:pPr>
      <w:r>
        <w:rPr>
          <w:rFonts w:cs="Arial"/>
        </w:rPr>
        <w:t xml:space="preserve">   </w:t>
      </w:r>
    </w:p>
    <w:p w:rsidR="00977F25" w:rsidRDefault="00977F25" w:rsidP="00CA716C">
      <w:pPr>
        <w:spacing w:line="360" w:lineRule="auto"/>
        <w:rPr>
          <w:b/>
        </w:rPr>
      </w:pPr>
      <w:r>
        <w:rPr>
          <w:b/>
          <w:lang w:val="es-ES_tradnl"/>
        </w:rPr>
        <w:t>2)</w:t>
      </w:r>
      <w:r>
        <w:rPr>
          <w:b/>
        </w:rPr>
        <w:t xml:space="preserve"> Análisis </w:t>
      </w:r>
      <w:r w:rsidR="00CA716C">
        <w:rPr>
          <w:b/>
        </w:rPr>
        <w:t>de las asignaciones proyectadas</w:t>
      </w:r>
    </w:p>
    <w:p w:rsidR="00977F25" w:rsidRDefault="00977F25" w:rsidP="00CA716C">
      <w:pPr>
        <w:pStyle w:val="Textoindependiente2"/>
        <w:rPr>
          <w:rFonts w:ascii="Arial" w:hAnsi="Arial" w:cs="Arial"/>
          <w:b/>
        </w:rPr>
      </w:pPr>
      <w:r w:rsidRPr="005935E8">
        <w:rPr>
          <w:rFonts w:ascii="Arial" w:hAnsi="Arial" w:cs="Arial"/>
          <w:b/>
        </w:rPr>
        <w:t>2.1)</w:t>
      </w:r>
      <w:r>
        <w:rPr>
          <w:rFonts w:ascii="Arial" w:hAnsi="Arial" w:cs="Arial"/>
        </w:rPr>
        <w:t xml:space="preserve"> Las asignaciones proyectadas se exponen  a nivel de objeto. Su resumen, expresado en pesos uruguayos, se ajusta al siguiente detalle:</w:t>
      </w:r>
    </w:p>
    <w:tbl>
      <w:tblPr>
        <w:tblW w:w="8920" w:type="dxa"/>
        <w:tblInd w:w="55" w:type="dxa"/>
        <w:tblCellMar>
          <w:left w:w="70" w:type="dxa"/>
          <w:right w:w="70" w:type="dxa"/>
        </w:tblCellMar>
        <w:tblLook w:val="04A0" w:firstRow="1" w:lastRow="0" w:firstColumn="1" w:lastColumn="0" w:noHBand="0" w:noVBand="1"/>
      </w:tblPr>
      <w:tblGrid>
        <w:gridCol w:w="2920"/>
        <w:gridCol w:w="1200"/>
        <w:gridCol w:w="1200"/>
        <w:gridCol w:w="1200"/>
        <w:gridCol w:w="1200"/>
        <w:gridCol w:w="1200"/>
      </w:tblGrid>
      <w:tr w:rsidR="00977F25" w:rsidRPr="000D7E82" w:rsidTr="00CA716C">
        <w:trPr>
          <w:trHeight w:val="315"/>
        </w:trPr>
        <w:tc>
          <w:tcPr>
            <w:tcW w:w="2920" w:type="dxa"/>
            <w:tcBorders>
              <w:top w:val="nil"/>
              <w:left w:val="nil"/>
              <w:bottom w:val="nil"/>
              <w:right w:val="nil"/>
            </w:tcBorders>
            <w:shd w:val="clear" w:color="auto" w:fill="auto"/>
            <w:noWrap/>
            <w:vAlign w:val="center"/>
            <w:hideMark/>
          </w:tcPr>
          <w:p w:rsidR="00977F25" w:rsidRPr="000D7E82" w:rsidRDefault="00977F25" w:rsidP="00CA716C">
            <w:pPr>
              <w:rPr>
                <w:rFonts w:cs="Arial"/>
                <w:b/>
                <w:bCs/>
                <w:color w:val="000000"/>
                <w:sz w:val="18"/>
                <w:szCs w:val="18"/>
                <w:lang w:eastAsia="es-UY"/>
              </w:rPr>
            </w:pP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b/>
                <w:bCs/>
                <w:color w:val="000000"/>
                <w:sz w:val="18"/>
                <w:szCs w:val="18"/>
                <w:lang w:eastAsia="es-UY"/>
              </w:rPr>
            </w:pPr>
            <w:r w:rsidRPr="000D7E82">
              <w:rPr>
                <w:rFonts w:cs="Arial"/>
                <w:b/>
                <w:bCs/>
                <w:color w:val="000000"/>
                <w:sz w:val="18"/>
                <w:szCs w:val="18"/>
                <w:lang w:eastAsia="es-UY"/>
              </w:rPr>
              <w:t>Proyectado</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b/>
                <w:bCs/>
                <w:color w:val="000000"/>
                <w:sz w:val="18"/>
                <w:szCs w:val="18"/>
                <w:lang w:eastAsia="es-UY"/>
              </w:rPr>
            </w:pPr>
            <w:r w:rsidRPr="000D7E82">
              <w:rPr>
                <w:rFonts w:cs="Arial"/>
                <w:b/>
                <w:bCs/>
                <w:color w:val="000000"/>
                <w:sz w:val="18"/>
                <w:szCs w:val="18"/>
                <w:lang w:eastAsia="es-UY"/>
              </w:rPr>
              <w:t>Proyectado</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b/>
                <w:bCs/>
                <w:color w:val="000000"/>
                <w:sz w:val="18"/>
                <w:szCs w:val="18"/>
                <w:lang w:eastAsia="es-UY"/>
              </w:rPr>
            </w:pPr>
            <w:r w:rsidRPr="000D7E82">
              <w:rPr>
                <w:rFonts w:cs="Arial"/>
                <w:b/>
                <w:bCs/>
                <w:color w:val="000000"/>
                <w:sz w:val="18"/>
                <w:szCs w:val="18"/>
                <w:lang w:eastAsia="es-UY"/>
              </w:rPr>
              <w:t>Proyectado</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b/>
                <w:bCs/>
                <w:color w:val="000000"/>
                <w:sz w:val="18"/>
                <w:szCs w:val="18"/>
                <w:lang w:eastAsia="es-UY"/>
              </w:rPr>
            </w:pPr>
            <w:r w:rsidRPr="000D7E82">
              <w:rPr>
                <w:rFonts w:cs="Arial"/>
                <w:b/>
                <w:bCs/>
                <w:color w:val="000000"/>
                <w:sz w:val="18"/>
                <w:szCs w:val="18"/>
                <w:lang w:eastAsia="es-UY"/>
              </w:rPr>
              <w:t>Proyectado</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b/>
                <w:bCs/>
                <w:color w:val="000000"/>
                <w:sz w:val="18"/>
                <w:szCs w:val="18"/>
                <w:lang w:eastAsia="es-UY"/>
              </w:rPr>
            </w:pPr>
            <w:r w:rsidRPr="000D7E82">
              <w:rPr>
                <w:rFonts w:cs="Arial"/>
                <w:b/>
                <w:bCs/>
                <w:color w:val="000000"/>
                <w:sz w:val="18"/>
                <w:szCs w:val="18"/>
                <w:lang w:eastAsia="es-UY"/>
              </w:rPr>
              <w:t>Proyectado</w:t>
            </w:r>
          </w:p>
        </w:tc>
      </w:tr>
      <w:tr w:rsidR="00977F25" w:rsidRPr="000D7E82" w:rsidTr="00CA716C">
        <w:trPr>
          <w:trHeight w:val="300"/>
        </w:trPr>
        <w:tc>
          <w:tcPr>
            <w:tcW w:w="292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b/>
                <w:bCs/>
                <w:color w:val="000000"/>
                <w:sz w:val="18"/>
                <w:szCs w:val="18"/>
                <w:lang w:eastAsia="es-UY"/>
              </w:rPr>
            </w:pPr>
            <w:r w:rsidRPr="000D7E82">
              <w:rPr>
                <w:rFonts w:cs="Arial"/>
                <w:b/>
                <w:bCs/>
                <w:color w:val="000000"/>
                <w:sz w:val="18"/>
                <w:szCs w:val="18"/>
                <w:lang w:eastAsia="es-UY"/>
              </w:rPr>
              <w:t>Grupo</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b/>
                <w:bCs/>
                <w:color w:val="000000"/>
                <w:sz w:val="18"/>
                <w:szCs w:val="18"/>
                <w:lang w:eastAsia="es-UY"/>
              </w:rPr>
            </w:pPr>
            <w:r w:rsidRPr="000D7E82">
              <w:rPr>
                <w:rFonts w:cs="Arial"/>
                <w:b/>
                <w:bCs/>
                <w:color w:val="000000"/>
                <w:sz w:val="18"/>
                <w:szCs w:val="18"/>
                <w:lang w:eastAsia="es-UY"/>
              </w:rPr>
              <w:t>2016</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b/>
                <w:bCs/>
                <w:color w:val="000000"/>
                <w:sz w:val="18"/>
                <w:szCs w:val="18"/>
                <w:lang w:eastAsia="es-UY"/>
              </w:rPr>
            </w:pPr>
            <w:r w:rsidRPr="000D7E82">
              <w:rPr>
                <w:rFonts w:cs="Arial"/>
                <w:b/>
                <w:bCs/>
                <w:color w:val="000000"/>
                <w:sz w:val="18"/>
                <w:szCs w:val="18"/>
                <w:lang w:eastAsia="es-UY"/>
              </w:rPr>
              <w:t>2017</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b/>
                <w:bCs/>
                <w:color w:val="000000"/>
                <w:sz w:val="18"/>
                <w:szCs w:val="18"/>
                <w:lang w:eastAsia="es-UY"/>
              </w:rPr>
            </w:pPr>
            <w:r w:rsidRPr="000D7E82">
              <w:rPr>
                <w:rFonts w:cs="Arial"/>
                <w:b/>
                <w:bCs/>
                <w:color w:val="000000"/>
                <w:sz w:val="18"/>
                <w:szCs w:val="18"/>
                <w:lang w:eastAsia="es-UY"/>
              </w:rPr>
              <w:t>2018</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b/>
                <w:bCs/>
                <w:color w:val="000000"/>
                <w:sz w:val="18"/>
                <w:szCs w:val="18"/>
                <w:lang w:eastAsia="es-UY"/>
              </w:rPr>
            </w:pPr>
            <w:r w:rsidRPr="000D7E82">
              <w:rPr>
                <w:rFonts w:cs="Arial"/>
                <w:b/>
                <w:bCs/>
                <w:color w:val="000000"/>
                <w:sz w:val="18"/>
                <w:szCs w:val="18"/>
                <w:lang w:eastAsia="es-UY"/>
              </w:rPr>
              <w:t>2019</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b/>
                <w:bCs/>
                <w:color w:val="000000"/>
                <w:sz w:val="18"/>
                <w:szCs w:val="18"/>
                <w:lang w:eastAsia="es-UY"/>
              </w:rPr>
            </w:pPr>
            <w:r w:rsidRPr="000D7E82">
              <w:rPr>
                <w:rFonts w:cs="Arial"/>
                <w:b/>
                <w:bCs/>
                <w:color w:val="000000"/>
                <w:sz w:val="18"/>
                <w:szCs w:val="18"/>
                <w:lang w:eastAsia="es-UY"/>
              </w:rPr>
              <w:t>2020</w:t>
            </w:r>
          </w:p>
        </w:tc>
      </w:tr>
      <w:tr w:rsidR="00977F25" w:rsidRPr="000D7E82" w:rsidTr="00CA716C">
        <w:trPr>
          <w:trHeight w:val="300"/>
        </w:trPr>
        <w:tc>
          <w:tcPr>
            <w:tcW w:w="2920" w:type="dxa"/>
            <w:tcBorders>
              <w:top w:val="nil"/>
              <w:left w:val="nil"/>
              <w:bottom w:val="nil"/>
              <w:right w:val="nil"/>
            </w:tcBorders>
            <w:shd w:val="clear" w:color="auto" w:fill="auto"/>
            <w:noWrap/>
            <w:vAlign w:val="center"/>
            <w:hideMark/>
          </w:tcPr>
          <w:p w:rsidR="00977F25" w:rsidRPr="000D7E82" w:rsidRDefault="00977F25" w:rsidP="00CA716C">
            <w:pPr>
              <w:rPr>
                <w:rFonts w:cs="Arial"/>
                <w:color w:val="000000"/>
                <w:sz w:val="18"/>
                <w:szCs w:val="18"/>
                <w:lang w:eastAsia="es-UY"/>
              </w:rPr>
            </w:pPr>
            <w:r w:rsidRPr="000D7E82">
              <w:rPr>
                <w:rFonts w:cs="Arial"/>
                <w:color w:val="000000"/>
                <w:sz w:val="18"/>
                <w:szCs w:val="18"/>
                <w:lang w:eastAsia="es-UY"/>
              </w:rPr>
              <w:t>0 - "Servicios Personales"</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33.982.000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37.480.000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41.377.000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45.665.000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50.355.000 </w:t>
            </w:r>
          </w:p>
        </w:tc>
      </w:tr>
      <w:tr w:rsidR="00977F25" w:rsidRPr="000D7E82" w:rsidTr="00CA716C">
        <w:trPr>
          <w:trHeight w:val="300"/>
        </w:trPr>
        <w:tc>
          <w:tcPr>
            <w:tcW w:w="2920" w:type="dxa"/>
            <w:tcBorders>
              <w:top w:val="nil"/>
              <w:left w:val="nil"/>
              <w:bottom w:val="nil"/>
              <w:right w:val="nil"/>
            </w:tcBorders>
            <w:shd w:val="clear" w:color="auto" w:fill="auto"/>
            <w:noWrap/>
            <w:vAlign w:val="center"/>
            <w:hideMark/>
          </w:tcPr>
          <w:p w:rsidR="00977F25" w:rsidRPr="000D7E82" w:rsidRDefault="00977F25" w:rsidP="00CA716C">
            <w:pPr>
              <w:rPr>
                <w:rFonts w:cs="Arial"/>
                <w:color w:val="000000"/>
                <w:sz w:val="18"/>
                <w:szCs w:val="18"/>
                <w:lang w:eastAsia="es-UY"/>
              </w:rPr>
            </w:pPr>
            <w:r w:rsidRPr="000D7E82">
              <w:rPr>
                <w:rFonts w:cs="Arial"/>
                <w:color w:val="000000"/>
                <w:sz w:val="18"/>
                <w:szCs w:val="18"/>
                <w:lang w:eastAsia="es-UY"/>
              </w:rPr>
              <w:t>1 - "Bienes de Consumo"</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3.232.000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3.442.000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3.788.000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4.169.000 </w:t>
            </w:r>
          </w:p>
        </w:tc>
        <w:tc>
          <w:tcPr>
            <w:tcW w:w="1200" w:type="dxa"/>
            <w:tcBorders>
              <w:top w:val="nil"/>
              <w:left w:val="nil"/>
              <w:bottom w:val="nil"/>
              <w:right w:val="nil"/>
            </w:tcBorders>
            <w:shd w:val="clear" w:color="auto" w:fill="auto"/>
            <w:noWrap/>
            <w:vAlign w:val="bottom"/>
            <w:hideMark/>
          </w:tcPr>
          <w:p w:rsidR="00977F25" w:rsidRPr="000D7E82" w:rsidRDefault="00977F25" w:rsidP="00CA716C">
            <w:pPr>
              <w:rPr>
                <w:rFonts w:cs="Arial"/>
                <w:color w:val="000000"/>
                <w:sz w:val="18"/>
                <w:szCs w:val="18"/>
                <w:lang w:eastAsia="es-UY"/>
              </w:rPr>
            </w:pPr>
            <w:r w:rsidRPr="000D7E82">
              <w:rPr>
                <w:rFonts w:cs="Arial"/>
                <w:color w:val="000000"/>
                <w:sz w:val="18"/>
                <w:szCs w:val="18"/>
                <w:lang w:eastAsia="es-UY"/>
              </w:rPr>
              <w:t xml:space="preserve">     4.629.000 </w:t>
            </w:r>
          </w:p>
        </w:tc>
      </w:tr>
      <w:tr w:rsidR="00977F25" w:rsidRPr="000D7E82" w:rsidTr="00CA716C">
        <w:trPr>
          <w:trHeight w:val="300"/>
        </w:trPr>
        <w:tc>
          <w:tcPr>
            <w:tcW w:w="2920" w:type="dxa"/>
            <w:tcBorders>
              <w:top w:val="nil"/>
              <w:left w:val="nil"/>
              <w:bottom w:val="nil"/>
              <w:right w:val="nil"/>
            </w:tcBorders>
            <w:shd w:val="clear" w:color="auto" w:fill="auto"/>
            <w:noWrap/>
            <w:vAlign w:val="center"/>
            <w:hideMark/>
          </w:tcPr>
          <w:p w:rsidR="00977F25" w:rsidRPr="000D7E82" w:rsidRDefault="00977F25" w:rsidP="00CA716C">
            <w:pPr>
              <w:rPr>
                <w:rFonts w:cs="Arial"/>
                <w:color w:val="000000"/>
                <w:sz w:val="18"/>
                <w:szCs w:val="18"/>
                <w:lang w:eastAsia="es-UY"/>
              </w:rPr>
            </w:pPr>
            <w:r w:rsidRPr="000D7E82">
              <w:rPr>
                <w:rFonts w:cs="Arial"/>
                <w:color w:val="000000"/>
                <w:sz w:val="18"/>
                <w:szCs w:val="18"/>
                <w:lang w:eastAsia="es-UY"/>
              </w:rPr>
              <w:t>2 - "Servicios No Personales"</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17.756.000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19.534.000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21.488.000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23.639.000 </w:t>
            </w:r>
          </w:p>
        </w:tc>
        <w:tc>
          <w:tcPr>
            <w:tcW w:w="1200" w:type="dxa"/>
            <w:tcBorders>
              <w:top w:val="nil"/>
              <w:left w:val="nil"/>
              <w:bottom w:val="nil"/>
              <w:right w:val="nil"/>
            </w:tcBorders>
            <w:shd w:val="clear" w:color="auto" w:fill="auto"/>
            <w:noWrap/>
            <w:vAlign w:val="bottom"/>
            <w:hideMark/>
          </w:tcPr>
          <w:p w:rsidR="00977F25" w:rsidRPr="000D7E82" w:rsidRDefault="00977F25" w:rsidP="00CA716C">
            <w:pPr>
              <w:rPr>
                <w:rFonts w:cs="Arial"/>
                <w:color w:val="000000"/>
                <w:sz w:val="18"/>
                <w:szCs w:val="18"/>
                <w:lang w:eastAsia="es-UY"/>
              </w:rPr>
            </w:pPr>
            <w:r w:rsidRPr="000D7E82">
              <w:rPr>
                <w:rFonts w:cs="Arial"/>
                <w:color w:val="000000"/>
                <w:sz w:val="18"/>
                <w:szCs w:val="18"/>
                <w:lang w:eastAsia="es-UY"/>
              </w:rPr>
              <w:t xml:space="preserve">  26.003.000 </w:t>
            </w:r>
          </w:p>
        </w:tc>
      </w:tr>
      <w:tr w:rsidR="00977F25" w:rsidRPr="000D7E82" w:rsidTr="00CA716C">
        <w:trPr>
          <w:trHeight w:val="300"/>
        </w:trPr>
        <w:tc>
          <w:tcPr>
            <w:tcW w:w="2920" w:type="dxa"/>
            <w:tcBorders>
              <w:top w:val="nil"/>
              <w:left w:val="nil"/>
              <w:bottom w:val="nil"/>
              <w:right w:val="nil"/>
            </w:tcBorders>
            <w:shd w:val="clear" w:color="auto" w:fill="auto"/>
            <w:noWrap/>
            <w:vAlign w:val="center"/>
            <w:hideMark/>
          </w:tcPr>
          <w:p w:rsidR="00977F25" w:rsidRPr="000D7E82" w:rsidRDefault="00977F25" w:rsidP="00CA716C">
            <w:pPr>
              <w:rPr>
                <w:rFonts w:cs="Arial"/>
                <w:color w:val="000000"/>
                <w:sz w:val="18"/>
                <w:szCs w:val="18"/>
                <w:lang w:eastAsia="es-UY"/>
              </w:rPr>
            </w:pPr>
            <w:r w:rsidRPr="000D7E82">
              <w:rPr>
                <w:rFonts w:cs="Arial"/>
                <w:color w:val="000000"/>
                <w:sz w:val="18"/>
                <w:szCs w:val="18"/>
                <w:lang w:eastAsia="es-UY"/>
              </w:rPr>
              <w:t xml:space="preserve">3 - "Bienes de Uso"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3.596.000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1.931.000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2.950.000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2.334.000 </w:t>
            </w:r>
          </w:p>
        </w:tc>
        <w:tc>
          <w:tcPr>
            <w:tcW w:w="1200" w:type="dxa"/>
            <w:tcBorders>
              <w:top w:val="nil"/>
              <w:left w:val="nil"/>
              <w:bottom w:val="nil"/>
              <w:right w:val="nil"/>
            </w:tcBorders>
            <w:shd w:val="clear" w:color="auto" w:fill="auto"/>
            <w:noWrap/>
            <w:vAlign w:val="bottom"/>
            <w:hideMark/>
          </w:tcPr>
          <w:p w:rsidR="00977F25" w:rsidRPr="000D7E82" w:rsidRDefault="00977F25" w:rsidP="00CA716C">
            <w:pPr>
              <w:rPr>
                <w:rFonts w:cs="Arial"/>
                <w:color w:val="000000"/>
                <w:sz w:val="18"/>
                <w:szCs w:val="18"/>
                <w:lang w:eastAsia="es-UY"/>
              </w:rPr>
            </w:pPr>
            <w:r w:rsidRPr="000D7E82">
              <w:rPr>
                <w:rFonts w:cs="Arial"/>
                <w:color w:val="000000"/>
                <w:sz w:val="18"/>
                <w:szCs w:val="18"/>
                <w:lang w:eastAsia="es-UY"/>
              </w:rPr>
              <w:t xml:space="preserve">     3.434.000 </w:t>
            </w:r>
          </w:p>
        </w:tc>
      </w:tr>
      <w:tr w:rsidR="00977F25" w:rsidRPr="000D7E82" w:rsidTr="00CA716C">
        <w:trPr>
          <w:trHeight w:val="300"/>
        </w:trPr>
        <w:tc>
          <w:tcPr>
            <w:tcW w:w="2920" w:type="dxa"/>
            <w:tcBorders>
              <w:top w:val="nil"/>
              <w:left w:val="nil"/>
              <w:bottom w:val="nil"/>
              <w:right w:val="nil"/>
            </w:tcBorders>
            <w:shd w:val="clear" w:color="auto" w:fill="auto"/>
            <w:noWrap/>
            <w:vAlign w:val="center"/>
            <w:hideMark/>
          </w:tcPr>
          <w:p w:rsidR="00977F25" w:rsidRPr="000D7E82" w:rsidRDefault="00977F25" w:rsidP="00CA716C">
            <w:pPr>
              <w:rPr>
                <w:rFonts w:cs="Arial"/>
                <w:color w:val="000000"/>
                <w:sz w:val="18"/>
                <w:szCs w:val="18"/>
                <w:lang w:eastAsia="es-UY"/>
              </w:rPr>
            </w:pPr>
            <w:r w:rsidRPr="000D7E82">
              <w:rPr>
                <w:rFonts w:cs="Arial"/>
                <w:color w:val="000000"/>
                <w:sz w:val="18"/>
                <w:szCs w:val="18"/>
                <w:lang w:eastAsia="es-UY"/>
              </w:rPr>
              <w:t>5 - "Transferencias"</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106.000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111.000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118.000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141.000 </w:t>
            </w:r>
          </w:p>
        </w:tc>
        <w:tc>
          <w:tcPr>
            <w:tcW w:w="1200" w:type="dxa"/>
            <w:tcBorders>
              <w:top w:val="nil"/>
              <w:left w:val="nil"/>
              <w:bottom w:val="nil"/>
              <w:right w:val="nil"/>
            </w:tcBorders>
            <w:shd w:val="clear" w:color="auto" w:fill="auto"/>
            <w:noWrap/>
            <w:vAlign w:val="bottom"/>
            <w:hideMark/>
          </w:tcPr>
          <w:p w:rsidR="00977F25" w:rsidRPr="000D7E82" w:rsidRDefault="00977F25" w:rsidP="00CA716C">
            <w:pPr>
              <w:rPr>
                <w:rFonts w:cs="Arial"/>
                <w:color w:val="000000"/>
                <w:sz w:val="18"/>
                <w:szCs w:val="18"/>
                <w:lang w:eastAsia="es-UY"/>
              </w:rPr>
            </w:pPr>
            <w:r w:rsidRPr="000D7E82">
              <w:rPr>
                <w:rFonts w:cs="Arial"/>
                <w:color w:val="000000"/>
                <w:sz w:val="18"/>
                <w:szCs w:val="18"/>
                <w:lang w:eastAsia="es-UY"/>
              </w:rPr>
              <w:t xml:space="preserve">        141.000 </w:t>
            </w:r>
          </w:p>
        </w:tc>
      </w:tr>
      <w:tr w:rsidR="00977F25" w:rsidRPr="000D7E82" w:rsidTr="00CA716C">
        <w:trPr>
          <w:trHeight w:val="315"/>
        </w:trPr>
        <w:tc>
          <w:tcPr>
            <w:tcW w:w="2920" w:type="dxa"/>
            <w:tcBorders>
              <w:top w:val="nil"/>
              <w:left w:val="nil"/>
              <w:bottom w:val="nil"/>
              <w:right w:val="nil"/>
            </w:tcBorders>
            <w:shd w:val="clear" w:color="auto" w:fill="auto"/>
            <w:noWrap/>
            <w:vAlign w:val="center"/>
            <w:hideMark/>
          </w:tcPr>
          <w:p w:rsidR="00977F25" w:rsidRPr="000D7E82" w:rsidRDefault="00977F25" w:rsidP="00CA716C">
            <w:pPr>
              <w:rPr>
                <w:rFonts w:cs="Arial"/>
                <w:color w:val="000000"/>
                <w:sz w:val="18"/>
                <w:szCs w:val="18"/>
                <w:lang w:eastAsia="es-UY"/>
              </w:rPr>
            </w:pPr>
            <w:r w:rsidRPr="000D7E82">
              <w:rPr>
                <w:rFonts w:cs="Arial"/>
                <w:color w:val="000000"/>
                <w:sz w:val="18"/>
                <w:szCs w:val="18"/>
                <w:lang w:eastAsia="es-UY"/>
              </w:rPr>
              <w:t>7 - "Gastos no clasificados"</w:t>
            </w:r>
          </w:p>
        </w:tc>
        <w:tc>
          <w:tcPr>
            <w:tcW w:w="1200" w:type="dxa"/>
            <w:tcBorders>
              <w:top w:val="nil"/>
              <w:left w:val="nil"/>
              <w:bottom w:val="single" w:sz="8" w:space="0" w:color="auto"/>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1.100.000 </w:t>
            </w:r>
          </w:p>
        </w:tc>
        <w:tc>
          <w:tcPr>
            <w:tcW w:w="1200" w:type="dxa"/>
            <w:tcBorders>
              <w:top w:val="nil"/>
              <w:left w:val="nil"/>
              <w:bottom w:val="single" w:sz="8" w:space="0" w:color="auto"/>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1.210.000 </w:t>
            </w:r>
          </w:p>
        </w:tc>
        <w:tc>
          <w:tcPr>
            <w:tcW w:w="1200" w:type="dxa"/>
            <w:tcBorders>
              <w:top w:val="nil"/>
              <w:left w:val="nil"/>
              <w:bottom w:val="single" w:sz="8" w:space="0" w:color="auto"/>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1.331.000 </w:t>
            </w:r>
          </w:p>
        </w:tc>
        <w:tc>
          <w:tcPr>
            <w:tcW w:w="1200" w:type="dxa"/>
            <w:tcBorders>
              <w:top w:val="nil"/>
              <w:left w:val="nil"/>
              <w:bottom w:val="single" w:sz="8" w:space="0" w:color="auto"/>
              <w:right w:val="nil"/>
            </w:tcBorders>
            <w:shd w:val="clear" w:color="auto" w:fill="auto"/>
            <w:noWrap/>
            <w:vAlign w:val="center"/>
            <w:hideMark/>
          </w:tcPr>
          <w:p w:rsidR="00977F25" w:rsidRPr="000D7E82" w:rsidRDefault="00977F25" w:rsidP="00CA716C">
            <w:pPr>
              <w:jc w:val="right"/>
              <w:rPr>
                <w:rFonts w:cs="Arial"/>
                <w:color w:val="000000"/>
                <w:sz w:val="18"/>
                <w:szCs w:val="18"/>
                <w:lang w:eastAsia="es-UY"/>
              </w:rPr>
            </w:pPr>
            <w:r w:rsidRPr="000D7E82">
              <w:rPr>
                <w:rFonts w:cs="Arial"/>
                <w:color w:val="000000"/>
                <w:sz w:val="18"/>
                <w:szCs w:val="18"/>
                <w:lang w:eastAsia="es-UY"/>
              </w:rPr>
              <w:t xml:space="preserve">   1.464.000 </w:t>
            </w:r>
          </w:p>
        </w:tc>
        <w:tc>
          <w:tcPr>
            <w:tcW w:w="1200" w:type="dxa"/>
            <w:tcBorders>
              <w:top w:val="nil"/>
              <w:left w:val="nil"/>
              <w:bottom w:val="single" w:sz="8" w:space="0" w:color="auto"/>
              <w:right w:val="nil"/>
            </w:tcBorders>
            <w:shd w:val="clear" w:color="auto" w:fill="auto"/>
            <w:noWrap/>
            <w:vAlign w:val="bottom"/>
            <w:hideMark/>
          </w:tcPr>
          <w:p w:rsidR="00977F25" w:rsidRPr="000D7E82" w:rsidRDefault="00977F25" w:rsidP="00CA716C">
            <w:pPr>
              <w:rPr>
                <w:rFonts w:cs="Arial"/>
                <w:color w:val="000000"/>
                <w:sz w:val="18"/>
                <w:szCs w:val="18"/>
                <w:lang w:eastAsia="es-UY"/>
              </w:rPr>
            </w:pPr>
            <w:r w:rsidRPr="000D7E82">
              <w:rPr>
                <w:rFonts w:cs="Arial"/>
                <w:color w:val="000000"/>
                <w:sz w:val="18"/>
                <w:szCs w:val="18"/>
                <w:lang w:eastAsia="es-UY"/>
              </w:rPr>
              <w:t xml:space="preserve">     1.610.000 </w:t>
            </w:r>
          </w:p>
        </w:tc>
      </w:tr>
      <w:tr w:rsidR="00977F25" w:rsidRPr="000D7E82" w:rsidTr="00CA716C">
        <w:trPr>
          <w:trHeight w:val="300"/>
        </w:trPr>
        <w:tc>
          <w:tcPr>
            <w:tcW w:w="2920" w:type="dxa"/>
            <w:tcBorders>
              <w:top w:val="nil"/>
              <w:left w:val="nil"/>
              <w:bottom w:val="nil"/>
              <w:right w:val="nil"/>
            </w:tcBorders>
            <w:shd w:val="clear" w:color="auto" w:fill="auto"/>
            <w:noWrap/>
            <w:vAlign w:val="center"/>
            <w:hideMark/>
          </w:tcPr>
          <w:p w:rsidR="00977F25" w:rsidRPr="000D7E82" w:rsidRDefault="00977F25" w:rsidP="00CA716C">
            <w:pPr>
              <w:jc w:val="center"/>
              <w:rPr>
                <w:rFonts w:cs="Arial"/>
                <w:color w:val="000000"/>
                <w:sz w:val="18"/>
                <w:szCs w:val="18"/>
                <w:lang w:eastAsia="es-UY"/>
              </w:rPr>
            </w:pPr>
            <w:r w:rsidRPr="000D7E82">
              <w:rPr>
                <w:rFonts w:cs="Arial"/>
                <w:color w:val="000000"/>
                <w:sz w:val="18"/>
                <w:szCs w:val="18"/>
                <w:lang w:eastAsia="es-UY"/>
              </w:rPr>
              <w:t>Totales</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u w:val="double"/>
                <w:lang w:eastAsia="es-UY"/>
              </w:rPr>
            </w:pPr>
            <w:r w:rsidRPr="000D7E82">
              <w:rPr>
                <w:rFonts w:cs="Arial"/>
                <w:color w:val="000000"/>
                <w:sz w:val="18"/>
                <w:szCs w:val="18"/>
                <w:u w:val="double"/>
                <w:lang w:eastAsia="es-UY"/>
              </w:rPr>
              <w:t xml:space="preserve"> 59.772.000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u w:val="double"/>
                <w:lang w:eastAsia="es-UY"/>
              </w:rPr>
            </w:pPr>
            <w:r w:rsidRPr="000D7E82">
              <w:rPr>
                <w:rFonts w:cs="Arial"/>
                <w:color w:val="000000"/>
                <w:sz w:val="18"/>
                <w:szCs w:val="18"/>
                <w:u w:val="double"/>
                <w:lang w:eastAsia="es-UY"/>
              </w:rPr>
              <w:t xml:space="preserve"> 63.708.000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u w:val="double"/>
                <w:lang w:eastAsia="es-UY"/>
              </w:rPr>
            </w:pPr>
            <w:r w:rsidRPr="000D7E82">
              <w:rPr>
                <w:rFonts w:cs="Arial"/>
                <w:color w:val="000000"/>
                <w:sz w:val="18"/>
                <w:szCs w:val="18"/>
                <w:u w:val="double"/>
                <w:lang w:eastAsia="es-UY"/>
              </w:rPr>
              <w:t xml:space="preserve"> 71.052.000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u w:val="double"/>
                <w:lang w:eastAsia="es-UY"/>
              </w:rPr>
            </w:pPr>
            <w:r w:rsidRPr="000D7E82">
              <w:rPr>
                <w:rFonts w:cs="Arial"/>
                <w:color w:val="000000"/>
                <w:sz w:val="18"/>
                <w:szCs w:val="18"/>
                <w:u w:val="double"/>
                <w:lang w:eastAsia="es-UY"/>
              </w:rPr>
              <w:t xml:space="preserve"> 77.412.000 </w:t>
            </w:r>
          </w:p>
        </w:tc>
        <w:tc>
          <w:tcPr>
            <w:tcW w:w="1200" w:type="dxa"/>
            <w:tcBorders>
              <w:top w:val="nil"/>
              <w:left w:val="nil"/>
              <w:bottom w:val="nil"/>
              <w:right w:val="nil"/>
            </w:tcBorders>
            <w:shd w:val="clear" w:color="auto" w:fill="auto"/>
            <w:noWrap/>
            <w:vAlign w:val="center"/>
            <w:hideMark/>
          </w:tcPr>
          <w:p w:rsidR="00977F25" w:rsidRPr="000D7E82" w:rsidRDefault="00977F25" w:rsidP="00CA716C">
            <w:pPr>
              <w:jc w:val="right"/>
              <w:rPr>
                <w:rFonts w:cs="Arial"/>
                <w:color w:val="000000"/>
                <w:sz w:val="18"/>
                <w:szCs w:val="18"/>
                <w:u w:val="double"/>
                <w:lang w:eastAsia="es-UY"/>
              </w:rPr>
            </w:pPr>
            <w:r w:rsidRPr="000D7E82">
              <w:rPr>
                <w:rFonts w:cs="Arial"/>
                <w:color w:val="000000"/>
                <w:sz w:val="18"/>
                <w:szCs w:val="18"/>
                <w:u w:val="double"/>
                <w:lang w:eastAsia="es-UY"/>
              </w:rPr>
              <w:t xml:space="preserve"> 86.172.000 </w:t>
            </w:r>
          </w:p>
        </w:tc>
      </w:tr>
    </w:tbl>
    <w:p w:rsidR="00977F25" w:rsidRDefault="00977F25" w:rsidP="00CA716C">
      <w:pPr>
        <w:spacing w:line="360" w:lineRule="auto"/>
        <w:jc w:val="both"/>
        <w:rPr>
          <w:rFonts w:cs="Arial"/>
        </w:rPr>
      </w:pPr>
      <w:r w:rsidRPr="005935E8">
        <w:rPr>
          <w:b/>
        </w:rPr>
        <w:t>2.2)</w:t>
      </w:r>
      <w:r w:rsidRPr="00B6409A">
        <w:t xml:space="preserve">  </w:t>
      </w:r>
      <w:r w:rsidRPr="00B6409A">
        <w:rPr>
          <w:rFonts w:cs="Arial"/>
        </w:rPr>
        <w:t xml:space="preserve">En el  escalafón Especializado, se </w:t>
      </w:r>
      <w:r>
        <w:rPr>
          <w:rFonts w:cs="Arial"/>
        </w:rPr>
        <w:t>incluye</w:t>
      </w:r>
      <w:r w:rsidRPr="00B6409A">
        <w:rPr>
          <w:rFonts w:cs="Arial"/>
        </w:rPr>
        <w:t xml:space="preserve"> un cargo de Revisor y en el escalafón Administrativo,  dos cargos de Director de Departamento, un Jefe de Área II, un Administrativo I</w:t>
      </w:r>
      <w:r>
        <w:rPr>
          <w:rFonts w:cs="Arial"/>
        </w:rPr>
        <w:t>,</w:t>
      </w:r>
      <w:r w:rsidRPr="00B6409A">
        <w:rPr>
          <w:rFonts w:cs="Arial"/>
        </w:rPr>
        <w:t xml:space="preserve"> dos Administrativos II</w:t>
      </w:r>
      <w:r>
        <w:rPr>
          <w:rFonts w:cs="Arial"/>
        </w:rPr>
        <w:t xml:space="preserve"> y un Administrativo III</w:t>
      </w:r>
      <w:r w:rsidRPr="00B6409A">
        <w:rPr>
          <w:rFonts w:cs="Arial"/>
        </w:rPr>
        <w:t>. Estos cargos</w:t>
      </w:r>
      <w:r>
        <w:rPr>
          <w:rFonts w:cs="Arial"/>
        </w:rPr>
        <w:t>, si bien</w:t>
      </w:r>
      <w:r w:rsidRPr="00B6409A">
        <w:rPr>
          <w:rFonts w:cs="Arial"/>
        </w:rPr>
        <w:t xml:space="preserve"> no fueron suprimidos en la normativa aprobada</w:t>
      </w:r>
      <w:r>
        <w:rPr>
          <w:rFonts w:cs="Arial"/>
        </w:rPr>
        <w:t>, no</w:t>
      </w:r>
      <w:r w:rsidRPr="00B6409A">
        <w:rPr>
          <w:rFonts w:cs="Arial"/>
        </w:rPr>
        <w:t xml:space="preserve"> se consideraron a los efectos del cálculo de los objetos </w:t>
      </w:r>
      <w:r>
        <w:rPr>
          <w:rFonts w:cs="Arial"/>
        </w:rPr>
        <w:t>de gastos correspondientes, presentándose sin sueldo. Por consiguiente, la asignación presupuestal resulta insuficiente para atender el pago de la totalidad de los cargos existentes.</w:t>
      </w:r>
    </w:p>
    <w:p w:rsidR="00CA716C" w:rsidRPr="00B6409A" w:rsidRDefault="00CA716C" w:rsidP="00CA716C">
      <w:pPr>
        <w:spacing w:line="360" w:lineRule="auto"/>
        <w:jc w:val="both"/>
        <w:rPr>
          <w:rFonts w:cs="Arial"/>
        </w:rPr>
      </w:pPr>
    </w:p>
    <w:p w:rsidR="00977F25" w:rsidRDefault="00977F25" w:rsidP="00CA716C">
      <w:pPr>
        <w:pStyle w:val="Textoindependiente"/>
        <w:rPr>
          <w:rFonts w:cs="Arial"/>
          <w:b/>
        </w:rPr>
      </w:pPr>
      <w:r>
        <w:rPr>
          <w:rFonts w:cs="Arial"/>
          <w:b/>
        </w:rPr>
        <w:t>3) Cumplimiento de normas constitucio</w:t>
      </w:r>
      <w:r w:rsidR="00391BFF">
        <w:rPr>
          <w:rFonts w:cs="Arial"/>
          <w:b/>
        </w:rPr>
        <w:t>nales, legales y reglamentarias</w:t>
      </w:r>
    </w:p>
    <w:p w:rsidR="00391BFF" w:rsidRDefault="00391BFF" w:rsidP="00CA716C">
      <w:pPr>
        <w:pStyle w:val="Textoindependiente"/>
        <w:rPr>
          <w:rFonts w:cs="Arial"/>
          <w:b/>
        </w:rPr>
      </w:pPr>
    </w:p>
    <w:p w:rsidR="00977F25" w:rsidRPr="00E768B3" w:rsidRDefault="00977F25" w:rsidP="00CA716C">
      <w:pPr>
        <w:pStyle w:val="Sangradetextonormal"/>
        <w:ind w:firstLine="0"/>
        <w:rPr>
          <w:rFonts w:ascii="Arial" w:hAnsi="Arial" w:cs="Arial"/>
        </w:rPr>
      </w:pPr>
      <w:r w:rsidRPr="005935E8">
        <w:rPr>
          <w:rFonts w:ascii="Arial" w:hAnsi="Arial" w:cs="Arial"/>
          <w:b/>
          <w:lang w:val="es-ES"/>
        </w:rPr>
        <w:t>3</w:t>
      </w:r>
      <w:r w:rsidRPr="005935E8">
        <w:rPr>
          <w:rFonts w:ascii="Arial" w:hAnsi="Arial" w:cs="Arial"/>
          <w:b/>
        </w:rPr>
        <w:t>.1)</w:t>
      </w:r>
      <w:r w:rsidRPr="00E768B3">
        <w:rPr>
          <w:rFonts w:ascii="Arial" w:hAnsi="Arial" w:cs="Arial"/>
        </w:rPr>
        <w:t xml:space="preserve"> Se ha dado cumplimiento a las disposiciones constitucionales vigentes con relación a plazos y mayorías (Artículos 225 y 273 N</w:t>
      </w:r>
      <w:r>
        <w:rPr>
          <w:rFonts w:ascii="Arial" w:hAnsi="Arial" w:cs="Arial"/>
        </w:rPr>
        <w:t xml:space="preserve">umeral </w:t>
      </w:r>
      <w:r w:rsidRPr="00E768B3">
        <w:rPr>
          <w:rFonts w:ascii="Arial" w:hAnsi="Arial" w:cs="Arial"/>
        </w:rPr>
        <w:t xml:space="preserve"> 6</w:t>
      </w:r>
      <w:r>
        <w:rPr>
          <w:rFonts w:ascii="Arial" w:hAnsi="Arial" w:cs="Arial"/>
        </w:rPr>
        <w:t xml:space="preserve">) </w:t>
      </w:r>
      <w:r w:rsidRPr="00E768B3">
        <w:rPr>
          <w:rFonts w:ascii="Arial" w:hAnsi="Arial" w:cs="Arial"/>
        </w:rPr>
        <w:t xml:space="preserve">de la Constitución </w:t>
      </w:r>
      <w:r>
        <w:rPr>
          <w:rFonts w:ascii="Arial" w:hAnsi="Arial" w:cs="Arial"/>
        </w:rPr>
        <w:t xml:space="preserve">de la República </w:t>
      </w:r>
      <w:r w:rsidRPr="00E768B3">
        <w:rPr>
          <w:rFonts w:ascii="Arial" w:hAnsi="Arial" w:cs="Arial"/>
        </w:rPr>
        <w:t>y 483 de la Ley Nº 17.296)</w:t>
      </w:r>
      <w:r w:rsidR="00EF296E">
        <w:rPr>
          <w:rFonts w:ascii="Arial" w:hAnsi="Arial" w:cs="Arial"/>
        </w:rPr>
        <w:t>.</w:t>
      </w:r>
    </w:p>
    <w:p w:rsidR="00977F25" w:rsidRPr="00E768B3" w:rsidRDefault="00977F25" w:rsidP="00CA716C">
      <w:pPr>
        <w:pStyle w:val="Sangradetextonormal"/>
        <w:ind w:firstLine="0"/>
        <w:rPr>
          <w:rFonts w:ascii="Arial" w:hAnsi="Arial" w:cs="Arial"/>
        </w:rPr>
      </w:pPr>
      <w:r w:rsidRPr="005935E8">
        <w:rPr>
          <w:rFonts w:ascii="Arial" w:hAnsi="Arial" w:cs="Arial"/>
          <w:b/>
        </w:rPr>
        <w:t>3.2)</w:t>
      </w:r>
      <w:r>
        <w:rPr>
          <w:rFonts w:ascii="Arial" w:hAnsi="Arial" w:cs="Arial"/>
        </w:rPr>
        <w:t xml:space="preserve"> L</w:t>
      </w:r>
      <w:r w:rsidRPr="00E768B3">
        <w:rPr>
          <w:rFonts w:ascii="Arial" w:hAnsi="Arial" w:cs="Arial"/>
        </w:rPr>
        <w:t>a facultad otorgada a la Junt</w:t>
      </w:r>
      <w:r>
        <w:rPr>
          <w:rFonts w:ascii="Arial" w:hAnsi="Arial" w:cs="Arial"/>
        </w:rPr>
        <w:t>a Departamental por el Artículo 3 de transformar cargos vacantes, no puede exceder el límite de</w:t>
      </w:r>
      <w:r w:rsidRPr="00E768B3">
        <w:rPr>
          <w:rFonts w:ascii="Arial" w:hAnsi="Arial" w:cs="Arial"/>
        </w:rPr>
        <w:t xml:space="preserve"> la asignación presupuestal.</w:t>
      </w:r>
    </w:p>
    <w:p w:rsidR="00977F25" w:rsidRDefault="00977F25" w:rsidP="00CA716C">
      <w:pPr>
        <w:pStyle w:val="Sangradetextonormal"/>
        <w:ind w:firstLine="0"/>
        <w:rPr>
          <w:rFonts w:ascii="Arial" w:hAnsi="Arial" w:cs="Arial"/>
          <w:lang w:val="es-MX"/>
        </w:rPr>
      </w:pPr>
      <w:r w:rsidRPr="005935E8">
        <w:rPr>
          <w:rFonts w:ascii="Arial" w:hAnsi="Arial" w:cs="Arial"/>
          <w:b/>
        </w:rPr>
        <w:t>3.3)</w:t>
      </w:r>
      <w:r w:rsidRPr="00E768B3">
        <w:rPr>
          <w:rFonts w:ascii="Arial" w:hAnsi="Arial" w:cs="Arial"/>
        </w:rPr>
        <w:t xml:space="preserve"> </w:t>
      </w:r>
      <w:r w:rsidRPr="00E768B3">
        <w:rPr>
          <w:rFonts w:ascii="Arial" w:hAnsi="Arial" w:cs="Arial"/>
          <w:lang w:val="es-MX"/>
        </w:rPr>
        <w:t>L</w:t>
      </w:r>
      <w:r>
        <w:rPr>
          <w:rFonts w:ascii="Arial" w:hAnsi="Arial" w:cs="Arial"/>
          <w:lang w:val="es-MX"/>
        </w:rPr>
        <w:t>a</w:t>
      </w:r>
      <w:r w:rsidRPr="00E768B3">
        <w:rPr>
          <w:rFonts w:ascii="Arial" w:hAnsi="Arial" w:cs="Arial"/>
          <w:lang w:val="es-MX"/>
        </w:rPr>
        <w:t xml:space="preserve"> partida</w:t>
      </w:r>
      <w:r>
        <w:rPr>
          <w:rFonts w:ascii="Arial" w:hAnsi="Arial" w:cs="Arial"/>
          <w:lang w:val="es-MX"/>
        </w:rPr>
        <w:t xml:space="preserve"> prevista en el Artículo 21 proyectado, que pasa a denominarse “gastos inherentes a la función del Edil”</w:t>
      </w:r>
      <w:r w:rsidRPr="00E768B3">
        <w:rPr>
          <w:rFonts w:ascii="Arial" w:hAnsi="Arial" w:cs="Arial"/>
          <w:lang w:val="es-MX"/>
        </w:rPr>
        <w:t xml:space="preserve">, </w:t>
      </w:r>
      <w:r>
        <w:rPr>
          <w:rFonts w:ascii="Arial" w:hAnsi="Arial" w:cs="Arial"/>
          <w:lang w:val="es-MX"/>
        </w:rPr>
        <w:t>ya fue</w:t>
      </w:r>
      <w:r w:rsidRPr="00E768B3">
        <w:rPr>
          <w:rFonts w:ascii="Arial" w:hAnsi="Arial" w:cs="Arial"/>
          <w:lang w:val="es-MX"/>
        </w:rPr>
        <w:t xml:space="preserve"> observada como “gastos de representación” en el</w:t>
      </w:r>
      <w:r>
        <w:rPr>
          <w:rFonts w:ascii="Arial" w:hAnsi="Arial" w:cs="Arial"/>
          <w:lang w:val="es-MX"/>
        </w:rPr>
        <w:t xml:space="preserve"> anterior presupuesto (Artículo 23) y</w:t>
      </w:r>
      <w:r w:rsidRPr="00E768B3">
        <w:rPr>
          <w:rFonts w:ascii="Arial" w:hAnsi="Arial" w:cs="Arial"/>
          <w:lang w:val="es-MX"/>
        </w:rPr>
        <w:t xml:space="preserve"> contraviene lo dispuesto por el art. art. 295 de la Constitución que dispone que "los cargos de miembros de las Juntas Departamentales y Locales serán honorarios". En este sentido, los gastos que corresponden a viáticos y locomoción ya se encuentran previstos en el presupuesto. Por lo tanto</w:t>
      </w:r>
      <w:r>
        <w:rPr>
          <w:rFonts w:ascii="Arial" w:hAnsi="Arial" w:cs="Arial"/>
          <w:lang w:val="es-MX"/>
        </w:rPr>
        <w:t>,</w:t>
      </w:r>
      <w:r w:rsidRPr="00E768B3">
        <w:rPr>
          <w:rFonts w:ascii="Arial" w:hAnsi="Arial" w:cs="Arial"/>
          <w:lang w:val="es-MX"/>
        </w:rPr>
        <w:t xml:space="preserve"> al no especificarse</w:t>
      </w:r>
      <w:r>
        <w:rPr>
          <w:rFonts w:ascii="Arial" w:hAnsi="Arial" w:cs="Arial"/>
          <w:lang w:val="es-MX"/>
        </w:rPr>
        <w:t xml:space="preserve"> a que corresponden los “gastos inherentes la función del Edil” (objeto 239),  los mismos revisten</w:t>
      </w:r>
      <w:r w:rsidRPr="00E768B3">
        <w:rPr>
          <w:rFonts w:ascii="Arial" w:hAnsi="Arial" w:cs="Arial"/>
          <w:lang w:val="es-MX"/>
        </w:rPr>
        <w:t xml:space="preserve"> una naturaleza retributiva.</w:t>
      </w:r>
    </w:p>
    <w:p w:rsidR="00977F25" w:rsidRDefault="00977F25" w:rsidP="00CA716C">
      <w:pPr>
        <w:pStyle w:val="Sangradetextonormal"/>
        <w:ind w:firstLine="0"/>
        <w:rPr>
          <w:rFonts w:ascii="Arial" w:hAnsi="Arial" w:cs="Arial"/>
          <w:bCs/>
          <w:lang w:val="es-MX"/>
        </w:rPr>
      </w:pPr>
      <w:r w:rsidRPr="005935E8">
        <w:rPr>
          <w:rFonts w:ascii="Arial" w:hAnsi="Arial" w:cs="Arial"/>
          <w:b/>
          <w:bCs/>
        </w:rPr>
        <w:t>3.4)</w:t>
      </w:r>
      <w:r w:rsidRPr="00E768B3">
        <w:rPr>
          <w:rFonts w:ascii="Arial" w:hAnsi="Arial" w:cs="Arial"/>
          <w:bCs/>
        </w:rPr>
        <w:t xml:space="preserve"> </w:t>
      </w:r>
      <w:r w:rsidRPr="00E768B3">
        <w:rPr>
          <w:rFonts w:ascii="Arial" w:hAnsi="Arial" w:cs="Arial"/>
          <w:bCs/>
          <w:lang w:val="es-MX"/>
        </w:rPr>
        <w:t>E</w:t>
      </w:r>
      <w:r>
        <w:rPr>
          <w:rFonts w:ascii="Arial" w:hAnsi="Arial" w:cs="Arial"/>
          <w:bCs/>
          <w:lang w:val="es-MX"/>
        </w:rPr>
        <w:t>ste</w:t>
      </w:r>
      <w:r w:rsidRPr="00E768B3">
        <w:rPr>
          <w:rFonts w:ascii="Arial" w:hAnsi="Arial" w:cs="Arial"/>
          <w:bCs/>
        </w:rPr>
        <w:t xml:space="preserve"> Tribunal en sesión de fecha </w:t>
      </w:r>
      <w:r w:rsidRPr="00E768B3">
        <w:rPr>
          <w:rFonts w:ascii="Arial" w:hAnsi="Arial" w:cs="Arial"/>
          <w:bCs/>
          <w:lang w:val="es-ES"/>
        </w:rPr>
        <w:t>26 de febrero de 2014 acordó observar  la normativa</w:t>
      </w:r>
      <w:r>
        <w:rPr>
          <w:rFonts w:ascii="Arial" w:hAnsi="Arial" w:cs="Arial"/>
          <w:bCs/>
          <w:lang w:val="es-ES"/>
        </w:rPr>
        <w:t xml:space="preserve"> de partidas para gastos de traslado, alimentación y alojamiento </w:t>
      </w:r>
      <w:r w:rsidRPr="00634247">
        <w:rPr>
          <w:rFonts w:ascii="Arial" w:hAnsi="Arial" w:cs="Arial"/>
          <w:bCs/>
          <w:lang w:val="es-ES"/>
        </w:rPr>
        <w:t xml:space="preserve">para los señores </w:t>
      </w:r>
      <w:r>
        <w:rPr>
          <w:rFonts w:ascii="Arial" w:hAnsi="Arial" w:cs="Arial"/>
          <w:bCs/>
          <w:lang w:val="es-ES"/>
        </w:rPr>
        <w:t>E</w:t>
      </w:r>
      <w:r w:rsidRPr="00634247">
        <w:rPr>
          <w:rFonts w:ascii="Arial" w:hAnsi="Arial" w:cs="Arial"/>
          <w:bCs/>
          <w:lang w:val="es-ES"/>
        </w:rPr>
        <w:t xml:space="preserve">diles prevista en la Resolución </w:t>
      </w:r>
      <w:r>
        <w:rPr>
          <w:rFonts w:ascii="Arial" w:hAnsi="Arial" w:cs="Arial"/>
          <w:bCs/>
          <w:lang w:val="es-ES"/>
        </w:rPr>
        <w:t>N</w:t>
      </w:r>
      <w:r w:rsidRPr="00634247">
        <w:rPr>
          <w:rFonts w:ascii="Arial" w:hAnsi="Arial" w:cs="Arial"/>
          <w:bCs/>
          <w:lang w:val="es-ES"/>
        </w:rPr>
        <w:t>º 510/2012</w:t>
      </w:r>
      <w:r>
        <w:rPr>
          <w:rFonts w:ascii="Arial" w:hAnsi="Arial" w:cs="Arial"/>
          <w:bCs/>
          <w:lang w:val="es-ES"/>
        </w:rPr>
        <w:t xml:space="preserve">. Asimismo con posterioridad, este Cuerpo observó modificaciones a dicha reglamentación, considerando que la misma no se ajustaba a lo preceptuado en la </w:t>
      </w:r>
      <w:r w:rsidRPr="00E768B3">
        <w:rPr>
          <w:rFonts w:ascii="Arial" w:hAnsi="Arial" w:cs="Arial"/>
          <w:bCs/>
          <w:lang w:val="es-MX"/>
        </w:rPr>
        <w:t>Resolución de este Tribunal de 22.12.2010, en especial respecto a la ausen</w:t>
      </w:r>
      <w:r w:rsidR="00EF296E">
        <w:rPr>
          <w:rFonts w:ascii="Arial" w:hAnsi="Arial" w:cs="Arial"/>
          <w:bCs/>
          <w:lang w:val="es-MX"/>
        </w:rPr>
        <w:t>cia de rendiciones de cuentas.</w:t>
      </w:r>
    </w:p>
    <w:p w:rsidR="00EF296E" w:rsidRPr="00E768B3" w:rsidRDefault="00EF296E" w:rsidP="00CA716C">
      <w:pPr>
        <w:pStyle w:val="Sangradetextonormal"/>
        <w:ind w:firstLine="0"/>
        <w:rPr>
          <w:rFonts w:cs="Arial"/>
          <w:b/>
          <w:bCs/>
        </w:rPr>
      </w:pPr>
    </w:p>
    <w:p w:rsidR="00977F25" w:rsidRDefault="00EF296E" w:rsidP="00CA716C">
      <w:pPr>
        <w:spacing w:line="360" w:lineRule="auto"/>
        <w:rPr>
          <w:rFonts w:cs="Arial"/>
        </w:rPr>
      </w:pPr>
      <w:r>
        <w:rPr>
          <w:rFonts w:cs="Arial"/>
          <w:b/>
        </w:rPr>
        <w:t>4) Opinión</w:t>
      </w:r>
    </w:p>
    <w:p w:rsidR="00977F25" w:rsidRDefault="00977F25" w:rsidP="00EF296E">
      <w:pPr>
        <w:spacing w:line="360" w:lineRule="auto"/>
        <w:jc w:val="both"/>
        <w:rPr>
          <w:rFonts w:cs="Arial"/>
        </w:rPr>
      </w:pPr>
      <w:r>
        <w:rPr>
          <w:rFonts w:cs="Arial"/>
        </w:rPr>
        <w:t>En opinión del Tribunal de Cuentas, el Proyecto de Presupuesto de la Junta Departamental de Paysandú para el período 2016-2020 ha sido preparado en forma razonable, de acuerdo con lo supuestos efectuados por el Organismo y se presenta de conformidad con las disposiciones</w:t>
      </w:r>
      <w:r>
        <w:t xml:space="preserve"> constitucionales, legales y </w:t>
      </w:r>
      <w:r w:rsidRPr="005935E8">
        <w:rPr>
          <w:spacing w:val="-8"/>
        </w:rPr>
        <w:t>reglamentarias vigentes,</w:t>
      </w:r>
      <w:r w:rsidRPr="005935E8">
        <w:rPr>
          <w:rFonts w:cs="Arial"/>
          <w:spacing w:val="-8"/>
        </w:rPr>
        <w:t xml:space="preserve"> excepto por lo establecido en los párrafos 2.2, 3.3 y</w:t>
      </w:r>
      <w:r>
        <w:rPr>
          <w:rFonts w:cs="Arial"/>
        </w:rPr>
        <w:t xml:space="preserve"> 3.4.</w:t>
      </w:r>
    </w:p>
    <w:p w:rsidR="00977F25" w:rsidRDefault="00977F25" w:rsidP="00CA716C">
      <w:pPr>
        <w:jc w:val="right"/>
      </w:pPr>
      <w:r>
        <w:t>Montevideo, 21 de diciembre de 2015</w:t>
      </w:r>
    </w:p>
    <w:p w:rsidR="00977F25" w:rsidRDefault="00977F25" w:rsidP="00977F25">
      <w:proofErr w:type="spellStart"/>
      <w:proofErr w:type="gramStart"/>
      <w:r>
        <w:t>cr</w:t>
      </w:r>
      <w:proofErr w:type="spellEnd"/>
      <w:proofErr w:type="gramEnd"/>
    </w:p>
    <w:sectPr w:rsidR="00977F25" w:rsidSect="003156B2">
      <w:footerReference w:type="even" r:id="rId8"/>
      <w:footerReference w:type="default" r:id="rId9"/>
      <w:pgSz w:w="11906" w:h="16838" w:code="9"/>
      <w:pgMar w:top="3402" w:right="1701" w:bottom="1418" w:left="1701" w:header="720" w:footer="720"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BFF" w:rsidRDefault="00391BFF">
      <w:r>
        <w:separator/>
      </w:r>
    </w:p>
  </w:endnote>
  <w:endnote w:type="continuationSeparator" w:id="0">
    <w:p w:rsidR="00391BFF" w:rsidRDefault="0039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BFF" w:rsidRDefault="00391BF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391BFF" w:rsidRDefault="00391B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BFF" w:rsidRDefault="00391BF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2855">
      <w:rPr>
        <w:rStyle w:val="Nmerodepgina"/>
        <w:noProof/>
      </w:rPr>
      <w:t>1</w:t>
    </w:r>
    <w:r>
      <w:rPr>
        <w:rStyle w:val="Nmerodepgina"/>
      </w:rPr>
      <w:fldChar w:fldCharType="end"/>
    </w:r>
  </w:p>
  <w:p w:rsidR="00391BFF" w:rsidRDefault="00391B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BFF" w:rsidRDefault="00391BFF">
      <w:r>
        <w:separator/>
      </w:r>
    </w:p>
  </w:footnote>
  <w:footnote w:type="continuationSeparator" w:id="0">
    <w:p w:rsidR="00391BFF" w:rsidRDefault="00391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66E9"/>
    <w:multiLevelType w:val="hybridMultilevel"/>
    <w:tmpl w:val="E0E8D4CA"/>
    <w:lvl w:ilvl="0" w:tplc="DADCD5F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3F"/>
    <w:rsid w:val="000E2855"/>
    <w:rsid w:val="00124DA0"/>
    <w:rsid w:val="001D3DC6"/>
    <w:rsid w:val="001D5631"/>
    <w:rsid w:val="003156B2"/>
    <w:rsid w:val="00391BFF"/>
    <w:rsid w:val="004F61A9"/>
    <w:rsid w:val="0051603F"/>
    <w:rsid w:val="005B5838"/>
    <w:rsid w:val="005B7042"/>
    <w:rsid w:val="00934E26"/>
    <w:rsid w:val="00977F25"/>
    <w:rsid w:val="00C37B59"/>
    <w:rsid w:val="00CA613D"/>
    <w:rsid w:val="00CA716C"/>
    <w:rsid w:val="00EF296E"/>
    <w:rsid w:val="00F103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3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51603F"/>
    <w:pPr>
      <w:tabs>
        <w:tab w:val="center" w:pos="4252"/>
        <w:tab w:val="right" w:pos="8504"/>
      </w:tabs>
    </w:pPr>
  </w:style>
  <w:style w:type="character" w:customStyle="1" w:styleId="PiedepginaCar">
    <w:name w:val="Pie de página Car"/>
    <w:basedOn w:val="Fuentedeprrafopredeter"/>
    <w:link w:val="Piedepgina"/>
    <w:semiHidden/>
    <w:rsid w:val="0051603F"/>
    <w:rPr>
      <w:rFonts w:ascii="Arial" w:eastAsia="Times New Roman" w:hAnsi="Arial" w:cs="Times New Roman"/>
      <w:sz w:val="24"/>
      <w:szCs w:val="24"/>
      <w:lang w:val="es-ES" w:eastAsia="es-ES"/>
    </w:rPr>
  </w:style>
  <w:style w:type="character" w:styleId="Nmerodepgina">
    <w:name w:val="page number"/>
    <w:basedOn w:val="Fuentedeprrafopredeter"/>
    <w:semiHidden/>
    <w:rsid w:val="0051603F"/>
  </w:style>
  <w:style w:type="paragraph" w:styleId="Textoindependiente">
    <w:name w:val="Body Text"/>
    <w:basedOn w:val="Normal"/>
    <w:link w:val="TextoindependienteCar"/>
    <w:semiHidden/>
    <w:rsid w:val="0051603F"/>
    <w:pPr>
      <w:spacing w:line="360" w:lineRule="auto"/>
      <w:jc w:val="both"/>
    </w:pPr>
  </w:style>
  <w:style w:type="character" w:customStyle="1" w:styleId="TextoindependienteCar">
    <w:name w:val="Texto independiente Car"/>
    <w:basedOn w:val="Fuentedeprrafopredeter"/>
    <w:link w:val="Textoindependiente"/>
    <w:semiHidden/>
    <w:rsid w:val="0051603F"/>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977F25"/>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977F25"/>
    <w:rPr>
      <w:rFonts w:ascii="Bookman Old Style" w:eastAsia="Times New Roman" w:hAnsi="Bookman Old Style" w:cs="Times New Roman"/>
      <w:snapToGrid w:val="0"/>
      <w:spacing w:val="-3"/>
      <w:sz w:val="24"/>
      <w:szCs w:val="20"/>
      <w:lang w:val="es-ES_tradnl" w:eastAsia="es-ES"/>
    </w:rPr>
  </w:style>
  <w:style w:type="paragraph" w:styleId="Textoindependiente2">
    <w:name w:val="Body Text 2"/>
    <w:basedOn w:val="Normal"/>
    <w:link w:val="Textoindependiente2Car"/>
    <w:semiHidden/>
    <w:rsid w:val="00977F25"/>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977F25"/>
    <w:rPr>
      <w:rFonts w:ascii="Bookman Old Style" w:eastAsia="Times New Roman" w:hAnsi="Bookman Old Style" w:cs="Times New Roman"/>
      <w:snapToGrid w:val="0"/>
      <w:spacing w:val="-3"/>
      <w:sz w:val="24"/>
      <w:szCs w:val="20"/>
      <w:lang w:val="es-ES_tradnl" w:eastAsia="es-ES"/>
    </w:rPr>
  </w:style>
  <w:style w:type="paragraph" w:customStyle="1" w:styleId="Encabezadodetda">
    <w:name w:val="Encabezado de tda"/>
    <w:basedOn w:val="Normal"/>
    <w:rsid w:val="00977F25"/>
    <w:pPr>
      <w:widowControl w:val="0"/>
      <w:tabs>
        <w:tab w:val="right" w:pos="9360"/>
      </w:tabs>
      <w:suppressAutoHyphens/>
    </w:pPr>
    <w:rPr>
      <w:rFonts w:ascii="Courier" w:hAnsi="Courier"/>
      <w:snapToGrid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3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51603F"/>
    <w:pPr>
      <w:tabs>
        <w:tab w:val="center" w:pos="4252"/>
        <w:tab w:val="right" w:pos="8504"/>
      </w:tabs>
    </w:pPr>
  </w:style>
  <w:style w:type="character" w:customStyle="1" w:styleId="PiedepginaCar">
    <w:name w:val="Pie de página Car"/>
    <w:basedOn w:val="Fuentedeprrafopredeter"/>
    <w:link w:val="Piedepgina"/>
    <w:semiHidden/>
    <w:rsid w:val="0051603F"/>
    <w:rPr>
      <w:rFonts w:ascii="Arial" w:eastAsia="Times New Roman" w:hAnsi="Arial" w:cs="Times New Roman"/>
      <w:sz w:val="24"/>
      <w:szCs w:val="24"/>
      <w:lang w:val="es-ES" w:eastAsia="es-ES"/>
    </w:rPr>
  </w:style>
  <w:style w:type="character" w:styleId="Nmerodepgina">
    <w:name w:val="page number"/>
    <w:basedOn w:val="Fuentedeprrafopredeter"/>
    <w:semiHidden/>
    <w:rsid w:val="0051603F"/>
  </w:style>
  <w:style w:type="paragraph" w:styleId="Textoindependiente">
    <w:name w:val="Body Text"/>
    <w:basedOn w:val="Normal"/>
    <w:link w:val="TextoindependienteCar"/>
    <w:semiHidden/>
    <w:rsid w:val="0051603F"/>
    <w:pPr>
      <w:spacing w:line="360" w:lineRule="auto"/>
      <w:jc w:val="both"/>
    </w:pPr>
  </w:style>
  <w:style w:type="character" w:customStyle="1" w:styleId="TextoindependienteCar">
    <w:name w:val="Texto independiente Car"/>
    <w:basedOn w:val="Fuentedeprrafopredeter"/>
    <w:link w:val="Textoindependiente"/>
    <w:semiHidden/>
    <w:rsid w:val="0051603F"/>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977F25"/>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977F25"/>
    <w:rPr>
      <w:rFonts w:ascii="Bookman Old Style" w:eastAsia="Times New Roman" w:hAnsi="Bookman Old Style" w:cs="Times New Roman"/>
      <w:snapToGrid w:val="0"/>
      <w:spacing w:val="-3"/>
      <w:sz w:val="24"/>
      <w:szCs w:val="20"/>
      <w:lang w:val="es-ES_tradnl" w:eastAsia="es-ES"/>
    </w:rPr>
  </w:style>
  <w:style w:type="paragraph" w:styleId="Textoindependiente2">
    <w:name w:val="Body Text 2"/>
    <w:basedOn w:val="Normal"/>
    <w:link w:val="Textoindependiente2Car"/>
    <w:semiHidden/>
    <w:rsid w:val="00977F25"/>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977F25"/>
    <w:rPr>
      <w:rFonts w:ascii="Bookman Old Style" w:eastAsia="Times New Roman" w:hAnsi="Bookman Old Style" w:cs="Times New Roman"/>
      <w:snapToGrid w:val="0"/>
      <w:spacing w:val="-3"/>
      <w:sz w:val="24"/>
      <w:szCs w:val="20"/>
      <w:lang w:val="es-ES_tradnl" w:eastAsia="es-ES"/>
    </w:rPr>
  </w:style>
  <w:style w:type="paragraph" w:customStyle="1" w:styleId="Encabezadodetda">
    <w:name w:val="Encabezado de tda"/>
    <w:basedOn w:val="Normal"/>
    <w:rsid w:val="00977F25"/>
    <w:pPr>
      <w:widowControl w:val="0"/>
      <w:tabs>
        <w:tab w:val="right" w:pos="9360"/>
      </w:tabs>
      <w:suppressAutoHyphens/>
    </w:pPr>
    <w:rPr>
      <w:rFonts w:ascii="Courier" w:hAnsi="Courier"/>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983</Words>
  <Characters>5408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De Souza</dc:creator>
  <cp:lastModifiedBy> </cp:lastModifiedBy>
  <cp:revision>6</cp:revision>
  <cp:lastPrinted>2016-01-19T18:09:00Z</cp:lastPrinted>
  <dcterms:created xsi:type="dcterms:W3CDTF">2015-12-24T12:20:00Z</dcterms:created>
  <dcterms:modified xsi:type="dcterms:W3CDTF">2016-01-20T17:36:00Z</dcterms:modified>
</cp:coreProperties>
</file>