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E3" w:rsidRPr="00042B09" w:rsidRDefault="001B02E3">
      <w:pPr>
        <w:tabs>
          <w:tab w:val="center" w:pos="4253"/>
        </w:tabs>
        <w:suppressAutoHyphens/>
        <w:jc w:val="center"/>
        <w:rPr>
          <w:rFonts w:ascii="Arial" w:hAnsi="Arial" w:cs="Arial"/>
          <w:b/>
          <w:sz w:val="24"/>
          <w:szCs w:val="24"/>
          <w:lang w:val="es-ES_tradnl"/>
        </w:rPr>
      </w:pPr>
      <w:bookmarkStart w:id="0" w:name="_GoBack"/>
      <w:bookmarkEnd w:id="0"/>
      <w:r w:rsidRPr="00042B09">
        <w:rPr>
          <w:rFonts w:ascii="Arial" w:hAnsi="Arial" w:cs="Arial"/>
          <w:b/>
          <w:sz w:val="24"/>
          <w:szCs w:val="24"/>
          <w:lang w:val="es-ES_tradnl"/>
        </w:rPr>
        <w:t>RESOLUCION ADOPTADA POR EL</w:t>
      </w:r>
    </w:p>
    <w:p w:rsidR="001B02E3" w:rsidRPr="00042B09" w:rsidRDefault="001B02E3">
      <w:pPr>
        <w:tabs>
          <w:tab w:val="center" w:pos="4253"/>
        </w:tabs>
        <w:suppressAutoHyphens/>
        <w:jc w:val="center"/>
        <w:rPr>
          <w:rFonts w:ascii="Arial" w:hAnsi="Arial" w:cs="Arial"/>
          <w:b/>
          <w:sz w:val="24"/>
          <w:szCs w:val="24"/>
          <w:lang w:val="es-ES_tradnl"/>
        </w:rPr>
      </w:pPr>
      <w:r w:rsidRPr="00042B09">
        <w:rPr>
          <w:rFonts w:ascii="Arial" w:hAnsi="Arial" w:cs="Arial"/>
          <w:b/>
          <w:sz w:val="24"/>
          <w:szCs w:val="24"/>
          <w:lang w:val="es-ES_tradnl"/>
        </w:rPr>
        <w:t>TRIBUNAL DE CUENTAS</w:t>
      </w:r>
    </w:p>
    <w:p w:rsidR="001B02E3" w:rsidRPr="00042B09" w:rsidRDefault="001B02E3">
      <w:pPr>
        <w:tabs>
          <w:tab w:val="center" w:pos="4253"/>
        </w:tabs>
        <w:suppressAutoHyphens/>
        <w:jc w:val="center"/>
        <w:rPr>
          <w:rFonts w:ascii="Arial" w:hAnsi="Arial" w:cs="Arial"/>
          <w:b/>
          <w:sz w:val="24"/>
          <w:szCs w:val="24"/>
          <w:lang w:val="es-ES_tradnl"/>
        </w:rPr>
      </w:pPr>
      <w:r w:rsidRPr="00042B09">
        <w:rPr>
          <w:rFonts w:ascii="Arial" w:hAnsi="Arial" w:cs="Arial"/>
          <w:b/>
          <w:sz w:val="24"/>
          <w:szCs w:val="24"/>
          <w:lang w:val="es-ES_tradnl"/>
        </w:rPr>
        <w:t>EN SESION DE FECHA 23 DE DICIEMBRE DE 2015</w:t>
      </w:r>
    </w:p>
    <w:p w:rsidR="001B02E3" w:rsidRDefault="001B02E3">
      <w:pPr>
        <w:tabs>
          <w:tab w:val="center" w:pos="4253"/>
        </w:tabs>
        <w:suppressAutoHyphens/>
        <w:jc w:val="center"/>
        <w:rPr>
          <w:rFonts w:ascii="Arial" w:hAnsi="Arial" w:cs="Arial"/>
          <w:b/>
          <w:sz w:val="24"/>
          <w:szCs w:val="24"/>
        </w:rPr>
      </w:pPr>
      <w:r w:rsidRPr="00042B09">
        <w:rPr>
          <w:rFonts w:ascii="Arial" w:hAnsi="Arial" w:cs="Arial"/>
          <w:b/>
          <w:sz w:val="24"/>
          <w:szCs w:val="24"/>
        </w:rPr>
        <w:t>(E. E. Nº 20</w:t>
      </w:r>
      <w:r w:rsidR="009E6FFB">
        <w:rPr>
          <w:rFonts w:ascii="Arial" w:hAnsi="Arial" w:cs="Arial"/>
          <w:b/>
          <w:sz w:val="24"/>
          <w:szCs w:val="24"/>
        </w:rPr>
        <w:t>14</w:t>
      </w:r>
      <w:r w:rsidRPr="00042B09">
        <w:rPr>
          <w:rFonts w:ascii="Arial" w:hAnsi="Arial" w:cs="Arial"/>
          <w:b/>
          <w:sz w:val="24"/>
          <w:szCs w:val="24"/>
        </w:rPr>
        <w:t>-17-1-0004442, Ent. N° 3622/15)</w:t>
      </w:r>
    </w:p>
    <w:p w:rsidR="00042B09" w:rsidRPr="00042B09" w:rsidRDefault="00042B09">
      <w:pPr>
        <w:tabs>
          <w:tab w:val="center" w:pos="4253"/>
        </w:tabs>
        <w:suppressAutoHyphens/>
        <w:jc w:val="center"/>
        <w:rPr>
          <w:rFonts w:ascii="Arial" w:hAnsi="Arial" w:cs="Arial"/>
          <w:b/>
          <w:sz w:val="24"/>
          <w:szCs w:val="24"/>
        </w:rPr>
      </w:pPr>
    </w:p>
    <w:p w:rsidR="00C51530" w:rsidRPr="00042B09" w:rsidRDefault="00C51530" w:rsidP="009E6FFB">
      <w:pPr>
        <w:suppressAutoHyphens/>
        <w:spacing w:after="0" w:line="360" w:lineRule="auto"/>
        <w:ind w:firstLine="851"/>
        <w:jc w:val="both"/>
        <w:rPr>
          <w:rFonts w:ascii="Arial" w:eastAsia="Times New Roman" w:hAnsi="Arial" w:cs="Arial"/>
          <w:kern w:val="1"/>
          <w:sz w:val="24"/>
          <w:szCs w:val="24"/>
          <w:lang w:val="es-ES_tradnl" w:eastAsia="ar-SA"/>
        </w:rPr>
      </w:pPr>
      <w:r w:rsidRPr="00042B09">
        <w:rPr>
          <w:rFonts w:ascii="Arial" w:eastAsia="Times New Roman" w:hAnsi="Arial" w:cs="Arial"/>
          <w:b/>
          <w:kern w:val="1"/>
          <w:sz w:val="24"/>
          <w:szCs w:val="24"/>
          <w:lang w:val="es-ES_tradnl" w:eastAsia="ar-SA"/>
        </w:rPr>
        <w:t>VISTO:</w:t>
      </w:r>
      <w:r w:rsidRPr="00042B09">
        <w:rPr>
          <w:rFonts w:ascii="Arial" w:eastAsia="Times New Roman" w:hAnsi="Arial" w:cs="Arial"/>
          <w:kern w:val="1"/>
          <w:sz w:val="24"/>
          <w:szCs w:val="24"/>
          <w:lang w:val="es-ES_tradnl" w:eastAsia="ar-SA"/>
        </w:rPr>
        <w:t xml:space="preserve"> la Rendición de Cuentas y Balance de Ejecución Presupuestal de la Intendencia de Colonia correspondiente al ejercicio 2014;</w:t>
      </w:r>
    </w:p>
    <w:p w:rsidR="00C51530" w:rsidRPr="00042B09" w:rsidRDefault="00C51530" w:rsidP="009E6FFB">
      <w:pPr>
        <w:suppressAutoHyphens/>
        <w:spacing w:after="0" w:line="360" w:lineRule="auto"/>
        <w:ind w:firstLine="851"/>
        <w:jc w:val="both"/>
        <w:rPr>
          <w:rFonts w:ascii="Arial" w:eastAsia="Times New Roman" w:hAnsi="Arial" w:cs="Arial"/>
          <w:kern w:val="1"/>
          <w:sz w:val="24"/>
          <w:szCs w:val="24"/>
          <w:lang w:val="es-ES_tradnl" w:eastAsia="ar-SA"/>
        </w:rPr>
      </w:pPr>
      <w:r w:rsidRPr="00042B09">
        <w:rPr>
          <w:rFonts w:ascii="Arial" w:eastAsia="Times New Roman" w:hAnsi="Arial" w:cs="Arial"/>
          <w:b/>
          <w:kern w:val="1"/>
          <w:sz w:val="24"/>
          <w:szCs w:val="24"/>
          <w:lang w:val="es-ES_tradnl" w:eastAsia="ar-SA"/>
        </w:rPr>
        <w:t xml:space="preserve">RESULTANDO: </w:t>
      </w:r>
      <w:r w:rsidRPr="00042B09">
        <w:rPr>
          <w:rFonts w:ascii="Arial" w:eastAsia="Times New Roman" w:hAnsi="Arial" w:cs="Arial"/>
          <w:kern w:val="18"/>
          <w:sz w:val="24"/>
          <w:szCs w:val="24"/>
          <w:lang w:val="es-ES_tradnl" w:eastAsia="ar-SA"/>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042B09">
          <w:rPr>
            <w:rFonts w:ascii="Arial" w:eastAsia="Times New Roman" w:hAnsi="Arial" w:cs="Arial"/>
            <w:kern w:val="18"/>
            <w:sz w:val="24"/>
            <w:szCs w:val="24"/>
            <w:lang w:val="es-ES_tradnl" w:eastAsia="ar-SA"/>
          </w:rPr>
          <w:t>1000 a</w:t>
        </w:r>
      </w:smartTag>
      <w:r w:rsidRPr="00042B09">
        <w:rPr>
          <w:rFonts w:ascii="Arial" w:eastAsia="Times New Roman" w:hAnsi="Arial" w:cs="Arial"/>
          <w:kern w:val="18"/>
          <w:sz w:val="24"/>
          <w:szCs w:val="24"/>
          <w:lang w:val="es-ES_tradnl" w:eastAsia="ar-SA"/>
        </w:rPr>
        <w:t xml:space="preserve"> 1810) de la Organización Internacional de Entidades Fiscalizadoras Superiores (INTOSAI), habiéndose llevado a cabo los procedimientos considerados necesarios en las circunstancias;</w:t>
      </w:r>
    </w:p>
    <w:p w:rsidR="00C51530" w:rsidRPr="00042B09" w:rsidRDefault="00C51530" w:rsidP="009E6FFB">
      <w:pPr>
        <w:suppressAutoHyphens/>
        <w:spacing w:after="0" w:line="360" w:lineRule="auto"/>
        <w:ind w:firstLine="851"/>
        <w:jc w:val="both"/>
        <w:rPr>
          <w:rFonts w:ascii="Arial" w:eastAsia="Times New Roman" w:hAnsi="Arial" w:cs="Arial"/>
          <w:kern w:val="1"/>
          <w:sz w:val="24"/>
          <w:szCs w:val="24"/>
          <w:lang w:val="es-ES_tradnl" w:eastAsia="ar-SA"/>
        </w:rPr>
      </w:pPr>
      <w:r w:rsidRPr="00042B09">
        <w:rPr>
          <w:rFonts w:ascii="Arial" w:eastAsia="Times New Roman" w:hAnsi="Arial" w:cs="Arial"/>
          <w:b/>
          <w:kern w:val="1"/>
          <w:sz w:val="24"/>
          <w:szCs w:val="24"/>
          <w:lang w:val="es-ES_tradnl" w:eastAsia="ar-SA"/>
        </w:rPr>
        <w:t xml:space="preserve">CONSIDERANDO: </w:t>
      </w:r>
      <w:r w:rsidRPr="00042B09">
        <w:rPr>
          <w:rFonts w:ascii="Arial" w:eastAsia="Times New Roman" w:hAnsi="Arial" w:cs="Arial"/>
          <w:kern w:val="1"/>
          <w:sz w:val="24"/>
          <w:szCs w:val="24"/>
          <w:lang w:val="es-ES_tradnl" w:eastAsia="ar-SA"/>
        </w:rPr>
        <w:t>que las conclusiones y evidencias obtenidas son las que se expresan en el Informe de Auditoría, que incluye Dictamen e Informe a la Administración;</w:t>
      </w:r>
    </w:p>
    <w:p w:rsidR="00C51530" w:rsidRPr="00042B09" w:rsidRDefault="00C51530" w:rsidP="009E6FFB">
      <w:pPr>
        <w:suppressAutoHyphens/>
        <w:spacing w:after="0" w:line="360" w:lineRule="auto"/>
        <w:ind w:firstLine="851"/>
        <w:jc w:val="both"/>
        <w:rPr>
          <w:rFonts w:ascii="Arial" w:eastAsia="Times New Roman" w:hAnsi="Arial" w:cs="Arial"/>
          <w:kern w:val="1"/>
          <w:sz w:val="24"/>
          <w:szCs w:val="24"/>
          <w:lang w:val="es-ES_tradnl" w:eastAsia="ar-SA"/>
        </w:rPr>
      </w:pPr>
      <w:r w:rsidRPr="00042B09">
        <w:rPr>
          <w:rFonts w:ascii="Arial" w:eastAsia="Times New Roman" w:hAnsi="Arial" w:cs="Arial"/>
          <w:b/>
          <w:kern w:val="1"/>
          <w:sz w:val="24"/>
          <w:szCs w:val="24"/>
          <w:lang w:val="es-ES_tradnl" w:eastAsia="ar-SA"/>
        </w:rPr>
        <w:t xml:space="preserve">ATENTO: </w:t>
      </w:r>
      <w:r w:rsidRPr="00042B09">
        <w:rPr>
          <w:rFonts w:ascii="Arial" w:eastAsia="Times New Roman" w:hAnsi="Arial" w:cs="Arial"/>
          <w:kern w:val="1"/>
          <w:sz w:val="24"/>
          <w:szCs w:val="24"/>
          <w:lang w:val="es-ES_tradnl" w:eastAsia="ar-SA"/>
        </w:rPr>
        <w:t>a lo dispuesto por el Art</w:t>
      </w:r>
      <w:r w:rsidR="001B02E3" w:rsidRPr="00042B09">
        <w:rPr>
          <w:rFonts w:ascii="Arial" w:eastAsia="Times New Roman" w:hAnsi="Arial" w:cs="Arial"/>
          <w:kern w:val="1"/>
          <w:sz w:val="24"/>
          <w:szCs w:val="24"/>
          <w:lang w:val="es-ES_tradnl" w:eastAsia="ar-SA"/>
        </w:rPr>
        <w:t>ículo</w:t>
      </w:r>
      <w:r w:rsidRPr="00042B09">
        <w:rPr>
          <w:rFonts w:ascii="Arial" w:eastAsia="Times New Roman" w:hAnsi="Arial" w:cs="Arial"/>
          <w:kern w:val="1"/>
          <w:sz w:val="24"/>
          <w:szCs w:val="24"/>
          <w:lang w:val="es-ES_tradnl" w:eastAsia="ar-SA"/>
        </w:rPr>
        <w:t xml:space="preserve"> 211 Lit</w:t>
      </w:r>
      <w:r w:rsidR="001B02E3" w:rsidRPr="00042B09">
        <w:rPr>
          <w:rFonts w:ascii="Arial" w:eastAsia="Times New Roman" w:hAnsi="Arial" w:cs="Arial"/>
          <w:kern w:val="1"/>
          <w:sz w:val="24"/>
          <w:szCs w:val="24"/>
          <w:lang w:val="es-ES_tradnl" w:eastAsia="ar-SA"/>
        </w:rPr>
        <w:t>eral</w:t>
      </w:r>
      <w:r w:rsidRPr="00042B09">
        <w:rPr>
          <w:rFonts w:ascii="Arial" w:eastAsia="Times New Roman" w:hAnsi="Arial" w:cs="Arial"/>
          <w:kern w:val="1"/>
          <w:sz w:val="24"/>
          <w:szCs w:val="24"/>
          <w:lang w:val="es-ES_tradnl" w:eastAsia="ar-SA"/>
        </w:rPr>
        <w:t xml:space="preserve"> C) de la Constitución de la República;</w:t>
      </w:r>
    </w:p>
    <w:p w:rsidR="00C51530" w:rsidRPr="00042B09" w:rsidRDefault="00C51530" w:rsidP="00C51530">
      <w:pPr>
        <w:suppressAutoHyphens/>
        <w:spacing w:after="0" w:line="360" w:lineRule="auto"/>
        <w:jc w:val="center"/>
        <w:rPr>
          <w:rFonts w:ascii="Arial" w:eastAsia="Times New Roman" w:hAnsi="Arial" w:cs="Arial"/>
          <w:b/>
          <w:kern w:val="1"/>
          <w:sz w:val="24"/>
          <w:szCs w:val="24"/>
          <w:lang w:val="es-ES_tradnl" w:eastAsia="ar-SA"/>
        </w:rPr>
      </w:pPr>
      <w:r w:rsidRPr="00042B09">
        <w:rPr>
          <w:rFonts w:ascii="Arial" w:eastAsia="Times New Roman" w:hAnsi="Arial" w:cs="Arial"/>
          <w:b/>
          <w:kern w:val="1"/>
          <w:sz w:val="24"/>
          <w:szCs w:val="24"/>
          <w:lang w:val="es-ES_tradnl" w:eastAsia="ar-SA"/>
        </w:rPr>
        <w:t>EL TRIBUNAL ACUERDA</w:t>
      </w:r>
    </w:p>
    <w:p w:rsidR="00C51530" w:rsidRPr="00042B09" w:rsidRDefault="00C51530" w:rsidP="00C51530">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042B09">
        <w:rPr>
          <w:rFonts w:ascii="Arial" w:eastAsia="Times New Roman" w:hAnsi="Arial" w:cs="Arial"/>
          <w:kern w:val="1"/>
          <w:sz w:val="24"/>
          <w:szCs w:val="24"/>
          <w:lang w:val="es-ES_tradnl" w:eastAsia="ar-SA"/>
        </w:rPr>
        <w:t>Emitir su Dictamen respecto de la Rendición de Cuentas y Balance de Ejecución Presupuestal de la Intendencia de Colonia correspondiente al ejercicio 2014, en los términos del Info</w:t>
      </w:r>
      <w:r w:rsidR="009E6FFB">
        <w:rPr>
          <w:rFonts w:ascii="Arial" w:eastAsia="Times New Roman" w:hAnsi="Arial" w:cs="Arial"/>
          <w:kern w:val="1"/>
          <w:sz w:val="24"/>
          <w:szCs w:val="24"/>
          <w:lang w:val="es-ES_tradnl" w:eastAsia="ar-SA"/>
        </w:rPr>
        <w:t>rme de Auditoría que se adjunta;</w:t>
      </w:r>
    </w:p>
    <w:p w:rsidR="00C51530" w:rsidRPr="00042B09" w:rsidRDefault="00C51530" w:rsidP="00C51530">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042B09">
        <w:rPr>
          <w:rFonts w:ascii="Arial" w:eastAsia="Times New Roman" w:hAnsi="Arial" w:cs="Arial"/>
          <w:kern w:val="1"/>
          <w:sz w:val="24"/>
          <w:szCs w:val="24"/>
          <w:lang w:val="es-ES_tradnl" w:eastAsia="ar-SA"/>
        </w:rPr>
        <w:t xml:space="preserve">Comunicar la presente Resolución a la Junta Departamental y a la Intendencia de </w:t>
      </w:r>
      <w:r w:rsidR="001B02E3" w:rsidRPr="00042B09">
        <w:rPr>
          <w:rFonts w:ascii="Arial" w:eastAsia="Times New Roman" w:hAnsi="Arial" w:cs="Arial"/>
          <w:kern w:val="1"/>
          <w:sz w:val="24"/>
          <w:szCs w:val="24"/>
          <w:lang w:val="es-ES_tradnl" w:eastAsia="ar-SA"/>
        </w:rPr>
        <w:t>Colonia; y</w:t>
      </w:r>
    </w:p>
    <w:p w:rsidR="00C51530" w:rsidRDefault="00C51530" w:rsidP="00C51530">
      <w:pPr>
        <w:numPr>
          <w:ilvl w:val="0"/>
          <w:numId w:val="1"/>
        </w:numPr>
        <w:tabs>
          <w:tab w:val="left" w:pos="360"/>
        </w:tabs>
        <w:suppressAutoHyphens/>
        <w:spacing w:after="0" w:line="360" w:lineRule="auto"/>
        <w:ind w:left="360" w:hanging="360"/>
        <w:jc w:val="both"/>
        <w:rPr>
          <w:rFonts w:ascii="Arial" w:eastAsia="Times New Roman" w:hAnsi="Arial" w:cs="Arial"/>
          <w:kern w:val="1"/>
          <w:sz w:val="24"/>
          <w:szCs w:val="24"/>
          <w:lang w:val="es-ES_tradnl" w:eastAsia="ar-SA"/>
        </w:rPr>
      </w:pPr>
      <w:r w:rsidRPr="00042B09">
        <w:rPr>
          <w:rFonts w:ascii="Arial" w:eastAsia="Times New Roman" w:hAnsi="Arial" w:cs="Arial"/>
          <w:kern w:val="1"/>
          <w:sz w:val="24"/>
          <w:szCs w:val="24"/>
          <w:lang w:val="es-ES_tradnl" w:eastAsia="ar-SA"/>
        </w:rPr>
        <w:t>Dar cuenta a la Asamblea General.</w:t>
      </w:r>
    </w:p>
    <w:p w:rsidR="00042B09" w:rsidRDefault="00042B09" w:rsidP="00042B09">
      <w:pPr>
        <w:suppressAutoHyphens/>
        <w:spacing w:after="0" w:line="360" w:lineRule="auto"/>
        <w:jc w:val="both"/>
        <w:rPr>
          <w:rFonts w:ascii="Arial" w:eastAsia="Times New Roman" w:hAnsi="Arial" w:cs="Arial"/>
          <w:kern w:val="1"/>
          <w:sz w:val="24"/>
          <w:szCs w:val="24"/>
          <w:lang w:val="es-ES_tradnl" w:eastAsia="ar-SA"/>
        </w:rPr>
      </w:pPr>
    </w:p>
    <w:p w:rsidR="00042B09" w:rsidRDefault="00042B09" w:rsidP="00042B09">
      <w:pPr>
        <w:suppressAutoHyphens/>
        <w:spacing w:after="0" w:line="360" w:lineRule="auto"/>
        <w:jc w:val="both"/>
        <w:rPr>
          <w:rFonts w:ascii="Arial" w:eastAsia="Times New Roman" w:hAnsi="Arial" w:cs="Arial"/>
          <w:kern w:val="1"/>
          <w:sz w:val="24"/>
          <w:szCs w:val="24"/>
          <w:lang w:val="es-ES_tradnl" w:eastAsia="ar-SA"/>
        </w:rPr>
      </w:pPr>
    </w:p>
    <w:p w:rsidR="00042B09" w:rsidRDefault="00042B09" w:rsidP="00042B09">
      <w:pPr>
        <w:suppressAutoHyphens/>
        <w:spacing w:after="0" w:line="360" w:lineRule="auto"/>
        <w:jc w:val="both"/>
        <w:rPr>
          <w:rFonts w:ascii="Arial" w:eastAsia="Times New Roman" w:hAnsi="Arial" w:cs="Arial"/>
          <w:kern w:val="1"/>
          <w:sz w:val="24"/>
          <w:szCs w:val="24"/>
          <w:lang w:val="es-ES_tradnl" w:eastAsia="ar-SA"/>
        </w:rPr>
      </w:pPr>
    </w:p>
    <w:p w:rsidR="00042B09" w:rsidRDefault="00042B09" w:rsidP="00042B09">
      <w:pPr>
        <w:suppressAutoHyphens/>
        <w:spacing w:after="0" w:line="360" w:lineRule="auto"/>
        <w:jc w:val="both"/>
        <w:rPr>
          <w:rFonts w:ascii="Arial" w:eastAsia="Times New Roman" w:hAnsi="Arial" w:cs="Arial"/>
          <w:kern w:val="1"/>
          <w:sz w:val="24"/>
          <w:szCs w:val="24"/>
          <w:lang w:val="es-ES_tradnl" w:eastAsia="ar-SA"/>
        </w:rPr>
      </w:pPr>
    </w:p>
    <w:p w:rsidR="00042B09" w:rsidRPr="00042B09" w:rsidRDefault="00042B09" w:rsidP="00042B09">
      <w:pPr>
        <w:pStyle w:val="Ttulo1"/>
        <w:numPr>
          <w:ilvl w:val="0"/>
          <w:numId w:val="2"/>
        </w:numPr>
        <w:jc w:val="center"/>
        <w:rPr>
          <w:rFonts w:cs="Arial"/>
          <w:szCs w:val="24"/>
        </w:rPr>
      </w:pPr>
      <w:bookmarkStart w:id="1" w:name="_Toc429986110"/>
      <w:r w:rsidRPr="00042B09">
        <w:rPr>
          <w:rFonts w:cs="Arial"/>
          <w:szCs w:val="24"/>
        </w:rPr>
        <w:lastRenderedPageBreak/>
        <w:t>DICTAMEN</w:t>
      </w:r>
      <w:bookmarkEnd w:id="1"/>
    </w:p>
    <w:p w:rsidR="00042B09" w:rsidRPr="00042B09" w:rsidRDefault="00042B09" w:rsidP="009E6FFB">
      <w:pPr>
        <w:spacing w:after="0" w:line="360" w:lineRule="auto"/>
        <w:jc w:val="both"/>
        <w:rPr>
          <w:rFonts w:ascii="Arial" w:hAnsi="Arial" w:cs="Arial"/>
          <w:kern w:val="1"/>
          <w:sz w:val="24"/>
          <w:szCs w:val="24"/>
        </w:rPr>
      </w:pPr>
      <w:r w:rsidRPr="00042B09">
        <w:rPr>
          <w:rFonts w:ascii="Arial" w:hAnsi="Arial" w:cs="Arial"/>
          <w:kern w:val="1"/>
          <w:sz w:val="24"/>
          <w:szCs w:val="24"/>
        </w:rPr>
        <w:t>El Tribunal de Cuentas ha examinado la Rendición de Cuentas y el Balance de Ejecución Presupuestal de la Intendencia de Colonia correspondiente al Ejercicio 2014, que incluye los siguientes estados: de ejecución presupuestal con relación a los recursos y a los créditos, resultado del ejercicio, resultado acumulado y</w:t>
      </w:r>
      <w:r w:rsidR="009E6FFB">
        <w:rPr>
          <w:rFonts w:ascii="Arial" w:hAnsi="Arial" w:cs="Arial"/>
          <w:kern w:val="1"/>
          <w:sz w:val="24"/>
          <w:szCs w:val="24"/>
        </w:rPr>
        <w:t xml:space="preserve"> otros estados complementarios.</w:t>
      </w:r>
    </w:p>
    <w:p w:rsidR="00042B09" w:rsidRDefault="00042B09" w:rsidP="009E6FFB">
      <w:pPr>
        <w:pStyle w:val="Textoindependiente"/>
        <w:spacing w:after="0" w:line="360" w:lineRule="auto"/>
        <w:rPr>
          <w:rFonts w:cs="Arial"/>
          <w:szCs w:val="24"/>
        </w:rPr>
      </w:pPr>
      <w:r w:rsidRPr="00042B09">
        <w:rPr>
          <w:rFonts w:cs="Arial"/>
          <w:szCs w:val="24"/>
        </w:rPr>
        <w:t>También se presentan los incumplimientos legales constatados por el Tribunal de Cuentas en el curso de la auditoría efectuada.</w:t>
      </w:r>
    </w:p>
    <w:p w:rsidR="009E6FFB" w:rsidRPr="00042B09" w:rsidRDefault="009E6FFB" w:rsidP="009E6FFB">
      <w:pPr>
        <w:pStyle w:val="Textoindependiente"/>
        <w:spacing w:after="0" w:line="360" w:lineRule="auto"/>
        <w:rPr>
          <w:rFonts w:cs="Arial"/>
          <w:szCs w:val="24"/>
        </w:rPr>
      </w:pPr>
    </w:p>
    <w:p w:rsidR="00042B09" w:rsidRPr="00042B09" w:rsidRDefault="00042B09" w:rsidP="009E6FFB">
      <w:pPr>
        <w:pStyle w:val="Subttulo"/>
        <w:rPr>
          <w:rFonts w:ascii="Arial" w:hAnsi="Arial" w:cs="Arial"/>
          <w:bCs/>
          <w:szCs w:val="24"/>
        </w:rPr>
      </w:pPr>
      <w:r w:rsidRPr="00042B09">
        <w:rPr>
          <w:rFonts w:ascii="Arial" w:hAnsi="Arial" w:cs="Arial"/>
          <w:bCs/>
          <w:szCs w:val="24"/>
        </w:rPr>
        <w:t>Responsabilidad de la Intendencia Departamental</w:t>
      </w:r>
    </w:p>
    <w:p w:rsidR="00042B09" w:rsidRDefault="00042B09" w:rsidP="009E6FFB">
      <w:pPr>
        <w:pStyle w:val="Subttulo"/>
        <w:rPr>
          <w:rFonts w:ascii="Arial" w:hAnsi="Arial" w:cs="Arial"/>
          <w:b w:val="0"/>
          <w:szCs w:val="24"/>
        </w:rPr>
      </w:pPr>
      <w:r w:rsidRPr="00042B09">
        <w:rPr>
          <w:rFonts w:ascii="Arial" w:hAnsi="Arial" w:cs="Arial"/>
          <w:b w:val="0"/>
          <w:szCs w:val="24"/>
        </w:rPr>
        <w:t>La Intendencia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9E6FFB" w:rsidRPr="009E6FFB" w:rsidRDefault="009E6FFB" w:rsidP="009E6FFB">
      <w:pPr>
        <w:pStyle w:val="Textoindependiente"/>
      </w:pPr>
    </w:p>
    <w:p w:rsidR="00042B09" w:rsidRPr="00042B09" w:rsidRDefault="00042B09" w:rsidP="009E6FFB">
      <w:pPr>
        <w:pStyle w:val="Subttulo"/>
        <w:rPr>
          <w:rFonts w:ascii="Arial" w:hAnsi="Arial" w:cs="Arial"/>
          <w:bCs/>
          <w:szCs w:val="24"/>
        </w:rPr>
      </w:pPr>
      <w:r w:rsidRPr="00042B09">
        <w:rPr>
          <w:rFonts w:ascii="Arial" w:hAnsi="Arial" w:cs="Arial"/>
          <w:bCs/>
          <w:szCs w:val="24"/>
        </w:rPr>
        <w:t>Responsabilidad del auditor</w:t>
      </w:r>
    </w:p>
    <w:p w:rsidR="00042B09" w:rsidRPr="00042B09" w:rsidRDefault="00042B09" w:rsidP="009E6FFB">
      <w:pPr>
        <w:spacing w:line="360" w:lineRule="auto"/>
        <w:jc w:val="both"/>
        <w:rPr>
          <w:rFonts w:ascii="Arial" w:hAnsi="Arial" w:cs="Arial"/>
          <w:kern w:val="1"/>
          <w:sz w:val="24"/>
          <w:szCs w:val="24"/>
        </w:rPr>
      </w:pPr>
      <w:r w:rsidRPr="00042B09">
        <w:rPr>
          <w:rFonts w:ascii="Arial" w:hAnsi="Arial" w:cs="Arial"/>
          <w:kern w:val="1"/>
          <w:sz w:val="24"/>
          <w:szCs w:val="24"/>
        </w:rPr>
        <w:t>La responsabilidad del Tribunal de Cuentas es expresar una opinión sobre dichos estados contables basada en la auditoría realizada. Esta auditoría fue practicada de acuerdo con los Principios Fundamentales de Auditoria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libres de errores significativos.</w:t>
      </w:r>
    </w:p>
    <w:p w:rsidR="00042B09" w:rsidRPr="00042B09" w:rsidRDefault="00042B09" w:rsidP="009E6FFB">
      <w:pPr>
        <w:spacing w:after="0" w:line="360" w:lineRule="auto"/>
        <w:jc w:val="both"/>
        <w:rPr>
          <w:rFonts w:ascii="Arial" w:hAnsi="Arial" w:cs="Arial"/>
          <w:kern w:val="1"/>
          <w:sz w:val="24"/>
          <w:szCs w:val="24"/>
        </w:rPr>
      </w:pPr>
      <w:r w:rsidRPr="00042B09">
        <w:rPr>
          <w:rFonts w:ascii="Arial" w:hAnsi="Arial" w:cs="Arial"/>
          <w:kern w:val="1"/>
          <w:sz w:val="24"/>
          <w:szCs w:val="24"/>
        </w:rPr>
        <w:lastRenderedPageBreak/>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042B09" w:rsidRDefault="00042B09" w:rsidP="009E6FFB">
      <w:pPr>
        <w:spacing w:after="0" w:line="360" w:lineRule="auto"/>
        <w:jc w:val="both"/>
        <w:rPr>
          <w:rFonts w:ascii="Arial" w:hAnsi="Arial" w:cs="Arial"/>
          <w:kern w:val="1"/>
          <w:sz w:val="24"/>
          <w:szCs w:val="24"/>
        </w:rPr>
      </w:pPr>
      <w:r w:rsidRPr="00042B09">
        <w:rPr>
          <w:rFonts w:ascii="Arial" w:hAnsi="Arial" w:cs="Arial"/>
          <w:kern w:val="1"/>
          <w:sz w:val="24"/>
          <w:szCs w:val="24"/>
        </w:rPr>
        <w:t>Se considera que la evidencia de auditoría obtenida brinda una base suficiente y apropiada para sustentar la opinión.</w:t>
      </w:r>
    </w:p>
    <w:p w:rsidR="009E6FFB" w:rsidRPr="00042B09" w:rsidRDefault="009E6FFB" w:rsidP="009E6FFB">
      <w:pPr>
        <w:spacing w:after="0" w:line="360" w:lineRule="auto"/>
        <w:jc w:val="both"/>
        <w:rPr>
          <w:rFonts w:ascii="Arial" w:hAnsi="Arial" w:cs="Arial"/>
          <w:kern w:val="1"/>
          <w:sz w:val="24"/>
          <w:szCs w:val="24"/>
        </w:rPr>
      </w:pPr>
    </w:p>
    <w:p w:rsidR="00042B09" w:rsidRPr="00042B09" w:rsidRDefault="00042B09" w:rsidP="009E6FFB">
      <w:pPr>
        <w:pStyle w:val="Textoindependiente"/>
        <w:spacing w:after="0" w:line="360" w:lineRule="auto"/>
        <w:rPr>
          <w:rFonts w:cs="Arial"/>
          <w:b/>
          <w:bCs/>
          <w:szCs w:val="24"/>
        </w:rPr>
      </w:pPr>
      <w:r w:rsidRPr="00042B09">
        <w:rPr>
          <w:rFonts w:cs="Arial"/>
          <w:b/>
          <w:bCs/>
          <w:szCs w:val="24"/>
        </w:rPr>
        <w:t>Opinión</w:t>
      </w:r>
    </w:p>
    <w:p w:rsidR="00042B09" w:rsidRPr="00042B09" w:rsidRDefault="00042B09" w:rsidP="009E6FFB">
      <w:pPr>
        <w:spacing w:after="0" w:line="360" w:lineRule="auto"/>
        <w:jc w:val="both"/>
        <w:rPr>
          <w:rFonts w:ascii="Arial" w:hAnsi="Arial" w:cs="Arial"/>
          <w:kern w:val="1"/>
          <w:sz w:val="24"/>
          <w:szCs w:val="24"/>
        </w:rPr>
      </w:pPr>
      <w:r w:rsidRPr="00042B09">
        <w:rPr>
          <w:rFonts w:ascii="Arial" w:hAnsi="Arial" w:cs="Arial"/>
          <w:kern w:val="1"/>
          <w:sz w:val="24"/>
          <w:szCs w:val="24"/>
        </w:rPr>
        <w:t>En opinión del Tribunal de Cuentas, los estados mencionados presentan razonablemente, en todos sus aspectos importantes, la ejecución presupuestal del Ejercicio 2014 con relación a los recursos y a los créditos, el resultado del Ejercicio 2014 y el resultado acumulado al 31 de diciembre de 2014, de acuerdo a las normas establecidas en el TOCAF y a la Resolución de</w:t>
      </w:r>
      <w:r w:rsidR="009E6FFB">
        <w:rPr>
          <w:rFonts w:ascii="Arial" w:hAnsi="Arial" w:cs="Arial"/>
          <w:kern w:val="1"/>
          <w:sz w:val="24"/>
          <w:szCs w:val="24"/>
        </w:rPr>
        <w:t xml:space="preserve"> este Cuerpo de fecha 28/01/04.</w:t>
      </w:r>
    </w:p>
    <w:p w:rsidR="00042B09" w:rsidRDefault="00042B09" w:rsidP="009E6FFB">
      <w:pPr>
        <w:spacing w:after="0" w:line="360" w:lineRule="auto"/>
        <w:jc w:val="both"/>
        <w:rPr>
          <w:rFonts w:ascii="Arial" w:hAnsi="Arial" w:cs="Arial"/>
          <w:kern w:val="1"/>
          <w:sz w:val="24"/>
          <w:szCs w:val="24"/>
        </w:rPr>
      </w:pPr>
      <w:r w:rsidRPr="00042B09">
        <w:rPr>
          <w:rFonts w:ascii="Arial" w:hAnsi="Arial" w:cs="Arial"/>
          <w:kern w:val="1"/>
          <w:sz w:val="24"/>
          <w:szCs w:val="24"/>
        </w:rPr>
        <w:t>Con relación al cumplimiento de la normativa vigente, en el curso de la auditoría se ha constatado que:</w:t>
      </w:r>
    </w:p>
    <w:p w:rsidR="00282854" w:rsidRPr="00042B09" w:rsidRDefault="00282854" w:rsidP="009E6FFB">
      <w:pPr>
        <w:spacing w:after="0" w:line="360" w:lineRule="auto"/>
        <w:jc w:val="both"/>
        <w:rPr>
          <w:rFonts w:ascii="Arial" w:hAnsi="Arial" w:cs="Arial"/>
          <w:kern w:val="1"/>
          <w:sz w:val="24"/>
          <w:szCs w:val="24"/>
        </w:rPr>
      </w:pPr>
    </w:p>
    <w:p w:rsidR="00042B09" w:rsidRPr="00042B09" w:rsidRDefault="00042B09" w:rsidP="009E6FFB">
      <w:pPr>
        <w:spacing w:after="0" w:line="360" w:lineRule="auto"/>
        <w:rPr>
          <w:rFonts w:ascii="Arial" w:hAnsi="Arial" w:cs="Arial"/>
          <w:sz w:val="24"/>
          <w:szCs w:val="24"/>
        </w:rPr>
      </w:pPr>
      <w:r w:rsidRPr="00042B09">
        <w:rPr>
          <w:rFonts w:ascii="Arial" w:hAnsi="Arial" w:cs="Arial"/>
          <w:b/>
          <w:bCs/>
          <w:sz w:val="24"/>
          <w:szCs w:val="24"/>
        </w:rPr>
        <w:t>1. Artículo 86 de la Constitución de la República:</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sz w:val="24"/>
          <w:szCs w:val="24"/>
        </w:rPr>
        <w:t>Los sueldos de algunos funcionarios no se adecuan a lo establecido en la normativa presupuestal ni coincide la cantidad de funcionarios contratados con la prevista en el planillado correspondiente del</w:t>
      </w:r>
      <w:r w:rsidRPr="00042B09">
        <w:rPr>
          <w:rFonts w:ascii="Arial" w:hAnsi="Arial" w:cs="Arial"/>
          <w:color w:val="FF0000"/>
          <w:sz w:val="24"/>
          <w:szCs w:val="24"/>
        </w:rPr>
        <w:t xml:space="preserve"> </w:t>
      </w:r>
      <w:r w:rsidR="00282854">
        <w:rPr>
          <w:rFonts w:ascii="Arial" w:hAnsi="Arial" w:cs="Arial"/>
          <w:sz w:val="24"/>
          <w:szCs w:val="24"/>
        </w:rPr>
        <w:t>presupuesto.</w:t>
      </w:r>
    </w:p>
    <w:p w:rsidR="00042B09" w:rsidRPr="00042B09" w:rsidRDefault="00042B09" w:rsidP="009E6FFB">
      <w:pPr>
        <w:spacing w:after="0" w:line="360" w:lineRule="auto"/>
        <w:rPr>
          <w:rFonts w:ascii="Arial" w:hAnsi="Arial" w:cs="Arial"/>
          <w:color w:val="000000"/>
          <w:sz w:val="24"/>
          <w:szCs w:val="24"/>
        </w:rPr>
      </w:pPr>
    </w:p>
    <w:p w:rsidR="00282854" w:rsidRDefault="00042B09" w:rsidP="00282854">
      <w:pPr>
        <w:spacing w:after="0" w:line="360" w:lineRule="auto"/>
        <w:jc w:val="both"/>
        <w:rPr>
          <w:rFonts w:ascii="Arial" w:hAnsi="Arial" w:cs="Arial"/>
          <w:color w:val="000000"/>
          <w:sz w:val="24"/>
          <w:szCs w:val="24"/>
        </w:rPr>
      </w:pPr>
      <w:r w:rsidRPr="00042B09">
        <w:rPr>
          <w:rFonts w:ascii="Arial" w:hAnsi="Arial" w:cs="Arial"/>
          <w:color w:val="000000"/>
          <w:sz w:val="24"/>
          <w:szCs w:val="24"/>
        </w:rPr>
        <w:t>Se pagaron complementos de sueldos no previstos presupuestalmente.</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sz w:val="24"/>
          <w:szCs w:val="24"/>
        </w:rPr>
        <w:t>El aumento de sueldos correspondiente al mes de enero, no se ajustó exactamente a lo previsto en los Artículos 145 y 147 del Presupuesto Quinquenal 2011-2015, al aplicarlo sobre los salarios nominales vigentes al 31/12/13, debiendo haberse aplicado sobre los salarios nominales aj</w:t>
      </w:r>
      <w:r w:rsidR="00282854">
        <w:rPr>
          <w:rFonts w:ascii="Arial" w:hAnsi="Arial" w:cs="Arial"/>
          <w:sz w:val="24"/>
          <w:szCs w:val="24"/>
        </w:rPr>
        <w:t>ustados vigentes al 31/12/2010.</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sz w:val="24"/>
          <w:szCs w:val="24"/>
        </w:rPr>
        <w:t>De acuerdo a lo establecido en las Resoluciones 158/012 y 785/012, se abonaron viáticos que no revisten la calidad de tales y no estab</w:t>
      </w:r>
      <w:r w:rsidR="00282854">
        <w:rPr>
          <w:rFonts w:ascii="Arial" w:hAnsi="Arial" w:cs="Arial"/>
          <w:sz w:val="24"/>
          <w:szCs w:val="24"/>
        </w:rPr>
        <w:t>an previstos presupuestalmente.</w:t>
      </w:r>
    </w:p>
    <w:p w:rsidR="00042B09" w:rsidRPr="00042B09" w:rsidRDefault="00042B09" w:rsidP="00DB32DC">
      <w:pPr>
        <w:spacing w:after="0" w:line="360" w:lineRule="auto"/>
        <w:jc w:val="both"/>
        <w:rPr>
          <w:rFonts w:ascii="Arial" w:hAnsi="Arial" w:cs="Arial"/>
          <w:sz w:val="24"/>
          <w:szCs w:val="24"/>
        </w:rPr>
      </w:pPr>
      <w:r w:rsidRPr="00042B09">
        <w:rPr>
          <w:rFonts w:ascii="Arial" w:hAnsi="Arial" w:cs="Arial"/>
          <w:b/>
          <w:bCs/>
          <w:sz w:val="24"/>
          <w:szCs w:val="24"/>
        </w:rPr>
        <w:t xml:space="preserve">2. Artículo 211 Literal B) de la Constitución de la República y Artículo 87 del TOCAF: </w:t>
      </w:r>
      <w:r w:rsidRPr="00042B09">
        <w:rPr>
          <w:rFonts w:ascii="Arial" w:hAnsi="Arial" w:cs="Arial"/>
          <w:bCs/>
          <w:sz w:val="24"/>
          <w:szCs w:val="24"/>
        </w:rPr>
        <w:t>En las Oficinas descentralizadas de la Intendencia</w:t>
      </w:r>
      <w:r w:rsidRPr="00042B09">
        <w:rPr>
          <w:rFonts w:ascii="Arial" w:hAnsi="Arial" w:cs="Arial"/>
          <w:sz w:val="24"/>
          <w:szCs w:val="24"/>
        </w:rPr>
        <w:t xml:space="preserve"> se realizaron pagos sin ser intervenidos preventivamente por el Tribunal de Cuentas.</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pacing w:val="6"/>
          <w:sz w:val="24"/>
          <w:szCs w:val="24"/>
        </w:rPr>
        <w:t>3. Artículos 225 y 227 de la Constitución de la República y Ordenanza N°</w:t>
      </w:r>
      <w:r w:rsidRPr="00042B09">
        <w:rPr>
          <w:rFonts w:ascii="Arial" w:hAnsi="Arial" w:cs="Arial"/>
          <w:b/>
          <w:bCs/>
          <w:sz w:val="24"/>
          <w:szCs w:val="24"/>
        </w:rPr>
        <w:t xml:space="preserve"> 71.</w:t>
      </w:r>
      <w:r w:rsidRPr="00042B09">
        <w:rPr>
          <w:rFonts w:ascii="Arial" w:hAnsi="Arial" w:cs="Arial"/>
          <w:b/>
          <w:sz w:val="24"/>
          <w:szCs w:val="24"/>
        </w:rPr>
        <w:t xml:space="preserve"> </w:t>
      </w:r>
      <w:r w:rsidRPr="00042B09">
        <w:rPr>
          <w:rFonts w:ascii="Arial" w:hAnsi="Arial" w:cs="Arial"/>
          <w:sz w:val="24"/>
          <w:szCs w:val="24"/>
        </w:rPr>
        <w:t>No se efectuaron los ajustes correspondientes a efectos de subsanar las observaciones efectuadas por este Tribunal a la Modificación Presupuestal 2013-2015 de la Intendencia, que fueron aceptada</w:t>
      </w:r>
      <w:r w:rsidR="00282854">
        <w:rPr>
          <w:rFonts w:ascii="Arial" w:hAnsi="Arial" w:cs="Arial"/>
          <w:sz w:val="24"/>
          <w:szCs w:val="24"/>
        </w:rPr>
        <w:t>s por la Junta Departamental.</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 xml:space="preserve">4. Artículo 289 de la Constitución de la República: </w:t>
      </w:r>
      <w:r w:rsidRPr="00042B09">
        <w:rPr>
          <w:rFonts w:ascii="Arial" w:hAnsi="Arial" w:cs="Arial"/>
          <w:sz w:val="24"/>
          <w:szCs w:val="24"/>
        </w:rPr>
        <w:t>el Intendente ocupó su cargo, teniendo además vinculación con una mutualista q</w:t>
      </w:r>
      <w:r w:rsidR="00282854">
        <w:rPr>
          <w:rFonts w:ascii="Arial" w:hAnsi="Arial" w:cs="Arial"/>
          <w:sz w:val="24"/>
          <w:szCs w:val="24"/>
        </w:rPr>
        <w:t>ue contrata con la Intendencia.</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 xml:space="preserve">5. Artículo 295 de la Constitución de la República. </w:t>
      </w:r>
      <w:r w:rsidRPr="00042B09">
        <w:rPr>
          <w:rFonts w:ascii="Arial" w:hAnsi="Arial" w:cs="Arial"/>
          <w:sz w:val="24"/>
          <w:szCs w:val="24"/>
        </w:rPr>
        <w:t xml:space="preserve">El sueldo del Intendente no se adecua al establecido en el Decreto de la Junta Departamental de fecha 16/04/10. Este Tribunal, en Sesión de fecha 06/04/11, acordó emitir su Dictamen respecto del Proyecto de Presupuesto Quinquenal de la Intendencia de Colonia para el período 2011-2015, observando dicha situación. En sesión de  fecha  06/05/11  la  Junta  Departamental no aceptó la referida observación </w:t>
      </w:r>
    </w:p>
    <w:p w:rsidR="00042B09" w:rsidRPr="00042B09" w:rsidRDefault="00042B09" w:rsidP="00282854">
      <w:pPr>
        <w:spacing w:after="0" w:line="360" w:lineRule="auto"/>
        <w:jc w:val="both"/>
        <w:rPr>
          <w:rFonts w:ascii="Arial" w:hAnsi="Arial" w:cs="Arial"/>
          <w:sz w:val="24"/>
          <w:szCs w:val="24"/>
          <w:lang w:val="es-MX"/>
        </w:rPr>
      </w:pPr>
      <w:r w:rsidRPr="00042B09">
        <w:rPr>
          <w:rFonts w:ascii="Arial" w:hAnsi="Arial" w:cs="Arial"/>
          <w:sz w:val="24"/>
          <w:szCs w:val="24"/>
        </w:rPr>
        <w:t>resolviendo remitir los antecedentes a la Asamblea General. S</w:t>
      </w:r>
      <w:r w:rsidRPr="00042B09">
        <w:rPr>
          <w:rFonts w:ascii="Arial" w:hAnsi="Arial" w:cs="Arial"/>
          <w:sz w:val="24"/>
          <w:szCs w:val="24"/>
          <w:lang w:val="es-MX"/>
        </w:rPr>
        <w:t>egún se expresa en Oficio remitido por la Junta Departamental de Colonia, la Asamblea General con fecha 19/07/11 comunicó a dicha Corporación que vencieron los plazos establecidos para el estudio de las observaciones formuladas por el Tribunal de Cuentas, sin que se haya expedido al respe</w:t>
      </w:r>
      <w:r w:rsidR="00282854">
        <w:rPr>
          <w:rFonts w:ascii="Arial" w:hAnsi="Arial" w:cs="Arial"/>
          <w:sz w:val="24"/>
          <w:szCs w:val="24"/>
          <w:lang w:val="es-MX"/>
        </w:rPr>
        <w:t>cto.</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6. Artículo 297 Numeral 1)</w:t>
      </w:r>
      <w:r w:rsidRPr="00042B09">
        <w:rPr>
          <w:rFonts w:ascii="Arial" w:hAnsi="Arial" w:cs="Arial"/>
          <w:sz w:val="24"/>
          <w:szCs w:val="24"/>
        </w:rPr>
        <w:t xml:space="preserve"> </w:t>
      </w:r>
      <w:r w:rsidRPr="00042B09">
        <w:rPr>
          <w:rFonts w:ascii="Arial" w:hAnsi="Arial" w:cs="Arial"/>
          <w:b/>
          <w:bCs/>
          <w:sz w:val="24"/>
          <w:szCs w:val="24"/>
        </w:rPr>
        <w:t>de la Constitución de la República.</w:t>
      </w:r>
      <w:r w:rsidRPr="00042B09">
        <w:rPr>
          <w:rFonts w:ascii="Arial" w:hAnsi="Arial" w:cs="Arial"/>
          <w:sz w:val="24"/>
          <w:szCs w:val="24"/>
        </w:rPr>
        <w:t xml:space="preserve"> El mínimo de contribución inmobiliaria rural cobrado por la Intendencia excede su potestad tributaria, por cuanto el citado impuesto tiene orige</w:t>
      </w:r>
      <w:r w:rsidR="00282854">
        <w:rPr>
          <w:rFonts w:ascii="Arial" w:hAnsi="Arial" w:cs="Arial"/>
          <w:sz w:val="24"/>
          <w:szCs w:val="24"/>
        </w:rPr>
        <w:t>n legal de regulación nacional.</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sz w:val="24"/>
          <w:szCs w:val="24"/>
        </w:rPr>
        <w:t>7. Artículo 297 Numeral 6) de la Constitución de la República:</w:t>
      </w:r>
      <w:r w:rsidRPr="00042B09">
        <w:rPr>
          <w:rFonts w:ascii="Arial" w:hAnsi="Arial" w:cs="Arial"/>
          <w:sz w:val="24"/>
          <w:szCs w:val="24"/>
        </w:rPr>
        <w:t xml:space="preserve"> La determinación del tributo de patente de rodados del ejercicio 2014, no fue aprob</w:t>
      </w:r>
      <w:r w:rsidR="00282854">
        <w:rPr>
          <w:rFonts w:ascii="Arial" w:hAnsi="Arial" w:cs="Arial"/>
          <w:sz w:val="24"/>
          <w:szCs w:val="24"/>
        </w:rPr>
        <w:t>ada por la Junta Departamental.</w:t>
      </w:r>
    </w:p>
    <w:p w:rsidR="00042B09" w:rsidRPr="00042B09" w:rsidRDefault="00042B09" w:rsidP="00282854">
      <w:pPr>
        <w:spacing w:after="0" w:line="360" w:lineRule="auto"/>
        <w:jc w:val="both"/>
        <w:rPr>
          <w:rFonts w:ascii="Arial" w:hAnsi="Arial" w:cs="Arial"/>
          <w:color w:val="000000"/>
          <w:sz w:val="24"/>
          <w:szCs w:val="24"/>
        </w:rPr>
      </w:pPr>
      <w:r w:rsidRPr="00042B09">
        <w:rPr>
          <w:rFonts w:ascii="Arial" w:hAnsi="Arial" w:cs="Arial"/>
          <w:b/>
          <w:sz w:val="24"/>
          <w:szCs w:val="24"/>
        </w:rPr>
        <w:t>8. Artículo 12 del TOCAF</w:t>
      </w:r>
      <w:r w:rsidRPr="00042B09">
        <w:rPr>
          <w:rFonts w:ascii="Arial" w:hAnsi="Arial" w:cs="Arial"/>
          <w:sz w:val="24"/>
          <w:szCs w:val="24"/>
        </w:rPr>
        <w:t>:</w:t>
      </w:r>
      <w:r w:rsidRPr="00042B09">
        <w:rPr>
          <w:rFonts w:ascii="Arial" w:hAnsi="Arial" w:cs="Arial"/>
          <w:color w:val="0000FF"/>
          <w:sz w:val="24"/>
          <w:szCs w:val="24"/>
        </w:rPr>
        <w:t xml:space="preserve"> </w:t>
      </w:r>
      <w:r w:rsidRPr="00042B09">
        <w:rPr>
          <w:rFonts w:ascii="Arial" w:hAnsi="Arial" w:cs="Arial"/>
          <w:color w:val="000000"/>
          <w:sz w:val="24"/>
          <w:szCs w:val="24"/>
        </w:rPr>
        <w:t>Se incluyeron en el saldo final de disponibilidades, cheques diferidos a</w:t>
      </w:r>
      <w:r w:rsidR="00282854">
        <w:rPr>
          <w:rFonts w:ascii="Arial" w:hAnsi="Arial" w:cs="Arial"/>
          <w:color w:val="000000"/>
          <w:sz w:val="24"/>
          <w:szCs w:val="24"/>
        </w:rPr>
        <w:t xml:space="preserve"> cobrar no vencidos al 31/12/14.</w:t>
      </w:r>
    </w:p>
    <w:p w:rsidR="00042B09" w:rsidRPr="00042B09" w:rsidRDefault="00042B09" w:rsidP="009E6FFB">
      <w:pPr>
        <w:spacing w:after="0" w:line="360" w:lineRule="auto"/>
        <w:rPr>
          <w:rFonts w:ascii="Arial" w:hAnsi="Arial" w:cs="Arial"/>
          <w:sz w:val="24"/>
          <w:szCs w:val="24"/>
        </w:rPr>
      </w:pPr>
      <w:r w:rsidRPr="00042B09">
        <w:rPr>
          <w:rFonts w:ascii="Arial" w:hAnsi="Arial" w:cs="Arial"/>
          <w:b/>
          <w:bCs/>
          <w:sz w:val="24"/>
          <w:szCs w:val="24"/>
        </w:rPr>
        <w:t>9. Artículo 14 del TOCAF:</w:t>
      </w:r>
      <w:r w:rsidRPr="00042B09">
        <w:rPr>
          <w:rFonts w:ascii="Arial" w:hAnsi="Arial" w:cs="Arial"/>
          <w:sz w:val="24"/>
          <w:szCs w:val="24"/>
        </w:rPr>
        <w:t xml:space="preserve"> Se efectuaron gastos que no fueron ordenados por autoridad competente.</w:t>
      </w:r>
    </w:p>
    <w:p w:rsidR="00042B09" w:rsidRPr="00042B09" w:rsidRDefault="00042B09" w:rsidP="00282854">
      <w:pPr>
        <w:spacing w:after="0" w:line="360" w:lineRule="auto"/>
        <w:jc w:val="both"/>
        <w:rPr>
          <w:rFonts w:ascii="Arial" w:hAnsi="Arial" w:cs="Arial"/>
          <w:color w:val="000000"/>
          <w:sz w:val="24"/>
          <w:szCs w:val="24"/>
        </w:rPr>
      </w:pPr>
      <w:r w:rsidRPr="00042B09">
        <w:rPr>
          <w:rFonts w:ascii="Arial" w:hAnsi="Arial" w:cs="Arial"/>
          <w:b/>
          <w:bCs/>
          <w:sz w:val="24"/>
          <w:szCs w:val="24"/>
        </w:rPr>
        <w:t xml:space="preserve">10. Artículos 15 y </w:t>
      </w:r>
      <w:r w:rsidRPr="00042B09">
        <w:rPr>
          <w:rFonts w:ascii="Arial" w:hAnsi="Arial" w:cs="Arial"/>
          <w:b/>
          <w:bCs/>
          <w:color w:val="000000"/>
          <w:sz w:val="24"/>
          <w:szCs w:val="24"/>
        </w:rPr>
        <w:t>102 del TOCAF:</w:t>
      </w:r>
      <w:r w:rsidRPr="00042B09">
        <w:rPr>
          <w:rFonts w:ascii="Arial" w:hAnsi="Arial" w:cs="Arial"/>
          <w:color w:val="000000"/>
          <w:sz w:val="24"/>
          <w:szCs w:val="24"/>
        </w:rPr>
        <w:t xml:space="preserve"> Cuando cada Dirección u Oficina Descentralizada de la Intendencia y los Municipios contratan directamente, no se realiza afectación previa del gasto, lo que no permite conocer la disponibilidad presupuestal en el mo</w:t>
      </w:r>
      <w:r w:rsidR="00282854">
        <w:rPr>
          <w:rFonts w:ascii="Arial" w:hAnsi="Arial" w:cs="Arial"/>
          <w:color w:val="000000"/>
          <w:sz w:val="24"/>
          <w:szCs w:val="24"/>
        </w:rPr>
        <w:t>mento del compromiso del mismo.</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11. Artículo 16 del TOCAF:</w:t>
      </w:r>
      <w:r w:rsidRPr="00042B09">
        <w:rPr>
          <w:rFonts w:ascii="Arial" w:hAnsi="Arial" w:cs="Arial"/>
          <w:sz w:val="24"/>
          <w:szCs w:val="24"/>
        </w:rPr>
        <w:t xml:space="preserve"> Durante el ejercicio 2014 se realizaron imputaciones de gastos a objetos distintos a los que hubiera correspondido.</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12. Artículo 21 del TOCAF:</w:t>
      </w:r>
      <w:r w:rsidRPr="00042B09">
        <w:rPr>
          <w:rFonts w:ascii="Arial" w:hAnsi="Arial" w:cs="Arial"/>
          <w:sz w:val="24"/>
          <w:szCs w:val="24"/>
        </w:rPr>
        <w:t xml:space="preserve"> Se realizaron pagos a proveedores de servicios profesionales, los cuales carecían de contrato vi</w:t>
      </w:r>
      <w:r w:rsidRPr="00042B09">
        <w:rPr>
          <w:rFonts w:ascii="Arial" w:hAnsi="Arial" w:cs="Arial"/>
          <w:color w:val="000000"/>
          <w:sz w:val="24"/>
          <w:szCs w:val="24"/>
        </w:rPr>
        <w:t>gente. En algunos casos, los montos pagados por servicios profesionales se actualizaron por IPC, cuando el contrato no preveía dicho ajuste.</w:t>
      </w:r>
      <w:r w:rsidRPr="00042B09">
        <w:rPr>
          <w:rFonts w:ascii="Arial" w:hAnsi="Arial" w:cs="Arial"/>
          <w:color w:val="FFFFFF"/>
          <w:sz w:val="24"/>
          <w:szCs w:val="24"/>
        </w:rPr>
        <w:t xml:space="preserve"> </w:t>
      </w:r>
      <w:r w:rsidRPr="00042B09">
        <w:rPr>
          <w:rFonts w:ascii="Arial" w:hAnsi="Arial" w:cs="Arial"/>
          <w:sz w:val="24"/>
          <w:szCs w:val="24"/>
        </w:rPr>
        <w:t>Asimismo, se pagó a artistas que no contaban con el corr</w:t>
      </w:r>
      <w:r w:rsidR="00282854">
        <w:rPr>
          <w:rFonts w:ascii="Arial" w:hAnsi="Arial" w:cs="Arial"/>
          <w:sz w:val="24"/>
          <w:szCs w:val="24"/>
        </w:rPr>
        <w:t>espondiente contrato artístico.</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sz w:val="24"/>
          <w:szCs w:val="24"/>
        </w:rPr>
        <w:t>Se realizaron pagos a empresas de cobranza externa sin haber contrato vigente.</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13. Artículos 33 y</w:t>
      </w:r>
      <w:r w:rsidRPr="00042B09">
        <w:rPr>
          <w:rFonts w:ascii="Arial" w:hAnsi="Arial" w:cs="Arial"/>
          <w:b/>
          <w:bCs/>
          <w:color w:val="000000"/>
          <w:sz w:val="24"/>
          <w:szCs w:val="24"/>
        </w:rPr>
        <w:t xml:space="preserve"> 43 del TOCAF:</w:t>
      </w:r>
      <w:r w:rsidRPr="00042B09">
        <w:rPr>
          <w:rFonts w:ascii="Arial" w:hAnsi="Arial" w:cs="Arial"/>
          <w:sz w:val="24"/>
          <w:szCs w:val="24"/>
        </w:rPr>
        <w:t xml:space="preserve"> En el Ejercicio 2014, no se ha dado cumplimiento a estas normas al efectuarse adquisiciones de artículos o servicios en forma fraccionada, sin dejar constancia de sus fundamentos. No se tuvieron en cuenta las necesidades previstas para todo el ejercicio de ese tipo de artículos, omitiéndose la aplicación de los procedimientos de contratación que hubieran corresp</w:t>
      </w:r>
      <w:r w:rsidR="00282854">
        <w:rPr>
          <w:rFonts w:ascii="Arial" w:hAnsi="Arial" w:cs="Arial"/>
          <w:sz w:val="24"/>
          <w:szCs w:val="24"/>
        </w:rPr>
        <w:t>ondido de acuerdo con el monto.</w:t>
      </w:r>
    </w:p>
    <w:p w:rsidR="00042B09" w:rsidRPr="00042B09" w:rsidRDefault="00042B09" w:rsidP="00282854">
      <w:pPr>
        <w:spacing w:after="0" w:line="360" w:lineRule="auto"/>
        <w:jc w:val="both"/>
        <w:rPr>
          <w:rFonts w:ascii="Arial" w:hAnsi="Arial" w:cs="Arial"/>
          <w:bCs/>
          <w:sz w:val="24"/>
          <w:szCs w:val="24"/>
        </w:rPr>
      </w:pPr>
      <w:r w:rsidRPr="00042B09">
        <w:rPr>
          <w:rFonts w:ascii="Arial" w:hAnsi="Arial" w:cs="Arial"/>
          <w:b/>
          <w:bCs/>
          <w:sz w:val="24"/>
          <w:szCs w:val="24"/>
        </w:rPr>
        <w:t>14. Artícul</w:t>
      </w:r>
      <w:r w:rsidRPr="00042B09">
        <w:rPr>
          <w:rFonts w:ascii="Arial" w:hAnsi="Arial" w:cs="Arial"/>
          <w:b/>
          <w:bCs/>
          <w:color w:val="000000"/>
          <w:sz w:val="24"/>
          <w:szCs w:val="24"/>
        </w:rPr>
        <w:t>o 40</w:t>
      </w:r>
      <w:r w:rsidRPr="00042B09">
        <w:rPr>
          <w:rFonts w:ascii="Arial" w:hAnsi="Arial" w:cs="Arial"/>
          <w:b/>
          <w:bCs/>
          <w:sz w:val="24"/>
          <w:szCs w:val="24"/>
        </w:rPr>
        <w:t xml:space="preserve"> del TOCAF: </w:t>
      </w:r>
      <w:r w:rsidRPr="00042B09">
        <w:rPr>
          <w:rFonts w:ascii="Arial" w:hAnsi="Arial" w:cs="Arial"/>
          <w:bCs/>
          <w:sz w:val="24"/>
          <w:szCs w:val="24"/>
        </w:rPr>
        <w:t>En la</w:t>
      </w:r>
      <w:r w:rsidRPr="00042B09">
        <w:rPr>
          <w:rFonts w:ascii="Arial" w:hAnsi="Arial" w:cs="Arial"/>
          <w:b/>
          <w:bCs/>
          <w:sz w:val="24"/>
          <w:szCs w:val="24"/>
        </w:rPr>
        <w:t xml:space="preserve"> </w:t>
      </w:r>
      <w:r w:rsidRPr="00042B09">
        <w:rPr>
          <w:rFonts w:ascii="Arial" w:hAnsi="Arial" w:cs="Arial"/>
          <w:bCs/>
          <w:sz w:val="24"/>
          <w:szCs w:val="24"/>
        </w:rPr>
        <w:t>renovación de contratos de arrendamiento de inmueble no se solicitó informe previo de la oficina técnica competente con respecto al valor del arrendami</w:t>
      </w:r>
      <w:r w:rsidR="00282854">
        <w:rPr>
          <w:rFonts w:ascii="Arial" w:hAnsi="Arial" w:cs="Arial"/>
          <w:bCs/>
          <w:sz w:val="24"/>
          <w:szCs w:val="24"/>
        </w:rPr>
        <w:t>ento a pagar por la Intendencia.</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 xml:space="preserve">15. Artículos 48 Literal C) y 68 Inciso 3) del TOCAF: </w:t>
      </w:r>
      <w:r w:rsidRPr="00042B09">
        <w:rPr>
          <w:rFonts w:ascii="Arial" w:hAnsi="Arial" w:cs="Arial"/>
          <w:sz w:val="24"/>
          <w:szCs w:val="24"/>
        </w:rPr>
        <w:t>En pliegos de condiciones particulares de licitaciones públicas y abreviadas, no se establecen los criterios de ponderación de cada uno de los factores de evaluación de ofertas. Tampoco se determinan los requisitos mínimos exigibles ni un único elemento cuantitativo en base al que se adjudique.</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bCs/>
          <w:sz w:val="24"/>
          <w:szCs w:val="24"/>
        </w:rPr>
        <w:t>16. Artículo 48 del TOCAF:</w:t>
      </w:r>
      <w:r w:rsidRPr="00042B09">
        <w:rPr>
          <w:rFonts w:ascii="Arial" w:hAnsi="Arial" w:cs="Arial"/>
          <w:sz w:val="24"/>
          <w:szCs w:val="24"/>
        </w:rPr>
        <w:t xml:space="preserve"> En pliegos de condiciones particulares se exigen a los oferentes requisitos que no están  vinculados a la consideración del objeto de la contratación y a la evaluación de la oferta.</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
          <w:sz w:val="24"/>
          <w:szCs w:val="24"/>
        </w:rPr>
        <w:t>17. Artículo 50 del TOCAF:</w:t>
      </w:r>
      <w:r w:rsidRPr="00042B09">
        <w:rPr>
          <w:rFonts w:ascii="Arial" w:hAnsi="Arial" w:cs="Arial"/>
          <w:sz w:val="24"/>
          <w:szCs w:val="24"/>
        </w:rPr>
        <w:t xml:space="preserve"> En licitaciones, el plazo de publicación de los actos de adjudicación, ampliación y reiteración en la página web de Compras y Contrataciones Estatales, excede el establecido en esta norma.</w:t>
      </w:r>
    </w:p>
    <w:p w:rsidR="00042B09" w:rsidRPr="00042B09" w:rsidRDefault="00042B09" w:rsidP="00282854">
      <w:pPr>
        <w:spacing w:after="0" w:line="360" w:lineRule="auto"/>
        <w:jc w:val="both"/>
        <w:rPr>
          <w:rFonts w:ascii="Arial" w:hAnsi="Arial" w:cs="Arial"/>
          <w:sz w:val="24"/>
          <w:szCs w:val="24"/>
        </w:rPr>
      </w:pPr>
      <w:r w:rsidRPr="00042B09">
        <w:rPr>
          <w:rFonts w:ascii="Arial" w:hAnsi="Arial" w:cs="Arial"/>
          <w:bCs/>
          <w:sz w:val="24"/>
          <w:szCs w:val="24"/>
        </w:rPr>
        <w:t>Para contrataciones directas por monto superior al 50 % del límite del procedimiento de compra directa, no se da publicidad de los actos de adjudicación ni de reiteración de gastos en la página web mencionada.</w:t>
      </w:r>
    </w:p>
    <w:p w:rsidR="00042B09" w:rsidRPr="00042B09" w:rsidRDefault="00042B09" w:rsidP="009E6FFB">
      <w:pPr>
        <w:spacing w:after="0" w:line="360" w:lineRule="auto"/>
        <w:rPr>
          <w:rFonts w:ascii="Arial" w:hAnsi="Arial" w:cs="Arial"/>
          <w:color w:val="000000"/>
          <w:kern w:val="1"/>
          <w:sz w:val="24"/>
          <w:szCs w:val="24"/>
        </w:rPr>
      </w:pPr>
      <w:r w:rsidRPr="00042B09">
        <w:rPr>
          <w:rFonts w:ascii="Arial" w:hAnsi="Arial" w:cs="Arial"/>
          <w:b/>
          <w:bCs/>
          <w:color w:val="000000"/>
          <w:kern w:val="1"/>
          <w:sz w:val="24"/>
          <w:szCs w:val="24"/>
        </w:rPr>
        <w:t>18. Artículo 64 del TOCAF:</w:t>
      </w:r>
      <w:r w:rsidRPr="00042B09">
        <w:rPr>
          <w:rFonts w:ascii="Arial" w:hAnsi="Arial" w:cs="Arial"/>
          <w:color w:val="000000"/>
          <w:kern w:val="1"/>
          <w:sz w:val="24"/>
          <w:szCs w:val="24"/>
        </w:rPr>
        <w:t xml:space="preserve"> En pliegos de condiciones particulares la garantía de mantenimiento de oferta se expresa en porcentaje, en vez de determinarse un valor fijo en moneda nacional o extranjera.</w:t>
      </w:r>
    </w:p>
    <w:p w:rsidR="00042B09" w:rsidRPr="00042B09" w:rsidRDefault="00042B09" w:rsidP="00282854">
      <w:pPr>
        <w:spacing w:after="0" w:line="360" w:lineRule="auto"/>
        <w:jc w:val="both"/>
        <w:rPr>
          <w:rFonts w:ascii="Arial" w:hAnsi="Arial" w:cs="Arial"/>
          <w:color w:val="000000"/>
          <w:sz w:val="24"/>
          <w:szCs w:val="24"/>
        </w:rPr>
      </w:pPr>
      <w:r w:rsidRPr="00042B09">
        <w:rPr>
          <w:rFonts w:ascii="Arial" w:hAnsi="Arial" w:cs="Arial"/>
          <w:b/>
          <w:bCs/>
          <w:color w:val="000000"/>
          <w:sz w:val="24"/>
          <w:szCs w:val="24"/>
        </w:rPr>
        <w:t xml:space="preserve">19. Artículo 77 del TOCAF: </w:t>
      </w:r>
      <w:r w:rsidRPr="00042B09">
        <w:rPr>
          <w:rFonts w:ascii="Arial" w:hAnsi="Arial" w:cs="Arial"/>
          <w:color w:val="000000"/>
          <w:sz w:val="24"/>
          <w:szCs w:val="24"/>
        </w:rPr>
        <w:t>En determinadas contrataciones de obra por el procedimiento de licitación abreviada, no se exige a los oferentes y/o adjudicatarios el certificado de inscripción en el Registro Nacional de Empresas de Obras Pública</w:t>
      </w:r>
      <w:r w:rsidR="00282854">
        <w:rPr>
          <w:rFonts w:ascii="Arial" w:hAnsi="Arial" w:cs="Arial"/>
          <w:color w:val="000000"/>
          <w:sz w:val="24"/>
          <w:szCs w:val="24"/>
        </w:rPr>
        <w:t>s.</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color w:val="000000"/>
          <w:sz w:val="24"/>
          <w:szCs w:val="24"/>
        </w:rPr>
        <w:t>20. Artículos 84 y 97 del TOCAF:</w:t>
      </w:r>
      <w:r w:rsidRPr="00042B09">
        <w:rPr>
          <w:rFonts w:ascii="Arial" w:hAnsi="Arial" w:cs="Arial"/>
          <w:sz w:val="24"/>
          <w:szCs w:val="24"/>
        </w:rPr>
        <w:t xml:space="preserve"> El inventario de bienes muebles e inmuebles de la Intendencia</w:t>
      </w:r>
      <w:r w:rsidRPr="00042B09">
        <w:rPr>
          <w:rFonts w:ascii="Arial" w:hAnsi="Arial" w:cs="Arial"/>
          <w:b/>
          <w:bCs/>
          <w:sz w:val="24"/>
          <w:szCs w:val="24"/>
        </w:rPr>
        <w:t xml:space="preserve"> </w:t>
      </w:r>
      <w:r w:rsidRPr="00042B09">
        <w:rPr>
          <w:rFonts w:ascii="Arial" w:hAnsi="Arial" w:cs="Arial"/>
          <w:sz w:val="24"/>
          <w:szCs w:val="24"/>
        </w:rPr>
        <w:t>no está actualizado.</w:t>
      </w:r>
      <w:r w:rsidRPr="00042B09">
        <w:rPr>
          <w:rFonts w:ascii="Arial" w:hAnsi="Arial" w:cs="Arial"/>
          <w:b/>
          <w:bCs/>
          <w:sz w:val="24"/>
          <w:szCs w:val="24"/>
        </w:rPr>
        <w:t xml:space="preserve"> </w:t>
      </w:r>
      <w:r w:rsidRPr="00042B09">
        <w:rPr>
          <w:rFonts w:ascii="Arial" w:hAnsi="Arial" w:cs="Arial"/>
          <w:sz w:val="24"/>
          <w:szCs w:val="24"/>
        </w:rPr>
        <w:t>Asimismo, el sistema contable no registra las existencia</w:t>
      </w:r>
      <w:r w:rsidR="00282854">
        <w:rPr>
          <w:rFonts w:ascii="Arial" w:hAnsi="Arial" w:cs="Arial"/>
          <w:sz w:val="24"/>
          <w:szCs w:val="24"/>
        </w:rPr>
        <w:t>s ni los movimientos del mismo.</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color w:val="000000"/>
          <w:sz w:val="24"/>
          <w:szCs w:val="24"/>
        </w:rPr>
        <w:t xml:space="preserve">21. Artículos 90 y 154 del TOCAF: </w:t>
      </w:r>
      <w:r w:rsidRPr="00042B09">
        <w:rPr>
          <w:rFonts w:ascii="Arial" w:hAnsi="Arial" w:cs="Arial"/>
          <w:color w:val="000000"/>
          <w:sz w:val="24"/>
          <w:szCs w:val="24"/>
        </w:rPr>
        <w:t>L</w:t>
      </w:r>
      <w:r w:rsidRPr="00042B09">
        <w:rPr>
          <w:rFonts w:ascii="Arial" w:hAnsi="Arial" w:cs="Arial"/>
          <w:sz w:val="24"/>
          <w:szCs w:val="24"/>
        </w:rPr>
        <w:t xml:space="preserve">a Administración no ha efectuado contrato de fianza o seguro de caución de fidelidad respecto a la totalidad de los funcionarios </w:t>
      </w:r>
      <w:r w:rsidR="00282854">
        <w:rPr>
          <w:rFonts w:ascii="Arial" w:hAnsi="Arial" w:cs="Arial"/>
          <w:sz w:val="24"/>
          <w:szCs w:val="24"/>
        </w:rPr>
        <w:t>que custodian fondos o valores.</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sz w:val="24"/>
          <w:szCs w:val="24"/>
        </w:rPr>
        <w:t>22. Artículo</w:t>
      </w:r>
      <w:r w:rsidRPr="00042B09">
        <w:rPr>
          <w:rFonts w:ascii="Arial" w:hAnsi="Arial" w:cs="Arial"/>
          <w:b/>
          <w:bCs/>
          <w:color w:val="000000"/>
          <w:sz w:val="24"/>
          <w:szCs w:val="24"/>
        </w:rPr>
        <w:t xml:space="preserve"> 94 del </w:t>
      </w:r>
      <w:r w:rsidRPr="00042B09">
        <w:rPr>
          <w:rFonts w:ascii="Arial" w:hAnsi="Arial" w:cs="Arial"/>
          <w:b/>
          <w:bCs/>
          <w:sz w:val="24"/>
          <w:szCs w:val="24"/>
        </w:rPr>
        <w:t xml:space="preserve">TOCAF y Ordenanza N° 81 del Tribunal de Cuentas: </w:t>
      </w:r>
      <w:r w:rsidRPr="00042B09">
        <w:rPr>
          <w:rFonts w:ascii="Arial" w:hAnsi="Arial" w:cs="Arial"/>
          <w:sz w:val="24"/>
          <w:szCs w:val="24"/>
        </w:rPr>
        <w:t>La Intendencia no ha implementado un sistema contable que le permita cumplir con lo establecido por las mencionadas normas.</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sz w:val="24"/>
          <w:szCs w:val="24"/>
        </w:rPr>
        <w:t>23. Artícul</w:t>
      </w:r>
      <w:r w:rsidRPr="00042B09">
        <w:rPr>
          <w:rFonts w:ascii="Arial" w:hAnsi="Arial" w:cs="Arial"/>
          <w:b/>
          <w:bCs/>
          <w:color w:val="000000"/>
          <w:sz w:val="24"/>
          <w:szCs w:val="24"/>
        </w:rPr>
        <w:t xml:space="preserve">o 99 </w:t>
      </w:r>
      <w:r w:rsidRPr="00042B09">
        <w:rPr>
          <w:rFonts w:ascii="Arial" w:hAnsi="Arial" w:cs="Arial"/>
          <w:b/>
          <w:bCs/>
          <w:sz w:val="24"/>
          <w:szCs w:val="24"/>
        </w:rPr>
        <w:t>del TOCAF:</w:t>
      </w:r>
      <w:r w:rsidRPr="00042B09">
        <w:rPr>
          <w:rFonts w:ascii="Arial" w:hAnsi="Arial" w:cs="Arial"/>
          <w:sz w:val="24"/>
          <w:szCs w:val="24"/>
        </w:rPr>
        <w:t xml:space="preserve"> La Intendencia no cuenta con un registro de fondos y valores por los cuales deba rendirse cuenta, así como de los bienes en guarda o custodia con los datos de </w:t>
      </w:r>
      <w:r w:rsidR="00101EB9">
        <w:rPr>
          <w:rFonts w:ascii="Arial" w:hAnsi="Arial" w:cs="Arial"/>
          <w:sz w:val="24"/>
          <w:szCs w:val="24"/>
        </w:rPr>
        <w:t>los funcionarios responsables.</w:t>
      </w:r>
    </w:p>
    <w:p w:rsidR="00042B09" w:rsidRPr="00042B09" w:rsidRDefault="00042B09" w:rsidP="00101EB9">
      <w:pPr>
        <w:tabs>
          <w:tab w:val="left" w:pos="284"/>
        </w:tabs>
        <w:spacing w:after="0" w:line="360" w:lineRule="auto"/>
        <w:jc w:val="both"/>
        <w:rPr>
          <w:rFonts w:ascii="Arial" w:hAnsi="Arial" w:cs="Arial"/>
          <w:sz w:val="24"/>
          <w:szCs w:val="24"/>
        </w:rPr>
      </w:pPr>
      <w:r w:rsidRPr="00042B09">
        <w:rPr>
          <w:rFonts w:ascii="Arial" w:hAnsi="Arial" w:cs="Arial"/>
          <w:b/>
          <w:bCs/>
          <w:sz w:val="24"/>
          <w:szCs w:val="24"/>
        </w:rPr>
        <w:t xml:space="preserve">24. Artículo 111 Numeral  6) del TOCAF: </w:t>
      </w:r>
      <w:r w:rsidRPr="00042B09">
        <w:rPr>
          <w:rFonts w:ascii="Arial" w:hAnsi="Arial" w:cs="Arial"/>
          <w:sz w:val="24"/>
          <w:szCs w:val="24"/>
        </w:rPr>
        <w:t>La Intendencia no ha implementado adecuadamente el funcionamiento de la Unidad de Auditoría Interna, imposibilitando el cumplimiento de lo d</w:t>
      </w:r>
      <w:r w:rsidR="00101EB9">
        <w:rPr>
          <w:rFonts w:ascii="Arial" w:hAnsi="Arial" w:cs="Arial"/>
          <w:sz w:val="24"/>
          <w:szCs w:val="24"/>
        </w:rPr>
        <w:t>ispuesto por la referida norma.</w:t>
      </w:r>
    </w:p>
    <w:p w:rsidR="00042B09" w:rsidRPr="00042B09" w:rsidRDefault="00042B09" w:rsidP="00101EB9">
      <w:pPr>
        <w:tabs>
          <w:tab w:val="left" w:pos="284"/>
        </w:tabs>
        <w:spacing w:after="0" w:line="360" w:lineRule="auto"/>
        <w:jc w:val="both"/>
        <w:rPr>
          <w:rFonts w:ascii="Arial" w:hAnsi="Arial" w:cs="Arial"/>
          <w:sz w:val="24"/>
          <w:szCs w:val="24"/>
        </w:rPr>
      </w:pPr>
      <w:r w:rsidRPr="00042B09">
        <w:rPr>
          <w:rFonts w:ascii="Arial" w:hAnsi="Arial" w:cs="Arial"/>
          <w:b/>
          <w:sz w:val="24"/>
          <w:szCs w:val="24"/>
        </w:rPr>
        <w:t>25. Artículo 114 del TOCAF:</w:t>
      </w:r>
      <w:r w:rsidRPr="00042B09">
        <w:rPr>
          <w:rFonts w:ascii="Arial" w:hAnsi="Arial" w:cs="Arial"/>
          <w:sz w:val="24"/>
          <w:szCs w:val="24"/>
        </w:rPr>
        <w:t xml:space="preserve"> En el ejercicio 2014, no se dio cumplimiento con los mecanismos de observación y reiteración para la tota</w:t>
      </w:r>
      <w:r w:rsidR="00101EB9">
        <w:rPr>
          <w:rFonts w:ascii="Arial" w:hAnsi="Arial" w:cs="Arial"/>
          <w:sz w:val="24"/>
          <w:szCs w:val="24"/>
        </w:rPr>
        <w:t>lidad de los gastos producidos.</w:t>
      </w:r>
    </w:p>
    <w:p w:rsidR="00042B09" w:rsidRPr="00042B09" w:rsidRDefault="00042B09" w:rsidP="00101EB9">
      <w:pPr>
        <w:tabs>
          <w:tab w:val="left" w:pos="-720"/>
        </w:tabs>
        <w:spacing w:after="0" w:line="360" w:lineRule="auto"/>
        <w:jc w:val="both"/>
        <w:rPr>
          <w:rFonts w:ascii="Arial" w:hAnsi="Arial" w:cs="Arial"/>
          <w:sz w:val="24"/>
          <w:szCs w:val="24"/>
        </w:rPr>
      </w:pPr>
      <w:r w:rsidRPr="00042B09">
        <w:rPr>
          <w:rFonts w:ascii="Arial" w:hAnsi="Arial" w:cs="Arial"/>
          <w:b/>
          <w:bCs/>
          <w:sz w:val="24"/>
          <w:szCs w:val="24"/>
        </w:rPr>
        <w:t>26. A</w:t>
      </w:r>
      <w:r w:rsidRPr="00042B09">
        <w:rPr>
          <w:rFonts w:ascii="Arial" w:hAnsi="Arial" w:cs="Arial"/>
          <w:b/>
          <w:sz w:val="24"/>
          <w:szCs w:val="24"/>
        </w:rPr>
        <w:t xml:space="preserve">rtículo 128 del TOCAF y Resolución del 28/01/04 del Tribunal de Cuentas: </w:t>
      </w:r>
      <w:r w:rsidRPr="00042B09">
        <w:rPr>
          <w:rFonts w:ascii="Arial" w:hAnsi="Arial" w:cs="Arial"/>
          <w:sz w:val="24"/>
          <w:szCs w:val="24"/>
        </w:rPr>
        <w:t xml:space="preserve">En el estado demostrativo del grado de cumplimiento de los objetivos y metas programadas, no se incluyó, para la totalidad de las obras, las metas previstas y las alcanzadas en unidades físicas. No se remitió el Estado Nº 3.3.3 respecto a la Ejecución por tipo de gasto ni el Estado Nº 3.3.5. referido a las inversiones comprometidas y no ejecutadas al cierre del ejercicio, como lo establece el Instructivo </w:t>
      </w:r>
      <w:r w:rsidR="00101EB9">
        <w:rPr>
          <w:rFonts w:ascii="Arial" w:hAnsi="Arial" w:cs="Arial"/>
          <w:sz w:val="24"/>
          <w:szCs w:val="24"/>
        </w:rPr>
        <w:t>del Tribunal de fecha 28/01/04.</w:t>
      </w:r>
    </w:p>
    <w:p w:rsidR="00042B09" w:rsidRPr="00042B09" w:rsidRDefault="00042B09" w:rsidP="00101EB9">
      <w:pPr>
        <w:tabs>
          <w:tab w:val="left" w:pos="-720"/>
        </w:tabs>
        <w:spacing w:after="0" w:line="360" w:lineRule="auto"/>
        <w:jc w:val="both"/>
        <w:rPr>
          <w:rFonts w:ascii="Arial" w:hAnsi="Arial" w:cs="Arial"/>
          <w:sz w:val="24"/>
          <w:szCs w:val="24"/>
        </w:rPr>
      </w:pPr>
      <w:r w:rsidRPr="00042B09">
        <w:rPr>
          <w:rFonts w:ascii="Arial" w:hAnsi="Arial" w:cs="Arial"/>
          <w:sz w:val="24"/>
          <w:szCs w:val="24"/>
        </w:rPr>
        <w:t>La exposición del Estado Nº 3.2: Resultado del Ejercicio, tampoco se ajusta a lo señalado en dicho instructivo</w:t>
      </w:r>
      <w:r w:rsidR="00101EB9">
        <w:rPr>
          <w:rFonts w:ascii="Arial" w:hAnsi="Arial" w:cs="Arial"/>
          <w:sz w:val="24"/>
          <w:szCs w:val="24"/>
        </w:rPr>
        <w:t>.</w:t>
      </w:r>
    </w:p>
    <w:p w:rsidR="00042B09" w:rsidRPr="00042B09" w:rsidRDefault="00042B09" w:rsidP="00101EB9">
      <w:pPr>
        <w:tabs>
          <w:tab w:val="left" w:pos="900"/>
        </w:tabs>
        <w:spacing w:after="0" w:line="360" w:lineRule="auto"/>
        <w:jc w:val="both"/>
        <w:rPr>
          <w:rFonts w:ascii="Arial" w:hAnsi="Arial" w:cs="Arial"/>
          <w:color w:val="000000"/>
          <w:sz w:val="24"/>
          <w:szCs w:val="24"/>
        </w:rPr>
      </w:pPr>
      <w:r w:rsidRPr="00042B09">
        <w:rPr>
          <w:rFonts w:ascii="Arial" w:hAnsi="Arial" w:cs="Arial"/>
          <w:b/>
          <w:bCs/>
          <w:sz w:val="24"/>
          <w:szCs w:val="24"/>
        </w:rPr>
        <w:t>27. Ley Nº 12.840 Artículo 2:</w:t>
      </w:r>
      <w:r w:rsidRPr="00042B09">
        <w:rPr>
          <w:rFonts w:ascii="Arial" w:hAnsi="Arial" w:cs="Arial"/>
          <w:sz w:val="24"/>
          <w:szCs w:val="24"/>
        </w:rPr>
        <w:t xml:space="preserve"> </w:t>
      </w:r>
      <w:r w:rsidRPr="00042B09">
        <w:rPr>
          <w:rFonts w:ascii="Arial" w:hAnsi="Arial" w:cs="Arial"/>
          <w:color w:val="000000"/>
          <w:sz w:val="24"/>
          <w:szCs w:val="24"/>
        </w:rPr>
        <w:t>Para la liquidación del sueldo anual complementario no fueron consideradas las partidas por concepto de seguro de salud abonadas por la Intendencia y los viáticos sin rendición de cuentas. Dicha situación se corrigió para la liquidación del medio aguinaldo de diciembre de 2014.</w:t>
      </w:r>
    </w:p>
    <w:p w:rsidR="00042B09" w:rsidRPr="00042B09" w:rsidRDefault="00042B09" w:rsidP="00101EB9">
      <w:pPr>
        <w:tabs>
          <w:tab w:val="left" w:pos="900"/>
        </w:tabs>
        <w:spacing w:after="0" w:line="360" w:lineRule="auto"/>
        <w:jc w:val="both"/>
        <w:rPr>
          <w:rFonts w:ascii="Arial" w:hAnsi="Arial" w:cs="Arial"/>
          <w:color w:val="000000"/>
          <w:sz w:val="24"/>
          <w:szCs w:val="24"/>
        </w:rPr>
      </w:pPr>
      <w:r w:rsidRPr="00042B09">
        <w:rPr>
          <w:rFonts w:ascii="Arial" w:hAnsi="Arial" w:cs="Arial"/>
          <w:b/>
          <w:bCs/>
          <w:color w:val="000000"/>
          <w:sz w:val="24"/>
          <w:szCs w:val="24"/>
        </w:rPr>
        <w:t xml:space="preserve">28. Ley Nº 15.996 Artículo 4: </w:t>
      </w:r>
      <w:r w:rsidRPr="00042B09">
        <w:rPr>
          <w:rFonts w:ascii="Arial" w:hAnsi="Arial" w:cs="Arial"/>
          <w:color w:val="000000"/>
          <w:sz w:val="24"/>
          <w:szCs w:val="24"/>
        </w:rPr>
        <w:t>Para el cálculo de la licencia no gozada no se tuvo en cuenta el promedio de horas extras realiza</w:t>
      </w:r>
      <w:r w:rsidR="00B8388C">
        <w:rPr>
          <w:rFonts w:ascii="Arial" w:hAnsi="Arial" w:cs="Arial"/>
          <w:color w:val="000000"/>
          <w:sz w:val="24"/>
          <w:szCs w:val="24"/>
        </w:rPr>
        <w:t>das en el año civil o fracción.</w:t>
      </w:r>
    </w:p>
    <w:p w:rsidR="00042B09" w:rsidRPr="00042B09" w:rsidRDefault="00042B09" w:rsidP="00101EB9">
      <w:pPr>
        <w:tabs>
          <w:tab w:val="left" w:pos="420"/>
        </w:tabs>
        <w:spacing w:after="0" w:line="360" w:lineRule="auto"/>
        <w:jc w:val="both"/>
        <w:rPr>
          <w:rFonts w:ascii="Arial" w:hAnsi="Arial" w:cs="Arial"/>
          <w:sz w:val="24"/>
          <w:szCs w:val="24"/>
        </w:rPr>
      </w:pPr>
      <w:r w:rsidRPr="00042B09">
        <w:rPr>
          <w:rFonts w:ascii="Arial" w:hAnsi="Arial" w:cs="Arial"/>
          <w:b/>
          <w:bCs/>
          <w:spacing w:val="12"/>
          <w:sz w:val="24"/>
          <w:szCs w:val="24"/>
        </w:rPr>
        <w:t>29. Artículo 7 de la Ley N° 13.142, Artículo 1 del Decreto Ley 14.632 y Decreto Nº</w:t>
      </w:r>
      <w:r w:rsidRPr="00042B09">
        <w:rPr>
          <w:rFonts w:ascii="Arial" w:hAnsi="Arial" w:cs="Arial"/>
          <w:b/>
          <w:bCs/>
          <w:sz w:val="24"/>
          <w:szCs w:val="24"/>
        </w:rPr>
        <w:t xml:space="preserve"> 342/992:</w:t>
      </w:r>
      <w:r w:rsidRPr="00042B09">
        <w:rPr>
          <w:rFonts w:ascii="Arial" w:hAnsi="Arial" w:cs="Arial"/>
          <w:sz w:val="24"/>
          <w:szCs w:val="24"/>
        </w:rPr>
        <w:t xml:space="preserve"> La Intendencia no verifica que los proveedores estén en situación regular de cumplimiento con BP</w:t>
      </w:r>
      <w:r w:rsidR="00101EB9">
        <w:rPr>
          <w:rFonts w:ascii="Arial" w:hAnsi="Arial" w:cs="Arial"/>
          <w:sz w:val="24"/>
          <w:szCs w:val="24"/>
        </w:rPr>
        <w:t>S y DGI en el momento del pago.</w:t>
      </w:r>
    </w:p>
    <w:p w:rsidR="00042B09" w:rsidRPr="00042B09" w:rsidRDefault="00042B09" w:rsidP="00101EB9">
      <w:pPr>
        <w:tabs>
          <w:tab w:val="left" w:pos="540"/>
        </w:tabs>
        <w:spacing w:after="0" w:line="360" w:lineRule="auto"/>
        <w:jc w:val="both"/>
        <w:rPr>
          <w:rFonts w:ascii="Arial" w:hAnsi="Arial" w:cs="Arial"/>
          <w:sz w:val="24"/>
          <w:szCs w:val="24"/>
        </w:rPr>
      </w:pPr>
      <w:r w:rsidRPr="00042B09">
        <w:rPr>
          <w:rFonts w:ascii="Arial" w:hAnsi="Arial" w:cs="Arial"/>
          <w:b/>
          <w:sz w:val="24"/>
          <w:szCs w:val="24"/>
        </w:rPr>
        <w:t>30. Artículo 7 y 8 de la Ley N° 16.713:</w:t>
      </w:r>
      <w:r w:rsidRPr="00042B09">
        <w:rPr>
          <w:rFonts w:ascii="Arial" w:hAnsi="Arial" w:cs="Arial"/>
          <w:sz w:val="24"/>
          <w:szCs w:val="24"/>
        </w:rPr>
        <w:t xml:space="preserve"> En las liquidaciones de sueldos de febrero y marzo, no se aplicó el tope vigente</w:t>
      </w:r>
      <w:r w:rsidR="00101EB9">
        <w:rPr>
          <w:rFonts w:ascii="Arial" w:hAnsi="Arial" w:cs="Arial"/>
          <w:sz w:val="24"/>
          <w:szCs w:val="24"/>
        </w:rPr>
        <w:t xml:space="preserve"> de la tributación a las AFAPS.</w:t>
      </w:r>
    </w:p>
    <w:p w:rsidR="00042B09" w:rsidRPr="00042B09" w:rsidRDefault="00042B09" w:rsidP="00101EB9">
      <w:pPr>
        <w:tabs>
          <w:tab w:val="left" w:pos="420"/>
        </w:tabs>
        <w:spacing w:after="0" w:line="360" w:lineRule="auto"/>
        <w:jc w:val="both"/>
        <w:rPr>
          <w:rFonts w:ascii="Arial" w:hAnsi="Arial" w:cs="Arial"/>
          <w:sz w:val="24"/>
          <w:szCs w:val="24"/>
        </w:rPr>
      </w:pPr>
      <w:r w:rsidRPr="00042B09">
        <w:rPr>
          <w:rFonts w:ascii="Arial" w:hAnsi="Arial" w:cs="Arial"/>
          <w:b/>
          <w:bCs/>
          <w:sz w:val="24"/>
          <w:szCs w:val="24"/>
        </w:rPr>
        <w:t>31. Artículos 70 y siguientes de la Ley Nº 18.083 y Decretos Nos. 199/07,  306/07 y 496/07:</w:t>
      </w:r>
      <w:r w:rsidRPr="00042B09">
        <w:rPr>
          <w:rFonts w:ascii="Arial" w:hAnsi="Arial" w:cs="Arial"/>
          <w:sz w:val="24"/>
          <w:szCs w:val="24"/>
        </w:rPr>
        <w:t xml:space="preserve"> Se contrató con empresas inscriptas ante DGI como monotributistas, incum</w:t>
      </w:r>
      <w:r w:rsidR="00101EB9">
        <w:rPr>
          <w:rFonts w:ascii="Arial" w:hAnsi="Arial" w:cs="Arial"/>
          <w:sz w:val="24"/>
          <w:szCs w:val="24"/>
        </w:rPr>
        <w:t>pliendo con las citadas normas.</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sz w:val="24"/>
          <w:szCs w:val="24"/>
        </w:rPr>
        <w:t>32. Convenio N° 30 de la O.I.T.:</w:t>
      </w:r>
      <w:r w:rsidRPr="00042B09">
        <w:rPr>
          <w:rFonts w:ascii="Arial" w:hAnsi="Arial" w:cs="Arial"/>
          <w:sz w:val="24"/>
          <w:szCs w:val="24"/>
        </w:rPr>
        <w:t xml:space="preserve"> En algunos casos, las horas extras trabajadas en el ejercicio 2014, han superado los límites establecidos en este Convenio.</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sz w:val="24"/>
          <w:szCs w:val="24"/>
        </w:rPr>
        <w:t xml:space="preserve">33. Artículo 87 del Presupuesto Quinquenal 2006-2010: </w:t>
      </w:r>
      <w:r w:rsidRPr="00042B09">
        <w:rPr>
          <w:rFonts w:ascii="Arial" w:hAnsi="Arial" w:cs="Arial"/>
          <w:bCs/>
          <w:sz w:val="24"/>
          <w:szCs w:val="24"/>
        </w:rPr>
        <w:t>No</w:t>
      </w:r>
      <w:r w:rsidRPr="00042B09">
        <w:rPr>
          <w:rFonts w:ascii="Arial" w:hAnsi="Arial" w:cs="Arial"/>
          <w:sz w:val="24"/>
          <w:szCs w:val="24"/>
        </w:rPr>
        <w:t xml:space="preserve"> se cobró la tasa de empadronamiento de veh</w:t>
      </w:r>
      <w:r w:rsidR="00B8388C">
        <w:rPr>
          <w:rFonts w:ascii="Arial" w:hAnsi="Arial" w:cs="Arial"/>
          <w:sz w:val="24"/>
          <w:szCs w:val="24"/>
        </w:rPr>
        <w:t>ículos dispuesta en esta norma.</w:t>
      </w:r>
    </w:p>
    <w:p w:rsidR="00042B09" w:rsidRPr="00042B09" w:rsidRDefault="00042B09" w:rsidP="00101EB9">
      <w:pPr>
        <w:spacing w:after="0" w:line="360" w:lineRule="auto"/>
        <w:jc w:val="both"/>
        <w:rPr>
          <w:rFonts w:ascii="Arial" w:hAnsi="Arial" w:cs="Arial"/>
          <w:sz w:val="24"/>
          <w:szCs w:val="24"/>
        </w:rPr>
      </w:pPr>
      <w:r w:rsidRPr="00042B09">
        <w:rPr>
          <w:rFonts w:ascii="Arial" w:hAnsi="Arial" w:cs="Arial"/>
          <w:b/>
          <w:bCs/>
          <w:sz w:val="24"/>
          <w:szCs w:val="24"/>
        </w:rPr>
        <w:t xml:space="preserve">34. Artículo 128 del Presupuesto Quinquenal 2011-2015: </w:t>
      </w:r>
      <w:r w:rsidRPr="00042B09">
        <w:rPr>
          <w:rFonts w:ascii="Arial" w:hAnsi="Arial" w:cs="Arial"/>
          <w:bCs/>
          <w:sz w:val="24"/>
          <w:szCs w:val="24"/>
        </w:rPr>
        <w:t>L</w:t>
      </w:r>
      <w:r w:rsidRPr="00042B09">
        <w:rPr>
          <w:rFonts w:ascii="Arial" w:hAnsi="Arial" w:cs="Arial"/>
          <w:sz w:val="24"/>
          <w:szCs w:val="24"/>
        </w:rPr>
        <w:t>a multa por mora cobrada sobre la contribución inmobiliaria urbana y suburbana y sus sobretasas adicionales, no se adecua a lo señalado en esta norma.</w:t>
      </w:r>
    </w:p>
    <w:p w:rsidR="00042B09" w:rsidRPr="00042B09" w:rsidRDefault="00042B09" w:rsidP="00031183">
      <w:pPr>
        <w:tabs>
          <w:tab w:val="left" w:pos="540"/>
        </w:tabs>
        <w:spacing w:after="0" w:line="360" w:lineRule="auto"/>
        <w:jc w:val="both"/>
        <w:rPr>
          <w:rFonts w:ascii="Arial" w:hAnsi="Arial" w:cs="Arial"/>
          <w:sz w:val="24"/>
          <w:szCs w:val="24"/>
        </w:rPr>
      </w:pPr>
      <w:r w:rsidRPr="00042B09">
        <w:rPr>
          <w:rFonts w:ascii="Arial" w:hAnsi="Arial" w:cs="Arial"/>
          <w:b/>
          <w:sz w:val="24"/>
          <w:szCs w:val="24"/>
        </w:rPr>
        <w:t xml:space="preserve">35. Artículo 10 del Decreto del 27/03/1984 </w:t>
      </w:r>
      <w:r w:rsidRPr="00042B09">
        <w:rPr>
          <w:rFonts w:ascii="Arial" w:hAnsi="Arial" w:cs="Arial"/>
          <w:b/>
          <w:bCs/>
          <w:sz w:val="24"/>
          <w:szCs w:val="24"/>
        </w:rPr>
        <w:t>(</w:t>
      </w:r>
      <w:r w:rsidRPr="00042B09">
        <w:rPr>
          <w:rFonts w:ascii="Arial" w:hAnsi="Arial" w:cs="Arial"/>
          <w:b/>
          <w:sz w:val="24"/>
          <w:szCs w:val="24"/>
        </w:rPr>
        <w:t>Estatuto del Funcionario Municipal) y posteriores modificaciones:</w:t>
      </w:r>
      <w:r w:rsidRPr="00042B09">
        <w:rPr>
          <w:rFonts w:ascii="Arial" w:hAnsi="Arial" w:cs="Arial"/>
          <w:bCs/>
          <w:sz w:val="24"/>
          <w:szCs w:val="24"/>
        </w:rPr>
        <w:t xml:space="preserve"> </w:t>
      </w:r>
      <w:r w:rsidRPr="00042B09">
        <w:rPr>
          <w:rFonts w:ascii="Arial" w:hAnsi="Arial" w:cs="Arial"/>
          <w:sz w:val="24"/>
          <w:szCs w:val="24"/>
        </w:rPr>
        <w:t>No se dio cumplimiento a los requisitos relativos al ingreso, dado que se contrataron mediante designación directa del Intendente, funcionarios en el escalafón “Administrativo”, sin que se verificara la instancia del concurso abierto de méritos y pruebas</w:t>
      </w:r>
      <w:r w:rsidR="00031183">
        <w:rPr>
          <w:rFonts w:ascii="Arial" w:hAnsi="Arial" w:cs="Arial"/>
          <w:sz w:val="24"/>
          <w:szCs w:val="24"/>
        </w:rPr>
        <w:t>.</w:t>
      </w:r>
    </w:p>
    <w:p w:rsidR="00042B09" w:rsidRPr="00042B09" w:rsidRDefault="00042B09" w:rsidP="00031183">
      <w:pPr>
        <w:tabs>
          <w:tab w:val="left" w:pos="540"/>
          <w:tab w:val="left" w:pos="900"/>
        </w:tabs>
        <w:spacing w:after="0" w:line="360" w:lineRule="auto"/>
        <w:jc w:val="both"/>
        <w:rPr>
          <w:rFonts w:ascii="Arial" w:hAnsi="Arial" w:cs="Arial"/>
          <w:sz w:val="24"/>
          <w:szCs w:val="24"/>
        </w:rPr>
      </w:pPr>
      <w:r w:rsidRPr="00042B09">
        <w:rPr>
          <w:rFonts w:ascii="Arial" w:hAnsi="Arial" w:cs="Arial"/>
          <w:b/>
          <w:sz w:val="24"/>
          <w:szCs w:val="24"/>
        </w:rPr>
        <w:t>36. Artículo 11 del Decreto del 27/03/1984 (Estatuto del Funcionario Municipal) y posteriores modificaciones:</w:t>
      </w:r>
      <w:r w:rsidRPr="00042B09">
        <w:rPr>
          <w:rFonts w:ascii="Arial" w:hAnsi="Arial" w:cs="Arial"/>
          <w:sz w:val="24"/>
          <w:szCs w:val="24"/>
        </w:rPr>
        <w:t xml:space="preserve"> No se dio cumplimiento a los requisitos relativos al ingreso de funcionarios, dado que se contrataron  funcionarios en el escalafón "Obrero y de Servicio" mediante designación directa del Intendente, sin que se verificara la instancia del sorteo.</w:t>
      </w:r>
    </w:p>
    <w:p w:rsidR="00042B09" w:rsidRPr="00042B09" w:rsidRDefault="00042B09" w:rsidP="00031183">
      <w:pPr>
        <w:spacing w:after="0" w:line="360" w:lineRule="auto"/>
        <w:jc w:val="both"/>
        <w:rPr>
          <w:rFonts w:ascii="Arial" w:hAnsi="Arial" w:cs="Arial"/>
          <w:sz w:val="24"/>
          <w:szCs w:val="24"/>
        </w:rPr>
      </w:pPr>
      <w:r w:rsidRPr="00042B09">
        <w:rPr>
          <w:rFonts w:ascii="Arial" w:hAnsi="Arial" w:cs="Arial"/>
          <w:b/>
          <w:bCs/>
          <w:color w:val="000000"/>
          <w:sz w:val="24"/>
          <w:szCs w:val="24"/>
        </w:rPr>
        <w:t>37. Resolución Nº 1270/012 de la Intendencia:</w:t>
      </w:r>
      <w:r w:rsidRPr="00042B09">
        <w:rPr>
          <w:rFonts w:ascii="Arial" w:hAnsi="Arial" w:cs="Arial"/>
          <w:sz w:val="24"/>
          <w:szCs w:val="24"/>
        </w:rPr>
        <w:t xml:space="preserve"> En esta norma se establecen las tareas insalubres por las cuales corresponde el cobro de compensación. La Intendencia pagó partidas por dicho concepto a funcionarios cuyas tareas no se encuentran comprendidas en esta resolución</w:t>
      </w:r>
      <w:r w:rsidR="00031183">
        <w:rPr>
          <w:rFonts w:ascii="Arial" w:hAnsi="Arial" w:cs="Arial"/>
          <w:sz w:val="24"/>
          <w:szCs w:val="24"/>
        </w:rPr>
        <w:t>.</w:t>
      </w:r>
    </w:p>
    <w:p w:rsidR="00042B09" w:rsidRPr="00042B09" w:rsidRDefault="00042B09" w:rsidP="00DB32DC">
      <w:pPr>
        <w:spacing w:after="0" w:line="360" w:lineRule="auto"/>
        <w:jc w:val="both"/>
        <w:rPr>
          <w:rFonts w:ascii="Arial" w:hAnsi="Arial" w:cs="Arial"/>
          <w:sz w:val="24"/>
          <w:szCs w:val="24"/>
        </w:rPr>
      </w:pPr>
      <w:r w:rsidRPr="00042B09">
        <w:rPr>
          <w:rFonts w:ascii="Arial" w:hAnsi="Arial" w:cs="Arial"/>
          <w:b/>
          <w:bCs/>
          <w:sz w:val="24"/>
          <w:szCs w:val="24"/>
        </w:rPr>
        <w:t>38. Ordenanza del Tribunal de Cuentas Nº 62:</w:t>
      </w:r>
      <w:r w:rsidRPr="00042B09">
        <w:rPr>
          <w:rFonts w:ascii="Arial" w:hAnsi="Arial" w:cs="Arial"/>
          <w:sz w:val="24"/>
          <w:szCs w:val="24"/>
        </w:rPr>
        <w:t xml:space="preserve"> Se aplicaron exoneraciones, aprobadas por la Junta Departamental, que no fueron remitidas al Tribunal de Cuentas.</w:t>
      </w:r>
    </w:p>
    <w:p w:rsidR="00042B09" w:rsidRPr="00042B09" w:rsidRDefault="00042B09" w:rsidP="00031183">
      <w:pPr>
        <w:spacing w:after="0" w:line="360" w:lineRule="auto"/>
        <w:jc w:val="both"/>
        <w:rPr>
          <w:rFonts w:ascii="Arial" w:hAnsi="Arial" w:cs="Arial"/>
          <w:sz w:val="24"/>
          <w:szCs w:val="24"/>
        </w:rPr>
      </w:pPr>
      <w:r w:rsidRPr="00042B09">
        <w:rPr>
          <w:rFonts w:ascii="Arial" w:hAnsi="Arial" w:cs="Arial"/>
          <w:b/>
          <w:sz w:val="24"/>
          <w:szCs w:val="24"/>
        </w:rPr>
        <w:t xml:space="preserve">39. Resolución del Tribunal de Cuentas de fecha 11/05/05: </w:t>
      </w:r>
      <w:r w:rsidRPr="00042B09">
        <w:rPr>
          <w:rFonts w:ascii="Arial" w:hAnsi="Arial" w:cs="Arial"/>
          <w:sz w:val="24"/>
          <w:szCs w:val="24"/>
        </w:rPr>
        <w:t>No se remitieron a este Tribunal los informes producidos por las Comisiones de Control o por las Oficinas que tienen a su cargo la verificación del cumplimiento de los contratos de concesión.</w:t>
      </w:r>
    </w:p>
    <w:p w:rsidR="00042B09" w:rsidRPr="00042B09" w:rsidRDefault="00042B09" w:rsidP="00031183">
      <w:pPr>
        <w:tabs>
          <w:tab w:val="left" w:pos="426"/>
        </w:tabs>
        <w:spacing w:after="0" w:line="360" w:lineRule="auto"/>
        <w:jc w:val="both"/>
        <w:rPr>
          <w:rFonts w:ascii="Arial" w:hAnsi="Arial" w:cs="Arial"/>
          <w:sz w:val="24"/>
          <w:szCs w:val="24"/>
        </w:rPr>
      </w:pPr>
      <w:r w:rsidRPr="00042B09">
        <w:rPr>
          <w:rFonts w:ascii="Arial" w:hAnsi="Arial" w:cs="Arial"/>
          <w:b/>
          <w:sz w:val="24"/>
          <w:szCs w:val="24"/>
        </w:rPr>
        <w:t>40.</w:t>
      </w:r>
      <w:r w:rsidRPr="00042B09">
        <w:rPr>
          <w:rFonts w:ascii="Arial" w:hAnsi="Arial" w:cs="Arial"/>
          <w:b/>
          <w:sz w:val="24"/>
          <w:szCs w:val="24"/>
        </w:rPr>
        <w:tab/>
        <w:t>Decreto Nº 199/011 de DGI:</w:t>
      </w:r>
      <w:r w:rsidRPr="00042B09">
        <w:rPr>
          <w:rFonts w:ascii="Arial" w:hAnsi="Arial" w:cs="Arial"/>
          <w:sz w:val="24"/>
          <w:szCs w:val="24"/>
        </w:rPr>
        <w:t xml:space="preserve"> El sueldo anual complementario es computado para el cálculo del anticipo de IRPF, contraviniendo lo establecido en el artículo 1 de esta norma. Esta situación se corrige para la liquidación del medio aguinaldo de diciembre de 2014.</w:t>
      </w:r>
    </w:p>
    <w:p w:rsidR="00042B09" w:rsidRPr="00042B09" w:rsidRDefault="00042B09" w:rsidP="00031183">
      <w:pPr>
        <w:spacing w:after="0" w:line="360" w:lineRule="auto"/>
        <w:jc w:val="both"/>
        <w:rPr>
          <w:rFonts w:ascii="Arial" w:hAnsi="Arial" w:cs="Arial"/>
          <w:kern w:val="1"/>
          <w:sz w:val="24"/>
          <w:szCs w:val="24"/>
        </w:rPr>
      </w:pPr>
      <w:r w:rsidRPr="00042B09">
        <w:rPr>
          <w:rFonts w:ascii="Arial" w:hAnsi="Arial" w:cs="Arial"/>
          <w:b/>
          <w:bCs/>
          <w:kern w:val="1"/>
          <w:sz w:val="24"/>
          <w:szCs w:val="24"/>
        </w:rPr>
        <w:t xml:space="preserve">41. Resolución Nº 688/992 de DGI: </w:t>
      </w:r>
      <w:r w:rsidRPr="00042B09">
        <w:rPr>
          <w:rFonts w:ascii="Arial" w:hAnsi="Arial" w:cs="Arial"/>
          <w:bCs/>
          <w:kern w:val="1"/>
          <w:sz w:val="24"/>
          <w:szCs w:val="24"/>
        </w:rPr>
        <w:t>E</w:t>
      </w:r>
      <w:r w:rsidRPr="00042B09">
        <w:rPr>
          <w:rFonts w:ascii="Arial" w:hAnsi="Arial" w:cs="Arial"/>
          <w:kern w:val="1"/>
          <w:sz w:val="24"/>
          <w:szCs w:val="24"/>
        </w:rPr>
        <w:t>n determinados gastos la documentación no cumple con los requisitos establecidos en esta norma.</w:t>
      </w:r>
    </w:p>
    <w:p w:rsidR="00042B09" w:rsidRPr="00042B09" w:rsidRDefault="00042B09" w:rsidP="00031183">
      <w:pPr>
        <w:pStyle w:val="Textoindependiente"/>
        <w:tabs>
          <w:tab w:val="left" w:pos="480"/>
        </w:tabs>
        <w:spacing w:after="0" w:line="360" w:lineRule="auto"/>
        <w:rPr>
          <w:rFonts w:cs="Arial"/>
          <w:bCs/>
          <w:szCs w:val="24"/>
        </w:rPr>
      </w:pPr>
      <w:r w:rsidRPr="00042B09">
        <w:rPr>
          <w:rFonts w:cs="Arial"/>
          <w:bCs/>
          <w:szCs w:val="24"/>
        </w:rPr>
        <w:t>Asimismo, durante el ejercicio se observaron gastos por el Contador Delegado, los que fueron reiterados por el Ordenador y puestos en conocimiento de la</w:t>
      </w:r>
      <w:r w:rsidRPr="00042B09">
        <w:rPr>
          <w:rFonts w:cs="Arial"/>
          <w:bCs/>
          <w:szCs w:val="24"/>
          <w:shd w:val="clear" w:color="auto" w:fill="FFFF00"/>
        </w:rPr>
        <w:t xml:space="preserve"> </w:t>
      </w:r>
      <w:r w:rsidRPr="00042B09">
        <w:rPr>
          <w:rFonts w:cs="Arial"/>
          <w:bCs/>
          <w:szCs w:val="24"/>
        </w:rPr>
        <w:t xml:space="preserve">Intendencia Departamental oportunamente, por incumplimiento de los artículos </w:t>
      </w:r>
      <w:r w:rsidRPr="00042B09">
        <w:rPr>
          <w:rFonts w:cs="Arial"/>
          <w:bCs/>
          <w:spacing w:val="12"/>
          <w:kern w:val="24"/>
          <w:szCs w:val="24"/>
        </w:rPr>
        <w:t>71, 103 y 287 del TOCAF y por incumplimiento del Artículo 71 de la Ley N°</w:t>
      </w:r>
      <w:r w:rsidR="00031183">
        <w:rPr>
          <w:rFonts w:cs="Arial"/>
          <w:bCs/>
          <w:szCs w:val="24"/>
        </w:rPr>
        <w:t xml:space="preserve"> 18.083.</w:t>
      </w:r>
    </w:p>
    <w:p w:rsidR="00042B09" w:rsidRPr="00042B09" w:rsidRDefault="00042B09" w:rsidP="009E6FFB">
      <w:pPr>
        <w:spacing w:after="0" w:line="360" w:lineRule="auto"/>
        <w:jc w:val="right"/>
        <w:rPr>
          <w:rFonts w:ascii="Arial" w:hAnsi="Arial" w:cs="Arial"/>
          <w:sz w:val="24"/>
          <w:szCs w:val="24"/>
        </w:rPr>
      </w:pPr>
      <w:r w:rsidRPr="00042B09">
        <w:rPr>
          <w:rFonts w:ascii="Arial" w:hAnsi="Arial" w:cs="Arial"/>
          <w:sz w:val="24"/>
          <w:szCs w:val="24"/>
        </w:rPr>
        <w:t>Montevideo, 4 de diciembre de 2015</w:t>
      </w:r>
    </w:p>
    <w:p w:rsidR="00042B09" w:rsidRDefault="00042B09" w:rsidP="009E6FFB">
      <w:pPr>
        <w:spacing w:after="0" w:line="360" w:lineRule="auto"/>
        <w:rPr>
          <w:rFonts w:ascii="Arial" w:hAnsi="Arial" w:cs="Arial"/>
          <w:sz w:val="24"/>
          <w:szCs w:val="24"/>
        </w:rPr>
      </w:pPr>
    </w:p>
    <w:p w:rsidR="00042B09" w:rsidRDefault="00042B09" w:rsidP="009E6FFB">
      <w:pPr>
        <w:spacing w:after="0" w:line="360" w:lineRule="auto"/>
        <w:rPr>
          <w:rFonts w:ascii="Arial" w:hAnsi="Arial" w:cs="Arial"/>
          <w:sz w:val="24"/>
          <w:szCs w:val="24"/>
        </w:rPr>
      </w:pPr>
    </w:p>
    <w:p w:rsidR="00042B09" w:rsidRPr="00042B09" w:rsidRDefault="00042B09" w:rsidP="009E6FFB">
      <w:pPr>
        <w:spacing w:after="0" w:line="360" w:lineRule="auto"/>
        <w:rPr>
          <w:rFonts w:ascii="Arial" w:hAnsi="Arial" w:cs="Arial"/>
          <w:sz w:val="24"/>
          <w:szCs w:val="24"/>
        </w:rPr>
      </w:pPr>
    </w:p>
    <w:p w:rsidR="00042B09" w:rsidRPr="00042B09" w:rsidRDefault="00042B09" w:rsidP="009E6FFB">
      <w:pPr>
        <w:spacing w:after="0" w:line="360" w:lineRule="auto"/>
        <w:rPr>
          <w:rFonts w:ascii="Arial" w:hAnsi="Arial" w:cs="Arial"/>
          <w:sz w:val="24"/>
          <w:szCs w:val="24"/>
        </w:rPr>
      </w:pPr>
    </w:p>
    <w:p w:rsidR="00042B09" w:rsidRDefault="00042B09" w:rsidP="009E6FFB">
      <w:pPr>
        <w:pStyle w:val="Ttulo1"/>
        <w:numPr>
          <w:ilvl w:val="0"/>
          <w:numId w:val="0"/>
        </w:numPr>
        <w:ind w:left="432" w:hanging="432"/>
        <w:jc w:val="center"/>
        <w:rPr>
          <w:rFonts w:cs="Arial"/>
          <w:szCs w:val="24"/>
        </w:rPr>
      </w:pPr>
      <w:bookmarkStart w:id="2" w:name="_Toc429986112"/>
      <w:r w:rsidRPr="00042B09">
        <w:rPr>
          <w:rFonts w:cs="Arial"/>
          <w:szCs w:val="24"/>
        </w:rPr>
        <w:t>INFORME A LA  ADMINISTRACIÓN</w:t>
      </w:r>
      <w:bookmarkEnd w:id="2"/>
    </w:p>
    <w:p w:rsidR="00B8388C" w:rsidRPr="00B8388C" w:rsidRDefault="00B8388C" w:rsidP="00B8388C">
      <w:pPr>
        <w:rPr>
          <w:lang w:val="es-ES" w:eastAsia="ar-SA"/>
        </w:rPr>
      </w:pPr>
    </w:p>
    <w:p w:rsidR="00042B09" w:rsidRPr="00042B09" w:rsidRDefault="00042B09" w:rsidP="009E6FFB">
      <w:pPr>
        <w:pStyle w:val="Textoindependiente21"/>
        <w:jc w:val="both"/>
        <w:rPr>
          <w:rFonts w:ascii="Arial" w:hAnsi="Arial" w:cs="Arial"/>
          <w:szCs w:val="24"/>
        </w:rPr>
      </w:pPr>
      <w:r w:rsidRPr="00042B09">
        <w:rPr>
          <w:rFonts w:ascii="Arial" w:hAnsi="Arial" w:cs="Arial"/>
          <w:szCs w:val="24"/>
        </w:rPr>
        <w:t>El Tribunal de Cuentas ha examinado la Rendición de Cuentas y Balance de Ejecución Presupuestal correspondiente al ejercicio 2014 y ha emitido su correspondiente Dictamen.</w:t>
      </w:r>
    </w:p>
    <w:p w:rsidR="00042B09" w:rsidRDefault="00042B09" w:rsidP="009E6FFB">
      <w:pPr>
        <w:pStyle w:val="Textoindependiente21"/>
        <w:jc w:val="both"/>
        <w:rPr>
          <w:rFonts w:ascii="Arial" w:hAnsi="Arial" w:cs="Arial"/>
          <w:szCs w:val="24"/>
        </w:rPr>
      </w:pPr>
      <w:r w:rsidRPr="00042B09">
        <w:rPr>
          <w:rFonts w:ascii="Arial" w:hAnsi="Arial" w:cs="Arial"/>
          <w:szCs w:val="24"/>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031183" w:rsidRPr="00042B09" w:rsidRDefault="00031183" w:rsidP="009E6FFB">
      <w:pPr>
        <w:pStyle w:val="Textoindependiente21"/>
        <w:jc w:val="both"/>
        <w:rPr>
          <w:rFonts w:ascii="Arial" w:hAnsi="Arial" w:cs="Arial"/>
          <w:szCs w:val="24"/>
        </w:rPr>
      </w:pPr>
    </w:p>
    <w:p w:rsidR="00042B09" w:rsidRPr="00042B09" w:rsidRDefault="00042B09" w:rsidP="009E6FFB">
      <w:pPr>
        <w:pStyle w:val="Ttulo2"/>
        <w:ind w:left="0" w:firstLine="0"/>
        <w:rPr>
          <w:rFonts w:cs="Arial"/>
          <w:szCs w:val="24"/>
        </w:rPr>
      </w:pPr>
      <w:bookmarkStart w:id="3" w:name="_Toc429986113"/>
      <w:r w:rsidRPr="00042B09">
        <w:rPr>
          <w:rFonts w:cs="Arial"/>
          <w:szCs w:val="24"/>
        </w:rPr>
        <w:t>3.1 Hechos que no afectan la opinión de los estados contables</w:t>
      </w:r>
      <w:bookmarkEnd w:id="3"/>
    </w:p>
    <w:p w:rsidR="00042B09" w:rsidRPr="00042B09" w:rsidRDefault="00042B09" w:rsidP="009E6FFB">
      <w:pPr>
        <w:pStyle w:val="Ttulo2"/>
        <w:spacing w:after="0"/>
        <w:rPr>
          <w:rFonts w:cs="Arial"/>
          <w:szCs w:val="24"/>
        </w:rPr>
      </w:pPr>
      <w:bookmarkStart w:id="4" w:name="_Toc429986114"/>
      <w:r w:rsidRPr="00042B09">
        <w:rPr>
          <w:rFonts w:cs="Arial"/>
          <w:szCs w:val="24"/>
        </w:rPr>
        <w:t>3.1.1 Ajustes al resultado del Ejercicio</w:t>
      </w:r>
      <w:bookmarkEnd w:id="4"/>
    </w:p>
    <w:p w:rsidR="00042B09" w:rsidRPr="00042B09" w:rsidRDefault="00042B09" w:rsidP="00042B09">
      <w:pPr>
        <w:numPr>
          <w:ilvl w:val="0"/>
          <w:numId w:val="6"/>
        </w:numPr>
        <w:suppressAutoHyphens/>
        <w:spacing w:after="0" w:line="360" w:lineRule="auto"/>
        <w:jc w:val="both"/>
        <w:rPr>
          <w:rFonts w:ascii="Arial" w:hAnsi="Arial" w:cs="Arial"/>
          <w:sz w:val="24"/>
          <w:szCs w:val="24"/>
        </w:rPr>
      </w:pPr>
      <w:r w:rsidRPr="00042B09">
        <w:rPr>
          <w:rFonts w:ascii="Arial" w:hAnsi="Arial" w:cs="Arial"/>
          <w:sz w:val="24"/>
          <w:szCs w:val="24"/>
        </w:rPr>
        <w:t>El saldo de disponibilidades al 31/12/2014 incluye los siguientes ajustes:</w:t>
      </w:r>
    </w:p>
    <w:p w:rsidR="00042B09" w:rsidRPr="00042B09" w:rsidRDefault="00042B09" w:rsidP="00042B09">
      <w:pPr>
        <w:numPr>
          <w:ilvl w:val="0"/>
          <w:numId w:val="6"/>
        </w:numPr>
        <w:suppressAutoHyphens/>
        <w:spacing w:after="0" w:line="360" w:lineRule="auto"/>
        <w:jc w:val="both"/>
        <w:rPr>
          <w:rFonts w:ascii="Arial" w:hAnsi="Arial" w:cs="Arial"/>
          <w:sz w:val="24"/>
          <w:szCs w:val="24"/>
        </w:rPr>
      </w:pPr>
      <w:r w:rsidRPr="00042B09">
        <w:rPr>
          <w:rFonts w:ascii="Arial" w:hAnsi="Arial" w:cs="Arial"/>
          <w:sz w:val="24"/>
          <w:szCs w:val="24"/>
        </w:rPr>
        <w:t>Cheques diferidos a cobrar no vencidos por un importe de $ 56.420.</w:t>
      </w:r>
    </w:p>
    <w:p w:rsidR="00042B09" w:rsidRPr="00042B09" w:rsidRDefault="00042B09" w:rsidP="00042B09">
      <w:pPr>
        <w:numPr>
          <w:ilvl w:val="0"/>
          <w:numId w:val="6"/>
        </w:numPr>
        <w:suppressAutoHyphens/>
        <w:spacing w:after="0" w:line="360" w:lineRule="auto"/>
        <w:jc w:val="both"/>
        <w:rPr>
          <w:rFonts w:ascii="Arial" w:hAnsi="Arial" w:cs="Arial"/>
          <w:kern w:val="1"/>
          <w:sz w:val="24"/>
          <w:szCs w:val="24"/>
        </w:rPr>
      </w:pPr>
      <w:r w:rsidRPr="00042B09">
        <w:rPr>
          <w:rFonts w:ascii="Arial" w:hAnsi="Arial" w:cs="Arial"/>
          <w:kern w:val="1"/>
          <w:sz w:val="24"/>
          <w:szCs w:val="24"/>
        </w:rPr>
        <w:t>No se consideran cheques diferidos a cobrar vencidos en el Ejercicio 2014 por $ 67.702.</w:t>
      </w:r>
    </w:p>
    <w:p w:rsidR="00042B09" w:rsidRPr="00042B09" w:rsidRDefault="00042B09" w:rsidP="00042B09">
      <w:pPr>
        <w:numPr>
          <w:ilvl w:val="0"/>
          <w:numId w:val="6"/>
        </w:numPr>
        <w:suppressAutoHyphens/>
        <w:spacing w:after="0" w:line="360" w:lineRule="auto"/>
        <w:jc w:val="both"/>
        <w:rPr>
          <w:rFonts w:ascii="Arial" w:hAnsi="Arial" w:cs="Arial"/>
          <w:sz w:val="24"/>
          <w:szCs w:val="24"/>
        </w:rPr>
      </w:pPr>
      <w:r w:rsidRPr="00042B09">
        <w:rPr>
          <w:rFonts w:ascii="Arial" w:hAnsi="Arial" w:cs="Arial"/>
          <w:sz w:val="24"/>
          <w:szCs w:val="24"/>
        </w:rPr>
        <w:t xml:space="preserve">No se efectuaron los ajustes señalados por este Tribunal al dictaminar </w:t>
      </w:r>
      <w:r w:rsidRPr="00042B09">
        <w:rPr>
          <w:rFonts w:ascii="Arial" w:hAnsi="Arial" w:cs="Arial"/>
          <w:spacing w:val="6"/>
          <w:sz w:val="24"/>
          <w:szCs w:val="24"/>
        </w:rPr>
        <w:t>sobre la Rendición de Cuentas del año 2013. El total de ajustes fue por $</w:t>
      </w:r>
      <w:r w:rsidR="00031183">
        <w:rPr>
          <w:rFonts w:ascii="Arial" w:hAnsi="Arial" w:cs="Arial"/>
          <w:sz w:val="24"/>
          <w:szCs w:val="24"/>
        </w:rPr>
        <w:t xml:space="preserve"> 1:585.332.</w:t>
      </w:r>
    </w:p>
    <w:p w:rsidR="00042B09" w:rsidRPr="00042B09" w:rsidRDefault="00042B09" w:rsidP="00042B09">
      <w:pPr>
        <w:numPr>
          <w:ilvl w:val="0"/>
          <w:numId w:val="6"/>
        </w:numPr>
        <w:suppressAutoHyphens/>
        <w:spacing w:after="0" w:line="360" w:lineRule="auto"/>
        <w:jc w:val="both"/>
        <w:rPr>
          <w:rFonts w:ascii="Arial" w:hAnsi="Arial" w:cs="Arial"/>
          <w:sz w:val="24"/>
          <w:szCs w:val="24"/>
        </w:rPr>
      </w:pPr>
      <w:r w:rsidRPr="00042B09">
        <w:rPr>
          <w:rFonts w:ascii="Arial" w:hAnsi="Arial" w:cs="Arial"/>
          <w:sz w:val="24"/>
          <w:szCs w:val="24"/>
        </w:rPr>
        <w:t>La Junta Departamental efectuó gastos por un importe de $ 41:792.744. La Intendencia al imputar los gastos de la Junta en su ejecución presupuestal, lo hizo por un importe neto de $ 48:640.804, lo que implica una diferencia de $ 6:848.060.</w:t>
      </w:r>
    </w:p>
    <w:p w:rsidR="00042B09" w:rsidRPr="00042B09" w:rsidRDefault="00042B09" w:rsidP="009E6FFB">
      <w:pPr>
        <w:spacing w:line="360" w:lineRule="auto"/>
        <w:rPr>
          <w:rFonts w:ascii="Arial" w:hAnsi="Arial" w:cs="Arial"/>
          <w:sz w:val="24"/>
          <w:szCs w:val="24"/>
        </w:rPr>
      </w:pPr>
    </w:p>
    <w:p w:rsidR="00042B09" w:rsidRPr="00042B09" w:rsidRDefault="00042B09" w:rsidP="009E6FFB">
      <w:pPr>
        <w:pStyle w:val="Ttulo2"/>
        <w:rPr>
          <w:rFonts w:cs="Arial"/>
          <w:szCs w:val="24"/>
        </w:rPr>
      </w:pPr>
      <w:bookmarkStart w:id="5" w:name="_Toc429986115"/>
      <w:r w:rsidRPr="00042B09">
        <w:rPr>
          <w:rFonts w:cs="Arial"/>
          <w:szCs w:val="24"/>
        </w:rPr>
        <w:t>3.1.2  Ajuste al resultado del Ejercicio y al resultado acumulado</w:t>
      </w:r>
      <w:bookmarkEnd w:id="5"/>
    </w:p>
    <w:p w:rsidR="00042B09" w:rsidRPr="00042B09" w:rsidRDefault="00042B09" w:rsidP="009E6FFB">
      <w:pPr>
        <w:pStyle w:val="Textoindependiente"/>
        <w:spacing w:after="0" w:line="360" w:lineRule="auto"/>
        <w:rPr>
          <w:rFonts w:cs="Arial"/>
          <w:szCs w:val="24"/>
        </w:rPr>
      </w:pPr>
      <w:r w:rsidRPr="00042B09">
        <w:rPr>
          <w:rFonts w:cs="Arial"/>
          <w:szCs w:val="24"/>
        </w:rPr>
        <w:t>De acuerdo a lo expresado en el numeral anterior, el resultado del Ejercicio ajustado es $ (136:508.727)</w:t>
      </w:r>
      <w:r w:rsidRPr="00042B09">
        <w:rPr>
          <w:rFonts w:cs="Arial"/>
          <w:color w:val="FF0000"/>
          <w:szCs w:val="24"/>
        </w:rPr>
        <w:t xml:space="preserve"> </w:t>
      </w:r>
      <w:r w:rsidRPr="00042B09">
        <w:rPr>
          <w:rFonts w:cs="Arial"/>
          <w:szCs w:val="24"/>
        </w:rPr>
        <w:t>de déficit, según el siguiente detalle (en pesos uruguayos):</w:t>
      </w:r>
    </w:p>
    <w:tbl>
      <w:tblPr>
        <w:tblW w:w="0" w:type="auto"/>
        <w:tblInd w:w="9" w:type="dxa"/>
        <w:tblLayout w:type="fixed"/>
        <w:tblCellMar>
          <w:top w:w="15" w:type="dxa"/>
          <w:left w:w="15" w:type="dxa"/>
          <w:right w:w="15" w:type="dxa"/>
        </w:tblCellMar>
        <w:tblLook w:val="0000" w:firstRow="0" w:lastRow="0" w:firstColumn="0" w:lastColumn="0" w:noHBand="0" w:noVBand="0"/>
      </w:tblPr>
      <w:tblGrid>
        <w:gridCol w:w="7485"/>
        <w:gridCol w:w="1680"/>
        <w:gridCol w:w="1095"/>
        <w:gridCol w:w="1200"/>
        <w:gridCol w:w="1200"/>
        <w:gridCol w:w="50"/>
      </w:tblGrid>
      <w:tr w:rsidR="00042B09" w:rsidRPr="00042B09" w:rsidTr="009E6FFB">
        <w:trPr>
          <w:trHeight w:val="425"/>
        </w:trPr>
        <w:tc>
          <w:tcPr>
            <w:tcW w:w="7485" w:type="dxa"/>
            <w:shd w:val="clear" w:color="auto" w:fill="auto"/>
            <w:vAlign w:val="bottom"/>
          </w:tcPr>
          <w:p w:rsidR="00042B09" w:rsidRPr="00042B09" w:rsidRDefault="00042B09" w:rsidP="009E6FFB">
            <w:pPr>
              <w:snapToGrid w:val="0"/>
              <w:spacing w:after="0" w:line="360" w:lineRule="auto"/>
              <w:rPr>
                <w:rFonts w:ascii="Arial" w:hAnsi="Arial" w:cs="Arial"/>
                <w:sz w:val="24"/>
                <w:szCs w:val="24"/>
              </w:rPr>
            </w:pPr>
            <w:r w:rsidRPr="00042B09">
              <w:rPr>
                <w:rFonts w:ascii="Arial" w:hAnsi="Arial" w:cs="Arial"/>
                <w:sz w:val="24"/>
                <w:szCs w:val="24"/>
              </w:rPr>
              <w:t>Resultado ejercicio - Estados presentados</w:t>
            </w:r>
          </w:p>
        </w:tc>
        <w:tc>
          <w:tcPr>
            <w:tcW w:w="1680" w:type="dxa"/>
            <w:shd w:val="clear" w:color="auto" w:fill="auto"/>
            <w:vAlign w:val="bottom"/>
          </w:tcPr>
          <w:p w:rsidR="00042B09" w:rsidRPr="00042B09" w:rsidRDefault="00042B09" w:rsidP="009E6FFB">
            <w:pPr>
              <w:snapToGrid w:val="0"/>
              <w:spacing w:after="0" w:line="360" w:lineRule="auto"/>
              <w:jc w:val="center"/>
              <w:rPr>
                <w:rFonts w:ascii="Arial" w:hAnsi="Arial" w:cs="Arial"/>
                <w:sz w:val="24"/>
                <w:szCs w:val="24"/>
              </w:rPr>
            </w:pPr>
            <w:r w:rsidRPr="00042B09">
              <w:rPr>
                <w:rFonts w:ascii="Arial" w:hAnsi="Arial" w:cs="Arial"/>
                <w:sz w:val="24"/>
                <w:szCs w:val="24"/>
              </w:rPr>
              <w:t>(143:368.069)</w:t>
            </w:r>
          </w:p>
        </w:tc>
        <w:tc>
          <w:tcPr>
            <w:tcW w:w="1095"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shd w:val="clear" w:color="auto" w:fill="FFFF00"/>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5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r>
      <w:tr w:rsidR="00042B09" w:rsidRPr="00042B09" w:rsidTr="009E6FFB">
        <w:trPr>
          <w:trHeight w:val="425"/>
        </w:trPr>
        <w:tc>
          <w:tcPr>
            <w:tcW w:w="7485" w:type="dxa"/>
            <w:shd w:val="clear" w:color="auto" w:fill="auto"/>
            <w:vAlign w:val="bottom"/>
          </w:tcPr>
          <w:p w:rsidR="00042B09" w:rsidRPr="00042B09" w:rsidRDefault="00042B09" w:rsidP="009E6FFB">
            <w:pPr>
              <w:snapToGrid w:val="0"/>
              <w:spacing w:after="0" w:line="360" w:lineRule="auto"/>
              <w:rPr>
                <w:rFonts w:ascii="Arial" w:hAnsi="Arial" w:cs="Arial"/>
                <w:sz w:val="24"/>
                <w:szCs w:val="24"/>
              </w:rPr>
            </w:pPr>
          </w:p>
          <w:p w:rsidR="00042B09" w:rsidRPr="00042B09" w:rsidRDefault="00042B09" w:rsidP="009E6FFB">
            <w:pPr>
              <w:snapToGrid w:val="0"/>
              <w:spacing w:after="0" w:line="360" w:lineRule="auto"/>
              <w:rPr>
                <w:rFonts w:ascii="Arial" w:hAnsi="Arial" w:cs="Arial"/>
                <w:sz w:val="24"/>
                <w:szCs w:val="24"/>
              </w:rPr>
            </w:pPr>
            <w:r w:rsidRPr="00042B09">
              <w:rPr>
                <w:rFonts w:ascii="Arial" w:hAnsi="Arial" w:cs="Arial"/>
                <w:sz w:val="24"/>
                <w:szCs w:val="24"/>
              </w:rPr>
              <w:t>Ajustes:</w:t>
            </w:r>
          </w:p>
          <w:tbl>
            <w:tblPr>
              <w:tblW w:w="0" w:type="auto"/>
              <w:tblInd w:w="8" w:type="dxa"/>
              <w:tblLayout w:type="fixed"/>
              <w:tblCellMar>
                <w:top w:w="15" w:type="dxa"/>
                <w:left w:w="15" w:type="dxa"/>
                <w:right w:w="15" w:type="dxa"/>
              </w:tblCellMar>
              <w:tblLook w:val="0000" w:firstRow="0" w:lastRow="0" w:firstColumn="0" w:lastColumn="0" w:noHBand="0" w:noVBand="0"/>
            </w:tblPr>
            <w:tblGrid>
              <w:gridCol w:w="2085"/>
              <w:gridCol w:w="2085"/>
              <w:gridCol w:w="1050"/>
              <w:gridCol w:w="2085"/>
            </w:tblGrid>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hAnsi="Arial" w:cs="Arial"/>
                      <w:sz w:val="24"/>
                      <w:szCs w:val="24"/>
                    </w:rPr>
                  </w:pPr>
                  <w:r w:rsidRPr="00042B09">
                    <w:rPr>
                      <w:rFonts w:ascii="Arial" w:hAnsi="Arial" w:cs="Arial"/>
                      <w:sz w:val="24"/>
                      <w:szCs w:val="24"/>
                    </w:rPr>
                    <w:t>Cheques diferidos a cobrar no vencidos en 2014</w:t>
                  </w:r>
                </w:p>
              </w:tc>
              <w:tc>
                <w:tcPr>
                  <w:tcW w:w="2085" w:type="dxa"/>
                  <w:shd w:val="clear" w:color="auto" w:fill="auto"/>
                  <w:vAlign w:val="bottom"/>
                </w:tcPr>
                <w:p w:rsidR="00042B09" w:rsidRPr="00042B09" w:rsidRDefault="00042B09" w:rsidP="009E6FFB">
                  <w:pPr>
                    <w:snapToGrid w:val="0"/>
                    <w:spacing w:after="0" w:line="360" w:lineRule="auto"/>
                    <w:jc w:val="right"/>
                    <w:rPr>
                      <w:rFonts w:ascii="Arial" w:hAnsi="Arial" w:cs="Arial"/>
                      <w:sz w:val="24"/>
                      <w:szCs w:val="24"/>
                    </w:rPr>
                  </w:pPr>
                  <w:r w:rsidRPr="00042B09">
                    <w:rPr>
                      <w:rFonts w:ascii="Arial" w:hAnsi="Arial" w:cs="Arial"/>
                      <w:sz w:val="24"/>
                      <w:szCs w:val="24"/>
                    </w:rPr>
                    <w:t>(56.420)</w:t>
                  </w: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2085" w:type="dxa"/>
                  <w:shd w:val="clear" w:color="auto" w:fill="auto"/>
                  <w:vAlign w:val="bottom"/>
                </w:tcPr>
                <w:p w:rsidR="00042B09" w:rsidRPr="00042B09" w:rsidRDefault="00042B09" w:rsidP="009E6FFB">
                  <w:pPr>
                    <w:snapToGrid w:val="0"/>
                    <w:spacing w:after="0" w:line="360" w:lineRule="auto"/>
                    <w:jc w:val="right"/>
                    <w:rPr>
                      <w:rFonts w:ascii="Arial" w:eastAsia="Arial Unicode MS" w:hAnsi="Arial" w:cs="Arial"/>
                      <w:sz w:val="24"/>
                      <w:szCs w:val="24"/>
                    </w:rPr>
                  </w:pP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hAnsi="Arial" w:cs="Arial"/>
                      <w:sz w:val="24"/>
                      <w:szCs w:val="24"/>
                    </w:rPr>
                  </w:pPr>
                  <w:r w:rsidRPr="00042B09">
                    <w:rPr>
                      <w:rFonts w:ascii="Arial" w:hAnsi="Arial" w:cs="Arial"/>
                      <w:sz w:val="24"/>
                      <w:szCs w:val="24"/>
                    </w:rPr>
                    <w:t>Cheques diferidos a cobrar vencidos en el 2014</w:t>
                  </w:r>
                </w:p>
              </w:tc>
              <w:tc>
                <w:tcPr>
                  <w:tcW w:w="2085" w:type="dxa"/>
                  <w:shd w:val="clear" w:color="auto" w:fill="auto"/>
                  <w:vAlign w:val="bottom"/>
                </w:tcPr>
                <w:p w:rsidR="00042B09" w:rsidRPr="00042B09" w:rsidRDefault="00042B09" w:rsidP="009E6FFB">
                  <w:pPr>
                    <w:snapToGrid w:val="0"/>
                    <w:spacing w:after="0" w:line="360" w:lineRule="auto"/>
                    <w:jc w:val="center"/>
                    <w:rPr>
                      <w:rFonts w:ascii="Arial" w:eastAsia="Arial Unicode MS" w:hAnsi="Arial" w:cs="Arial"/>
                      <w:sz w:val="24"/>
                      <w:szCs w:val="24"/>
                    </w:rPr>
                  </w:pPr>
                  <w:r w:rsidRPr="00042B09">
                    <w:rPr>
                      <w:rFonts w:ascii="Arial" w:eastAsia="Arial Unicode MS" w:hAnsi="Arial" w:cs="Arial"/>
                      <w:sz w:val="24"/>
                      <w:szCs w:val="24"/>
                    </w:rPr>
                    <w:t xml:space="preserve">                  67.702</w:t>
                  </w: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2085" w:type="dxa"/>
                  <w:shd w:val="clear" w:color="auto" w:fill="auto"/>
                  <w:vAlign w:val="bottom"/>
                </w:tcPr>
                <w:p w:rsidR="00042B09" w:rsidRPr="00042B09" w:rsidRDefault="00042B09" w:rsidP="009E6FFB">
                  <w:pPr>
                    <w:snapToGrid w:val="0"/>
                    <w:spacing w:after="0" w:line="360" w:lineRule="auto"/>
                    <w:jc w:val="center"/>
                    <w:rPr>
                      <w:rFonts w:ascii="Arial" w:eastAsia="Arial Unicode MS" w:hAnsi="Arial" w:cs="Arial"/>
                      <w:sz w:val="24"/>
                      <w:szCs w:val="24"/>
                    </w:rPr>
                  </w:pP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hAnsi="Arial" w:cs="Arial"/>
                      <w:sz w:val="24"/>
                      <w:szCs w:val="24"/>
                    </w:rPr>
                  </w:pPr>
                  <w:r w:rsidRPr="00042B09">
                    <w:rPr>
                      <w:rFonts w:ascii="Arial" w:hAnsi="Arial" w:cs="Arial"/>
                      <w:sz w:val="24"/>
                      <w:szCs w:val="24"/>
                    </w:rPr>
                    <w:t>Ejecución Junta Departamental (diferencia)</w:t>
                  </w:r>
                </w:p>
              </w:tc>
              <w:tc>
                <w:tcPr>
                  <w:tcW w:w="2085" w:type="dxa"/>
                  <w:shd w:val="clear" w:color="auto" w:fill="auto"/>
                  <w:vAlign w:val="bottom"/>
                </w:tcPr>
                <w:p w:rsidR="00042B09" w:rsidRPr="00042B09" w:rsidRDefault="00042B09" w:rsidP="009E6FFB">
                  <w:pPr>
                    <w:snapToGrid w:val="0"/>
                    <w:spacing w:after="0" w:line="360" w:lineRule="auto"/>
                    <w:jc w:val="right"/>
                    <w:rPr>
                      <w:rFonts w:ascii="Arial" w:hAnsi="Arial" w:cs="Arial"/>
                      <w:sz w:val="24"/>
                      <w:szCs w:val="24"/>
                    </w:rPr>
                  </w:pPr>
                  <w:r w:rsidRPr="00042B09">
                    <w:rPr>
                      <w:rFonts w:ascii="Arial" w:hAnsi="Arial" w:cs="Arial"/>
                      <w:sz w:val="24"/>
                      <w:szCs w:val="24"/>
                    </w:rPr>
                    <w:t>6:848.060</w:t>
                  </w:r>
                </w:p>
              </w:tc>
            </w:tr>
            <w:tr w:rsidR="00042B09" w:rsidRPr="00042B09" w:rsidTr="009E6FFB">
              <w:tblPrEx>
                <w:tblCellMar>
                  <w:top w:w="0" w:type="dxa"/>
                  <w:left w:w="0" w:type="dxa"/>
                  <w:right w:w="0" w:type="dxa"/>
                </w:tblCellMar>
              </w:tblPrEx>
              <w:trPr>
                <w:trHeight w:val="300"/>
              </w:trPr>
              <w:tc>
                <w:tcPr>
                  <w:tcW w:w="2085"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r w:rsidRPr="00042B09">
                    <w:rPr>
                      <w:rFonts w:ascii="Arial" w:eastAsia="Arial Unicode MS" w:hAnsi="Arial" w:cs="Arial"/>
                      <w:sz w:val="24"/>
                      <w:szCs w:val="24"/>
                    </w:rPr>
                    <w:t xml:space="preserve">   </w:t>
                  </w:r>
                </w:p>
              </w:tc>
              <w:tc>
                <w:tcPr>
                  <w:tcW w:w="2085" w:type="dxa"/>
                  <w:shd w:val="clear" w:color="auto" w:fill="auto"/>
                  <w:vAlign w:val="bottom"/>
                </w:tcPr>
                <w:p w:rsidR="00042B09" w:rsidRPr="00042B09" w:rsidRDefault="00042B09" w:rsidP="009E6FFB">
                  <w:pPr>
                    <w:snapToGrid w:val="0"/>
                    <w:spacing w:after="0" w:line="360" w:lineRule="auto"/>
                    <w:rPr>
                      <w:rFonts w:ascii="Arial" w:hAnsi="Arial" w:cs="Arial"/>
                      <w:sz w:val="24"/>
                      <w:szCs w:val="24"/>
                    </w:rPr>
                  </w:pPr>
                </w:p>
              </w:tc>
              <w:tc>
                <w:tcPr>
                  <w:tcW w:w="3135" w:type="dxa"/>
                  <w:gridSpan w:val="2"/>
                  <w:shd w:val="clear" w:color="auto" w:fill="auto"/>
                </w:tcPr>
                <w:p w:rsidR="00042B09" w:rsidRPr="00042B09" w:rsidRDefault="00042B09" w:rsidP="009E6FFB">
                  <w:pPr>
                    <w:snapToGrid w:val="0"/>
                    <w:spacing w:after="0" w:line="360" w:lineRule="auto"/>
                    <w:rPr>
                      <w:rFonts w:ascii="Arial" w:hAnsi="Arial" w:cs="Arial"/>
                      <w:sz w:val="24"/>
                      <w:szCs w:val="24"/>
                    </w:rPr>
                  </w:pP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hAnsi="Arial" w:cs="Arial"/>
                      <w:sz w:val="24"/>
                      <w:szCs w:val="24"/>
                    </w:rPr>
                  </w:pPr>
                </w:p>
              </w:tc>
              <w:tc>
                <w:tcPr>
                  <w:tcW w:w="2085" w:type="dxa"/>
                  <w:shd w:val="clear" w:color="auto" w:fill="auto"/>
                  <w:vAlign w:val="bottom"/>
                </w:tcPr>
                <w:p w:rsidR="00042B09" w:rsidRPr="00042B09" w:rsidRDefault="00042B09" w:rsidP="009E6FFB">
                  <w:pPr>
                    <w:snapToGrid w:val="0"/>
                    <w:spacing w:after="0" w:line="360" w:lineRule="auto"/>
                    <w:jc w:val="right"/>
                    <w:rPr>
                      <w:rFonts w:ascii="Arial" w:hAnsi="Arial" w:cs="Arial"/>
                      <w:sz w:val="24"/>
                      <w:szCs w:val="24"/>
                      <w:u w:val="single"/>
                    </w:rPr>
                  </w:pPr>
                </w:p>
              </w:tc>
            </w:tr>
            <w:tr w:rsidR="00042B09" w:rsidRPr="00042B09" w:rsidTr="009E6FFB">
              <w:trPr>
                <w:trHeight w:val="300"/>
              </w:trPr>
              <w:tc>
                <w:tcPr>
                  <w:tcW w:w="5220" w:type="dxa"/>
                  <w:gridSpan w:val="3"/>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2085" w:type="dxa"/>
                  <w:shd w:val="clear" w:color="auto" w:fill="auto"/>
                  <w:vAlign w:val="bottom"/>
                </w:tcPr>
                <w:p w:rsidR="00042B09" w:rsidRPr="00042B09" w:rsidRDefault="00042B09" w:rsidP="009E6FFB">
                  <w:pPr>
                    <w:snapToGrid w:val="0"/>
                    <w:spacing w:after="0" w:line="360" w:lineRule="auto"/>
                    <w:jc w:val="right"/>
                    <w:rPr>
                      <w:rFonts w:ascii="Arial" w:eastAsia="Arial Unicode MS" w:hAnsi="Arial" w:cs="Arial"/>
                      <w:sz w:val="24"/>
                      <w:szCs w:val="24"/>
                    </w:rPr>
                  </w:pPr>
                </w:p>
              </w:tc>
            </w:tr>
          </w:tbl>
          <w:p w:rsidR="00042B09" w:rsidRPr="00042B09" w:rsidRDefault="00042B09" w:rsidP="009E6FFB">
            <w:pPr>
              <w:spacing w:after="0" w:line="360" w:lineRule="auto"/>
              <w:rPr>
                <w:rFonts w:ascii="Arial" w:hAnsi="Arial" w:cs="Arial"/>
                <w:sz w:val="24"/>
                <w:szCs w:val="24"/>
              </w:rPr>
            </w:pPr>
          </w:p>
        </w:tc>
        <w:tc>
          <w:tcPr>
            <w:tcW w:w="1680" w:type="dxa"/>
            <w:shd w:val="clear" w:color="auto" w:fill="auto"/>
            <w:vAlign w:val="bottom"/>
          </w:tcPr>
          <w:tbl>
            <w:tblPr>
              <w:tblW w:w="0" w:type="auto"/>
              <w:tblInd w:w="9" w:type="dxa"/>
              <w:tblLayout w:type="fixed"/>
              <w:tblCellMar>
                <w:top w:w="15" w:type="dxa"/>
                <w:left w:w="15" w:type="dxa"/>
                <w:right w:w="15" w:type="dxa"/>
              </w:tblCellMar>
              <w:tblLook w:val="0000" w:firstRow="0" w:lastRow="0" w:firstColumn="0" w:lastColumn="0" w:noHBand="0" w:noVBand="0"/>
            </w:tblPr>
            <w:tblGrid>
              <w:gridCol w:w="1680"/>
              <w:gridCol w:w="1095"/>
            </w:tblGrid>
            <w:tr w:rsidR="00042B09" w:rsidRPr="00042B09" w:rsidTr="009E6FFB">
              <w:trPr>
                <w:trHeight w:val="425"/>
              </w:trPr>
              <w:tc>
                <w:tcPr>
                  <w:tcW w:w="1680" w:type="dxa"/>
                  <w:shd w:val="clear" w:color="auto" w:fill="auto"/>
                </w:tcPr>
                <w:p w:rsidR="00042B09" w:rsidRPr="00042B09" w:rsidRDefault="00042B09" w:rsidP="009E6FFB">
                  <w:pPr>
                    <w:snapToGrid w:val="0"/>
                    <w:spacing w:after="0" w:line="360" w:lineRule="auto"/>
                    <w:rPr>
                      <w:rFonts w:ascii="Arial" w:hAnsi="Arial" w:cs="Arial"/>
                      <w:sz w:val="24"/>
                      <w:szCs w:val="24"/>
                    </w:rPr>
                  </w:pPr>
                </w:p>
                <w:p w:rsidR="00042B09" w:rsidRPr="00042B09" w:rsidRDefault="00042B09" w:rsidP="009E6FFB">
                  <w:pPr>
                    <w:snapToGrid w:val="0"/>
                    <w:spacing w:after="0" w:line="360" w:lineRule="auto"/>
                    <w:rPr>
                      <w:rFonts w:ascii="Arial" w:eastAsia="Arial Unicode MS" w:hAnsi="Arial" w:cs="Arial"/>
                      <w:color w:val="000000"/>
                      <w:sz w:val="24"/>
                      <w:szCs w:val="24"/>
                      <w:u w:val="single"/>
                    </w:rPr>
                  </w:pPr>
                  <w:r w:rsidRPr="00042B09">
                    <w:rPr>
                      <w:rFonts w:ascii="Arial" w:eastAsia="Arial Unicode MS" w:hAnsi="Arial" w:cs="Arial"/>
                      <w:color w:val="000000"/>
                      <w:sz w:val="24"/>
                      <w:szCs w:val="24"/>
                      <w:u w:val="single"/>
                    </w:rPr>
                    <w:t xml:space="preserve">     6:859.342</w:t>
                  </w:r>
                </w:p>
              </w:tc>
              <w:tc>
                <w:tcPr>
                  <w:tcW w:w="1095" w:type="dxa"/>
                  <w:shd w:val="clear" w:color="auto" w:fill="auto"/>
                  <w:vAlign w:val="bottom"/>
                </w:tcPr>
                <w:p w:rsidR="00042B09" w:rsidRPr="00042B09" w:rsidRDefault="00042B09" w:rsidP="009E6FFB">
                  <w:pPr>
                    <w:snapToGrid w:val="0"/>
                    <w:spacing w:after="0" w:line="360" w:lineRule="auto"/>
                    <w:jc w:val="center"/>
                    <w:rPr>
                      <w:rFonts w:ascii="Arial" w:eastAsia="Arial Unicode MS" w:hAnsi="Arial" w:cs="Arial"/>
                      <w:sz w:val="24"/>
                      <w:szCs w:val="24"/>
                      <w:u w:val="single"/>
                      <w:shd w:val="clear" w:color="auto" w:fill="FFFF00"/>
                    </w:rPr>
                  </w:pPr>
                </w:p>
              </w:tc>
            </w:tr>
          </w:tbl>
          <w:p w:rsidR="00042B09" w:rsidRPr="00042B09" w:rsidRDefault="00042B09" w:rsidP="009E6FFB">
            <w:pPr>
              <w:spacing w:after="0" w:line="360" w:lineRule="auto"/>
              <w:rPr>
                <w:rFonts w:ascii="Arial" w:hAnsi="Arial" w:cs="Arial"/>
                <w:sz w:val="24"/>
                <w:szCs w:val="24"/>
              </w:rPr>
            </w:pPr>
          </w:p>
        </w:tc>
        <w:tc>
          <w:tcPr>
            <w:tcW w:w="1095" w:type="dxa"/>
            <w:shd w:val="clear" w:color="auto" w:fill="auto"/>
            <w:vAlign w:val="bottom"/>
          </w:tcPr>
          <w:p w:rsidR="00042B09" w:rsidRPr="00042B09" w:rsidRDefault="00042B09" w:rsidP="009E6FFB">
            <w:pPr>
              <w:snapToGrid w:val="0"/>
              <w:spacing w:after="0" w:line="360" w:lineRule="auto"/>
              <w:jc w:val="right"/>
              <w:rPr>
                <w:rFonts w:ascii="Arial" w:hAnsi="Arial" w:cs="Arial"/>
                <w:sz w:val="24"/>
                <w:szCs w:val="24"/>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5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r>
      <w:tr w:rsidR="00042B09" w:rsidRPr="00042B09" w:rsidTr="009E6FFB">
        <w:trPr>
          <w:trHeight w:val="425"/>
        </w:trPr>
        <w:tc>
          <w:tcPr>
            <w:tcW w:w="7485" w:type="dxa"/>
            <w:shd w:val="clear" w:color="auto" w:fill="auto"/>
            <w:vAlign w:val="bottom"/>
          </w:tcPr>
          <w:p w:rsidR="00042B09" w:rsidRPr="00042B09" w:rsidRDefault="00042B09" w:rsidP="009E6FFB">
            <w:pPr>
              <w:snapToGrid w:val="0"/>
              <w:spacing w:after="0" w:line="360" w:lineRule="auto"/>
              <w:rPr>
                <w:rFonts w:ascii="Arial" w:hAnsi="Arial" w:cs="Arial"/>
                <w:b/>
                <w:bCs/>
                <w:sz w:val="24"/>
                <w:szCs w:val="24"/>
              </w:rPr>
            </w:pPr>
            <w:r w:rsidRPr="00042B09">
              <w:rPr>
                <w:rFonts w:ascii="Arial" w:hAnsi="Arial" w:cs="Arial"/>
                <w:b/>
                <w:bCs/>
                <w:sz w:val="24"/>
                <w:szCs w:val="24"/>
              </w:rPr>
              <w:t>Déficit  Ejercicio 2014  ajustado</w:t>
            </w:r>
          </w:p>
        </w:tc>
        <w:tc>
          <w:tcPr>
            <w:tcW w:w="1680" w:type="dxa"/>
            <w:shd w:val="clear" w:color="auto" w:fill="auto"/>
            <w:vAlign w:val="bottom"/>
          </w:tcPr>
          <w:p w:rsidR="00042B09" w:rsidRPr="00042B09" w:rsidRDefault="00042B09" w:rsidP="009E6FFB">
            <w:pPr>
              <w:snapToGrid w:val="0"/>
              <w:spacing w:after="0" w:line="360" w:lineRule="auto"/>
              <w:jc w:val="center"/>
              <w:rPr>
                <w:rFonts w:ascii="Arial" w:hAnsi="Arial" w:cs="Arial"/>
                <w:sz w:val="24"/>
                <w:szCs w:val="24"/>
                <w:u w:val="double"/>
              </w:rPr>
            </w:pPr>
            <w:r w:rsidRPr="00042B09">
              <w:rPr>
                <w:rFonts w:ascii="Arial" w:hAnsi="Arial" w:cs="Arial"/>
                <w:sz w:val="24"/>
                <w:szCs w:val="24"/>
              </w:rPr>
              <w:t>(</w:t>
            </w:r>
            <w:r w:rsidRPr="00042B09">
              <w:rPr>
                <w:rFonts w:ascii="Arial" w:hAnsi="Arial" w:cs="Arial"/>
                <w:sz w:val="24"/>
                <w:szCs w:val="24"/>
                <w:u w:val="double"/>
              </w:rPr>
              <w:t>136:508.727)</w:t>
            </w:r>
          </w:p>
        </w:tc>
        <w:tc>
          <w:tcPr>
            <w:tcW w:w="1095" w:type="dxa"/>
            <w:shd w:val="clear" w:color="auto" w:fill="auto"/>
            <w:vAlign w:val="bottom"/>
          </w:tcPr>
          <w:p w:rsidR="00042B09" w:rsidRPr="00042B09" w:rsidRDefault="00042B09" w:rsidP="009E6FFB">
            <w:pPr>
              <w:snapToGrid w:val="0"/>
              <w:spacing w:after="0" w:line="360" w:lineRule="auto"/>
              <w:jc w:val="right"/>
              <w:rPr>
                <w:rFonts w:ascii="Arial" w:hAnsi="Arial" w:cs="Arial"/>
                <w:sz w:val="24"/>
                <w:szCs w:val="24"/>
                <w:shd w:val="clear" w:color="auto" w:fill="FFFF00"/>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120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c>
          <w:tcPr>
            <w:tcW w:w="50" w:type="dxa"/>
            <w:shd w:val="clear" w:color="auto" w:fill="auto"/>
            <w:vAlign w:val="bottom"/>
          </w:tcPr>
          <w:p w:rsidR="00042B09" w:rsidRPr="00042B09" w:rsidRDefault="00042B09" w:rsidP="009E6FFB">
            <w:pPr>
              <w:snapToGrid w:val="0"/>
              <w:spacing w:after="0" w:line="360" w:lineRule="auto"/>
              <w:rPr>
                <w:rFonts w:ascii="Arial" w:eastAsia="Arial Unicode MS" w:hAnsi="Arial" w:cs="Arial"/>
                <w:sz w:val="24"/>
                <w:szCs w:val="24"/>
              </w:rPr>
            </w:pPr>
          </w:p>
        </w:tc>
      </w:tr>
    </w:tbl>
    <w:p w:rsidR="00042B09" w:rsidRPr="00042B09" w:rsidRDefault="00042B09" w:rsidP="009E6FFB">
      <w:pPr>
        <w:pStyle w:val="Ttulo2"/>
        <w:numPr>
          <w:ilvl w:val="0"/>
          <w:numId w:val="0"/>
        </w:numPr>
        <w:spacing w:after="0"/>
        <w:ind w:left="576" w:hanging="576"/>
        <w:rPr>
          <w:rFonts w:cs="Arial"/>
          <w:szCs w:val="24"/>
        </w:rPr>
      </w:pPr>
    </w:p>
    <w:p w:rsidR="00042B09" w:rsidRPr="00042B09" w:rsidRDefault="00042B09" w:rsidP="00DB32DC">
      <w:pPr>
        <w:pStyle w:val="Textoindependiente"/>
        <w:spacing w:line="360" w:lineRule="auto"/>
        <w:rPr>
          <w:rFonts w:cs="Arial"/>
          <w:szCs w:val="24"/>
        </w:rPr>
      </w:pPr>
      <w:r w:rsidRPr="00042B09">
        <w:rPr>
          <w:rFonts w:cs="Arial"/>
          <w:szCs w:val="24"/>
        </w:rPr>
        <w:t xml:space="preserve">Por lo señalado precedentemente, el resultado acumulado al 31/12/14 ajustado asciende a </w:t>
      </w:r>
      <w:r w:rsidRPr="00042B09">
        <w:rPr>
          <w:rFonts w:cs="Arial"/>
          <w:color w:val="000000"/>
          <w:szCs w:val="24"/>
        </w:rPr>
        <w:t xml:space="preserve">$ 488:988.031 </w:t>
      </w:r>
      <w:r w:rsidRPr="00042B09">
        <w:rPr>
          <w:rFonts w:cs="Arial"/>
          <w:szCs w:val="24"/>
        </w:rPr>
        <w:t>de déficit de acuerdo al siguiente detalle:</w:t>
      </w:r>
    </w:p>
    <w:p w:rsidR="00042B09" w:rsidRPr="00042B09" w:rsidRDefault="00042B09" w:rsidP="009E6FFB">
      <w:pPr>
        <w:pStyle w:val="Textoindependiente"/>
        <w:spacing w:line="360" w:lineRule="auto"/>
        <w:rPr>
          <w:rFonts w:cs="Arial"/>
          <w:szCs w:val="24"/>
        </w:rPr>
      </w:pPr>
      <w:r w:rsidRPr="00042B09">
        <w:rPr>
          <w:rFonts w:cs="Arial"/>
          <w:szCs w:val="24"/>
        </w:rPr>
        <w:t>Resultado acumulado – Estados presentados             (497:422.705)</w:t>
      </w:r>
    </w:p>
    <w:p w:rsidR="00042B09" w:rsidRPr="00042B09" w:rsidRDefault="00042B09" w:rsidP="009E6FFB">
      <w:pPr>
        <w:pStyle w:val="Textoindependiente"/>
        <w:spacing w:line="360" w:lineRule="auto"/>
        <w:rPr>
          <w:rFonts w:cs="Arial"/>
          <w:szCs w:val="24"/>
        </w:rPr>
      </w:pPr>
      <w:r w:rsidRPr="00042B09">
        <w:rPr>
          <w:rFonts w:cs="Arial"/>
          <w:szCs w:val="24"/>
        </w:rPr>
        <w:t xml:space="preserve">Ajustes Ejercicio 2014                                                           6:859.342 </w:t>
      </w:r>
    </w:p>
    <w:p w:rsidR="00042B09" w:rsidRPr="00042B09" w:rsidRDefault="00042B09" w:rsidP="009E6FFB">
      <w:pPr>
        <w:pStyle w:val="Textoindependiente"/>
        <w:spacing w:line="360" w:lineRule="auto"/>
        <w:rPr>
          <w:rFonts w:cs="Arial"/>
          <w:szCs w:val="24"/>
        </w:rPr>
      </w:pPr>
      <w:r w:rsidRPr="00042B09">
        <w:rPr>
          <w:rFonts w:cs="Arial"/>
          <w:szCs w:val="24"/>
        </w:rPr>
        <w:t xml:space="preserve">Ajustes Resultados anteriores </w:t>
      </w:r>
      <w:r w:rsidRPr="00042B09">
        <w:rPr>
          <w:rFonts w:cs="Arial"/>
          <w:szCs w:val="24"/>
        </w:rPr>
        <w:tab/>
        <w:t xml:space="preserve">                                         1:585.332</w:t>
      </w:r>
    </w:p>
    <w:p w:rsidR="00042B09" w:rsidRPr="00042B09" w:rsidRDefault="00042B09" w:rsidP="009E6FFB">
      <w:pPr>
        <w:pStyle w:val="Textoindependiente"/>
        <w:spacing w:line="360" w:lineRule="auto"/>
        <w:rPr>
          <w:rFonts w:cs="Arial"/>
          <w:b/>
          <w:bCs/>
          <w:szCs w:val="24"/>
        </w:rPr>
      </w:pPr>
      <w:r w:rsidRPr="00042B09">
        <w:rPr>
          <w:rFonts w:cs="Arial"/>
          <w:b/>
          <w:bCs/>
          <w:szCs w:val="24"/>
        </w:rPr>
        <w:t>Resultado acumulado ajustado                                     (488:978.031)</w:t>
      </w:r>
    </w:p>
    <w:p w:rsidR="00042B09" w:rsidRPr="00042B09" w:rsidRDefault="00042B09" w:rsidP="009E6FFB">
      <w:pPr>
        <w:widowControl w:val="0"/>
        <w:spacing w:line="360" w:lineRule="auto"/>
        <w:rPr>
          <w:rFonts w:ascii="Arial" w:hAnsi="Arial" w:cs="Arial"/>
          <w:sz w:val="24"/>
          <w:szCs w:val="24"/>
        </w:rPr>
      </w:pPr>
    </w:p>
    <w:p w:rsidR="00042B09" w:rsidRPr="00042B09" w:rsidRDefault="00042B09" w:rsidP="009E6FFB">
      <w:pPr>
        <w:pStyle w:val="Ttulo2"/>
        <w:spacing w:after="0"/>
        <w:rPr>
          <w:rFonts w:cs="Arial"/>
          <w:bCs/>
          <w:szCs w:val="24"/>
        </w:rPr>
      </w:pPr>
      <w:bookmarkStart w:id="6" w:name="_Toc429986116"/>
    </w:p>
    <w:p w:rsidR="00042B09" w:rsidRPr="00042B09" w:rsidRDefault="00042B09" w:rsidP="009E6FFB">
      <w:pPr>
        <w:pStyle w:val="Ttulo2"/>
        <w:spacing w:after="0"/>
        <w:rPr>
          <w:rFonts w:cs="Arial"/>
          <w:bCs/>
          <w:szCs w:val="24"/>
        </w:rPr>
      </w:pPr>
      <w:r w:rsidRPr="00042B09">
        <w:rPr>
          <w:rFonts w:cs="Arial"/>
          <w:bCs/>
          <w:szCs w:val="24"/>
        </w:rPr>
        <w:t>3.1.3 Estado de Movimiento de Fondos y Valores</w:t>
      </w:r>
      <w:bookmarkEnd w:id="6"/>
    </w:p>
    <w:p w:rsidR="00042B09" w:rsidRPr="00042B09" w:rsidRDefault="00042B09" w:rsidP="00042B09">
      <w:pPr>
        <w:pStyle w:val="Textoindependiente"/>
        <w:numPr>
          <w:ilvl w:val="0"/>
          <w:numId w:val="7"/>
        </w:numPr>
        <w:spacing w:after="0" w:line="360" w:lineRule="auto"/>
        <w:rPr>
          <w:rFonts w:cs="Arial"/>
          <w:szCs w:val="24"/>
        </w:rPr>
      </w:pPr>
      <w:r w:rsidRPr="00042B09">
        <w:rPr>
          <w:rFonts w:cs="Arial"/>
          <w:szCs w:val="24"/>
        </w:rPr>
        <w:t>No se incluyó el Fondo Fijo de la Tesorería por $ 30.000 en el Saldo al Cierre del Ejercicio del Estado de Movimiento de Fondos y Valores.</w:t>
      </w:r>
    </w:p>
    <w:p w:rsidR="00042B09" w:rsidRPr="00042B09" w:rsidRDefault="00042B09" w:rsidP="00042B09">
      <w:pPr>
        <w:numPr>
          <w:ilvl w:val="0"/>
          <w:numId w:val="7"/>
        </w:numPr>
        <w:suppressAutoHyphens/>
        <w:spacing w:after="0" w:line="360" w:lineRule="auto"/>
        <w:jc w:val="both"/>
        <w:rPr>
          <w:rFonts w:ascii="Arial" w:hAnsi="Arial" w:cs="Arial"/>
          <w:kern w:val="1"/>
          <w:sz w:val="24"/>
          <w:szCs w:val="24"/>
        </w:rPr>
      </w:pPr>
      <w:r w:rsidRPr="00042B09">
        <w:rPr>
          <w:rFonts w:ascii="Arial" w:hAnsi="Arial" w:cs="Arial"/>
          <w:spacing w:val="10"/>
          <w:kern w:val="24"/>
          <w:sz w:val="24"/>
          <w:szCs w:val="24"/>
        </w:rPr>
        <w:t>Los egresos por concepto de Intereses por préstamos financieros por $</w:t>
      </w:r>
      <w:r w:rsidRPr="00042B09">
        <w:rPr>
          <w:rFonts w:ascii="Arial" w:hAnsi="Arial" w:cs="Arial"/>
          <w:kern w:val="1"/>
          <w:sz w:val="24"/>
          <w:szCs w:val="24"/>
        </w:rPr>
        <w:t xml:space="preserve"> 10:047.352 se incluyen en el Estado de Movimiento de Fondos y Valores integrando los egresos presupuestales pagos, así como también dentro de los egresos por amortización de préstamos en el mismo Estado. Por lo</w:t>
      </w:r>
      <w:r w:rsidR="00C85437">
        <w:rPr>
          <w:rFonts w:ascii="Arial" w:hAnsi="Arial" w:cs="Arial"/>
          <w:kern w:val="1"/>
          <w:sz w:val="24"/>
          <w:szCs w:val="24"/>
        </w:rPr>
        <w:t xml:space="preserve"> tanto se encuentran duplicados.</w:t>
      </w:r>
    </w:p>
    <w:p w:rsidR="00042B09" w:rsidRPr="00042B09" w:rsidRDefault="00042B09" w:rsidP="009E6FFB">
      <w:pPr>
        <w:pStyle w:val="Ttulo2"/>
        <w:spacing w:after="0"/>
        <w:rPr>
          <w:rFonts w:cs="Arial"/>
          <w:bCs/>
          <w:spacing w:val="-3"/>
          <w:szCs w:val="24"/>
        </w:rPr>
      </w:pPr>
      <w:bookmarkStart w:id="7" w:name="_Toc429986117"/>
      <w:r w:rsidRPr="00042B09">
        <w:rPr>
          <w:rFonts w:cs="Arial"/>
          <w:bCs/>
          <w:spacing w:val="-3"/>
          <w:szCs w:val="24"/>
        </w:rPr>
        <w:t>3.1.4 Estado de Obligaciones Presupuestales impagas</w:t>
      </w:r>
      <w:bookmarkEnd w:id="7"/>
    </w:p>
    <w:p w:rsidR="00042B09" w:rsidRPr="00042B09" w:rsidRDefault="00042B09" w:rsidP="009E6FFB">
      <w:pPr>
        <w:pStyle w:val="Textoindependiente"/>
        <w:spacing w:after="0" w:line="360" w:lineRule="auto"/>
        <w:rPr>
          <w:rFonts w:cs="Arial"/>
          <w:szCs w:val="24"/>
        </w:rPr>
      </w:pPr>
      <w:r w:rsidRPr="00042B09">
        <w:rPr>
          <w:rFonts w:cs="Arial"/>
          <w:spacing w:val="8"/>
          <w:kern w:val="24"/>
          <w:szCs w:val="24"/>
        </w:rPr>
        <w:t>Los pagos del Estado de Obligaciones Presupuestales Impagas difieren en $</w:t>
      </w:r>
      <w:r w:rsidRPr="00042B09">
        <w:rPr>
          <w:rFonts w:cs="Arial"/>
          <w:szCs w:val="24"/>
        </w:rPr>
        <w:t xml:space="preserve"> 3:003.906 de los egresos respectivos del Estado de Movimiento de Fondos y Valores, exponiéndose montos diferentes por un mismo concepto.</w:t>
      </w:r>
    </w:p>
    <w:p w:rsidR="00042B09" w:rsidRPr="00042B09" w:rsidRDefault="00042B09" w:rsidP="009E6FFB">
      <w:pPr>
        <w:pStyle w:val="Ttulo2"/>
        <w:spacing w:after="0"/>
        <w:rPr>
          <w:rFonts w:cs="Arial"/>
          <w:bCs/>
          <w:spacing w:val="-3"/>
          <w:szCs w:val="24"/>
        </w:rPr>
      </w:pPr>
      <w:bookmarkStart w:id="8" w:name="_Toc429986118"/>
      <w:r w:rsidRPr="00042B09">
        <w:rPr>
          <w:rFonts w:cs="Arial"/>
          <w:bCs/>
          <w:spacing w:val="-3"/>
          <w:szCs w:val="24"/>
        </w:rPr>
        <w:t>3.1.5 Estado de Fondos Extrapresupuestales</w:t>
      </w:r>
      <w:bookmarkEnd w:id="8"/>
    </w:p>
    <w:p w:rsidR="00042B09" w:rsidRPr="00042B09" w:rsidRDefault="00042B09" w:rsidP="00DB32DC">
      <w:pPr>
        <w:tabs>
          <w:tab w:val="left" w:pos="-720"/>
        </w:tabs>
        <w:spacing w:after="0" w:line="360" w:lineRule="auto"/>
        <w:jc w:val="both"/>
        <w:rPr>
          <w:rFonts w:ascii="Arial" w:hAnsi="Arial" w:cs="Arial"/>
          <w:kern w:val="1"/>
          <w:sz w:val="24"/>
          <w:szCs w:val="24"/>
        </w:rPr>
      </w:pPr>
      <w:r w:rsidRPr="00042B09">
        <w:rPr>
          <w:rFonts w:ascii="Arial" w:hAnsi="Arial" w:cs="Arial"/>
          <w:kern w:val="1"/>
          <w:sz w:val="24"/>
          <w:szCs w:val="24"/>
        </w:rPr>
        <w:t xml:space="preserve">El saldo inicial de Fondos Extrapresupuestales es de -$ 17:107.254, mientras </w:t>
      </w:r>
      <w:r w:rsidRPr="00042B09">
        <w:rPr>
          <w:rFonts w:ascii="Arial" w:hAnsi="Arial" w:cs="Arial"/>
          <w:spacing w:val="8"/>
          <w:kern w:val="24"/>
          <w:sz w:val="24"/>
          <w:szCs w:val="24"/>
        </w:rPr>
        <w:t>que el saldo final informado en la Rendición de Cuentas del año 2013 fue de - $</w:t>
      </w:r>
      <w:r w:rsidRPr="00042B09">
        <w:rPr>
          <w:rFonts w:ascii="Arial" w:hAnsi="Arial" w:cs="Arial"/>
          <w:kern w:val="1"/>
          <w:sz w:val="24"/>
          <w:szCs w:val="24"/>
        </w:rPr>
        <w:t xml:space="preserve"> 15:223.561.</w:t>
      </w:r>
    </w:p>
    <w:p w:rsidR="00042B09" w:rsidRPr="00042B09" w:rsidRDefault="00042B09" w:rsidP="009E6FFB">
      <w:pPr>
        <w:pStyle w:val="Ttulo2"/>
        <w:spacing w:after="0"/>
        <w:rPr>
          <w:rFonts w:cs="Arial"/>
          <w:bCs/>
          <w:spacing w:val="-3"/>
          <w:szCs w:val="24"/>
        </w:rPr>
      </w:pPr>
      <w:bookmarkStart w:id="9" w:name="_Toc429986119"/>
      <w:r w:rsidRPr="00042B09">
        <w:rPr>
          <w:rFonts w:cs="Arial"/>
          <w:bCs/>
          <w:spacing w:val="-3"/>
          <w:szCs w:val="24"/>
        </w:rPr>
        <w:t>3.1.6 Estado de Resultado Acumulado</w:t>
      </w:r>
      <w:bookmarkEnd w:id="9"/>
    </w:p>
    <w:p w:rsidR="00042B09" w:rsidRPr="00042B09" w:rsidRDefault="00042B09" w:rsidP="009E6FFB">
      <w:pPr>
        <w:pStyle w:val="Textoindependiente"/>
        <w:spacing w:after="0" w:line="360" w:lineRule="auto"/>
        <w:rPr>
          <w:rFonts w:cs="Arial"/>
          <w:szCs w:val="24"/>
        </w:rPr>
      </w:pPr>
      <w:r w:rsidRPr="00042B09">
        <w:rPr>
          <w:rFonts w:cs="Arial"/>
          <w:szCs w:val="24"/>
        </w:rPr>
        <w:t>El saldo de Fondos Extrapresupuestales del Estado de Resultado Acumulado, difiere en $ 19:325.571 del Saldo final según el Documento de la Rendición de Cuentas del año 2013, más los Créditos del 2014, menos los Débitos del 2014 informado en el Estado de Fondos Extrapresupuestales</w:t>
      </w:r>
      <w:r w:rsidR="00C85437">
        <w:rPr>
          <w:rFonts w:cs="Arial"/>
          <w:szCs w:val="24"/>
        </w:rPr>
        <w:t>.</w:t>
      </w:r>
    </w:p>
    <w:p w:rsidR="00042B09" w:rsidRPr="00042B09" w:rsidRDefault="00042B09" w:rsidP="009E6FFB">
      <w:pPr>
        <w:pStyle w:val="Textoindependiente"/>
        <w:spacing w:after="0" w:line="360" w:lineRule="auto"/>
        <w:rPr>
          <w:rFonts w:cs="Arial"/>
          <w:szCs w:val="24"/>
        </w:rPr>
      </w:pPr>
      <w:r w:rsidRPr="00042B09">
        <w:rPr>
          <w:rFonts w:cs="Arial"/>
          <w:spacing w:val="14"/>
          <w:kern w:val="24"/>
          <w:szCs w:val="24"/>
        </w:rPr>
        <w:t>El total de Obligaciones del Estado de Resultado Acumulado, difiere en $</w:t>
      </w:r>
      <w:r w:rsidRPr="00042B09">
        <w:rPr>
          <w:rFonts w:cs="Arial"/>
          <w:szCs w:val="24"/>
        </w:rPr>
        <w:t xml:space="preserve"> 1:705.761 con los listados de Cuentas Patrimoniales incluidos en el documento de la Rendición de Cuentas.</w:t>
      </w:r>
    </w:p>
    <w:p w:rsidR="00042B09" w:rsidRPr="00042B09" w:rsidRDefault="00042B09" w:rsidP="009E6FFB">
      <w:pPr>
        <w:pStyle w:val="Ttulo2"/>
        <w:spacing w:after="0"/>
        <w:rPr>
          <w:rFonts w:cs="Arial"/>
          <w:szCs w:val="24"/>
        </w:rPr>
      </w:pPr>
      <w:bookmarkStart w:id="10" w:name="_Toc429986120"/>
      <w:r w:rsidRPr="00042B09">
        <w:rPr>
          <w:rFonts w:cs="Arial"/>
          <w:szCs w:val="24"/>
        </w:rPr>
        <w:t>3.1.7 Ingresos por Multas de Tránsito</w:t>
      </w:r>
      <w:bookmarkEnd w:id="10"/>
    </w:p>
    <w:p w:rsidR="00042B09" w:rsidRPr="00042B09" w:rsidRDefault="00042B09" w:rsidP="00C85437">
      <w:pPr>
        <w:widowControl w:val="0"/>
        <w:spacing w:after="0" w:line="360" w:lineRule="auto"/>
        <w:jc w:val="both"/>
        <w:rPr>
          <w:rFonts w:ascii="Arial" w:hAnsi="Arial" w:cs="Arial"/>
          <w:bCs/>
          <w:iCs/>
          <w:sz w:val="24"/>
          <w:szCs w:val="24"/>
        </w:rPr>
      </w:pPr>
      <w:r w:rsidRPr="00042B09">
        <w:rPr>
          <w:rFonts w:ascii="Arial" w:hAnsi="Arial" w:cs="Arial"/>
          <w:bCs/>
          <w:iCs/>
          <w:sz w:val="24"/>
          <w:szCs w:val="24"/>
        </w:rPr>
        <w:t>En la cuenta “Multas Varias” se contabiliza sólo el 40% de las multas de tránsito, correspondiente al porcentaje de multas que tienen por destino Rentas Generales. El restante 60 % se contabiliza en cuentas de Indisponible como ser: Escuelas de Discapacitados (30%) e Inspectores (30%) lo que implica un error de exposición. En el caso de los Municipios lo recaudado por multas se contabiliza correctamente e</w:t>
      </w:r>
      <w:r w:rsidR="00C85437">
        <w:rPr>
          <w:rFonts w:ascii="Arial" w:hAnsi="Arial" w:cs="Arial"/>
          <w:bCs/>
          <w:iCs/>
          <w:sz w:val="24"/>
          <w:szCs w:val="24"/>
        </w:rPr>
        <w:t>n la cuenta “Multas Alcaldías”.</w:t>
      </w:r>
    </w:p>
    <w:p w:rsidR="00042B09" w:rsidRPr="00042B09" w:rsidRDefault="00042B09" w:rsidP="009E6FFB">
      <w:pPr>
        <w:pStyle w:val="Ttulo2"/>
        <w:spacing w:after="0"/>
        <w:rPr>
          <w:rFonts w:cs="Arial"/>
          <w:szCs w:val="24"/>
        </w:rPr>
      </w:pPr>
      <w:bookmarkStart w:id="11" w:name="_Toc429986121"/>
      <w:r w:rsidRPr="00042B09">
        <w:rPr>
          <w:rFonts w:cs="Arial"/>
          <w:szCs w:val="24"/>
        </w:rPr>
        <w:t>3.1.8 Ley Nº 18.719</w:t>
      </w:r>
      <w:bookmarkEnd w:id="11"/>
    </w:p>
    <w:p w:rsidR="00042B09" w:rsidRPr="00042B09" w:rsidRDefault="00042B09" w:rsidP="009E6FFB">
      <w:pPr>
        <w:pStyle w:val="Textoindependiente"/>
        <w:spacing w:after="0" w:line="360" w:lineRule="auto"/>
        <w:rPr>
          <w:rFonts w:cs="Arial"/>
          <w:bCs/>
          <w:iCs/>
          <w:kern w:val="0"/>
          <w:szCs w:val="24"/>
        </w:rPr>
      </w:pPr>
      <w:r w:rsidRPr="00042B09">
        <w:rPr>
          <w:rFonts w:cs="Arial"/>
          <w:bCs/>
          <w:iCs/>
          <w:kern w:val="0"/>
          <w:szCs w:val="24"/>
        </w:rPr>
        <w:t xml:space="preserve">Se contabilizaron ingresos en la cuenta “Asistencia Financiera (Ley 18.719), </w:t>
      </w:r>
      <w:r w:rsidRPr="00042B09">
        <w:rPr>
          <w:rFonts w:cs="Arial"/>
          <w:bCs/>
          <w:iCs/>
          <w:spacing w:val="10"/>
          <w:kern w:val="0"/>
          <w:szCs w:val="24"/>
        </w:rPr>
        <w:t>por concepto de desembolsos Fondo de Desarrollo del Interior (FDI) por $</w:t>
      </w:r>
      <w:r w:rsidRPr="00042B09">
        <w:rPr>
          <w:rFonts w:cs="Arial"/>
          <w:bCs/>
          <w:iCs/>
          <w:kern w:val="0"/>
          <w:szCs w:val="24"/>
        </w:rPr>
        <w:t xml:space="preserve"> 7:607.327, alumbrado público ($ 4:456.359) y partida con destino a Municipios  ($ 375.701), en lugar de imputarse en los rubros contables creados para dichos conceptos. Asimismo, en la cuenta “Otras Transferencias” se registraron partidas del Fondo de Desarrollo del Interior por $ 5:333.915.</w:t>
      </w:r>
    </w:p>
    <w:p w:rsidR="00042B09" w:rsidRPr="00042B09" w:rsidRDefault="00042B09" w:rsidP="009E6FFB">
      <w:pPr>
        <w:pStyle w:val="Ttulo2"/>
        <w:spacing w:after="0"/>
        <w:rPr>
          <w:rFonts w:cs="Arial"/>
          <w:szCs w:val="24"/>
        </w:rPr>
      </w:pPr>
      <w:bookmarkStart w:id="12" w:name="_Toc429986123"/>
      <w:r w:rsidRPr="00042B09">
        <w:rPr>
          <w:rFonts w:cs="Arial"/>
          <w:szCs w:val="24"/>
        </w:rPr>
        <w:t>3.1.9 Estados Consolidados</w:t>
      </w:r>
      <w:bookmarkEnd w:id="12"/>
    </w:p>
    <w:p w:rsidR="00042B09" w:rsidRPr="00042B09" w:rsidRDefault="00042B09" w:rsidP="00C85437">
      <w:pPr>
        <w:widowControl w:val="0"/>
        <w:spacing w:after="0" w:line="360" w:lineRule="auto"/>
        <w:jc w:val="both"/>
        <w:rPr>
          <w:rFonts w:ascii="Arial" w:hAnsi="Arial" w:cs="Arial"/>
          <w:sz w:val="24"/>
          <w:szCs w:val="24"/>
        </w:rPr>
      </w:pPr>
      <w:r w:rsidRPr="00042B09">
        <w:rPr>
          <w:rFonts w:ascii="Arial" w:hAnsi="Arial" w:cs="Arial"/>
          <w:sz w:val="24"/>
          <w:szCs w:val="24"/>
        </w:rPr>
        <w:t>Al presentar los Estados de la Rendición de Cuentas del año 2014, la Intendencia no consideró la ejecución presupuestal, las disponibilidades, y la evolución de los fondos indisponibles y obligaciones presupuestales impagas presentadas por la Junta Departamental.</w:t>
      </w:r>
    </w:p>
    <w:p w:rsidR="00042B09" w:rsidRPr="00042B09" w:rsidRDefault="00042B09" w:rsidP="009E6FFB">
      <w:pPr>
        <w:pStyle w:val="Ttulo2"/>
        <w:spacing w:after="0"/>
        <w:rPr>
          <w:rFonts w:cs="Arial"/>
          <w:szCs w:val="24"/>
        </w:rPr>
      </w:pPr>
      <w:bookmarkStart w:id="13" w:name="_Toc429986124"/>
      <w:r w:rsidRPr="00042B09">
        <w:rPr>
          <w:rFonts w:cs="Arial"/>
          <w:szCs w:val="24"/>
        </w:rPr>
        <w:t>3.1.10 Juicios contra la Intendencia</w:t>
      </w:r>
      <w:bookmarkEnd w:id="13"/>
    </w:p>
    <w:p w:rsidR="00042B09" w:rsidRDefault="00042B09" w:rsidP="009E6FFB">
      <w:pPr>
        <w:pStyle w:val="Textoindependiente"/>
        <w:widowControl w:val="0"/>
        <w:spacing w:after="0" w:line="360" w:lineRule="auto"/>
        <w:rPr>
          <w:rFonts w:cs="Arial"/>
          <w:szCs w:val="24"/>
        </w:rPr>
      </w:pPr>
      <w:r w:rsidRPr="00042B09">
        <w:rPr>
          <w:rFonts w:cs="Arial"/>
          <w:szCs w:val="24"/>
        </w:rPr>
        <w:t>El déficit acumulado al 31/12/14 puede resultar modificado por las eventuales erogaciones que resulten de los juicios en trámite, en los que se reclaman montos que, de acuerdo a la información proporcionada por la Comuna, ascienden a $ 6:119.288  y U$S 318.500.</w:t>
      </w:r>
    </w:p>
    <w:p w:rsidR="00C85437" w:rsidRPr="00042B09" w:rsidRDefault="00C85437" w:rsidP="009E6FFB">
      <w:pPr>
        <w:pStyle w:val="Textoindependiente"/>
        <w:widowControl w:val="0"/>
        <w:spacing w:after="0" w:line="360" w:lineRule="auto"/>
        <w:rPr>
          <w:rFonts w:cs="Arial"/>
          <w:szCs w:val="24"/>
        </w:rPr>
      </w:pPr>
    </w:p>
    <w:p w:rsidR="00042B09" w:rsidRPr="00042B09" w:rsidRDefault="00042B09" w:rsidP="009E6FFB">
      <w:pPr>
        <w:pStyle w:val="Ttulo2"/>
        <w:spacing w:after="0"/>
        <w:rPr>
          <w:rFonts w:cs="Arial"/>
          <w:szCs w:val="24"/>
        </w:rPr>
      </w:pPr>
      <w:bookmarkStart w:id="14" w:name="_Toc429986125"/>
      <w:r w:rsidRPr="00042B09">
        <w:rPr>
          <w:rFonts w:cs="Arial"/>
          <w:szCs w:val="24"/>
        </w:rPr>
        <w:t>3.2 Incumplimiento de normas legales</w:t>
      </w:r>
      <w:bookmarkEnd w:id="14"/>
    </w:p>
    <w:p w:rsidR="00042B09" w:rsidRPr="00042B09" w:rsidRDefault="00042B09" w:rsidP="009E6FFB">
      <w:pPr>
        <w:pStyle w:val="Ttulo2"/>
        <w:spacing w:after="0"/>
        <w:rPr>
          <w:rFonts w:cs="Arial"/>
          <w:szCs w:val="24"/>
        </w:rPr>
      </w:pPr>
      <w:bookmarkStart w:id="15" w:name="_Toc429986126"/>
      <w:r w:rsidRPr="00042B09">
        <w:rPr>
          <w:rFonts w:cs="Arial"/>
          <w:szCs w:val="24"/>
        </w:rPr>
        <w:t>3.2.1 Incremento salarial</w:t>
      </w:r>
      <w:bookmarkEnd w:id="15"/>
    </w:p>
    <w:p w:rsidR="00042B09" w:rsidRPr="00042B09" w:rsidRDefault="00042B09" w:rsidP="009E6FFB">
      <w:pPr>
        <w:pStyle w:val="Textoindependiente"/>
        <w:spacing w:after="0" w:line="360" w:lineRule="auto"/>
        <w:rPr>
          <w:rFonts w:cs="Arial"/>
          <w:bCs/>
          <w:iCs/>
          <w:szCs w:val="24"/>
        </w:rPr>
      </w:pPr>
      <w:r w:rsidRPr="00042B09">
        <w:rPr>
          <w:rFonts w:cs="Arial"/>
          <w:bCs/>
          <w:iCs/>
          <w:szCs w:val="24"/>
        </w:rPr>
        <w:t>El incremento salarial de enero de 2014 no se adecua exactamente a lo establecido en el Artículo 145 del Presupuesto Quinquenal 2011-2015, donde se fijan ajustes por IPC y ajustes por recuperación salarial en función de los salarios nominales vigentes al 31/12/2010. La Intendencia efectuó el ajuste sobre los salarios nominales vigentes al 31/12/13 no cumpliendo con la referida norma presupuestal</w:t>
      </w:r>
      <w:r w:rsidR="00C85437">
        <w:rPr>
          <w:rFonts w:cs="Arial"/>
          <w:bCs/>
          <w:iCs/>
          <w:szCs w:val="24"/>
        </w:rPr>
        <w:t xml:space="preserve"> (Art. 86 de la Constitución).</w:t>
      </w:r>
    </w:p>
    <w:p w:rsidR="00042B09" w:rsidRPr="00042B09" w:rsidRDefault="00042B09" w:rsidP="009E6FFB">
      <w:pPr>
        <w:pStyle w:val="Ttulo2"/>
        <w:spacing w:after="0"/>
        <w:rPr>
          <w:rFonts w:cs="Arial"/>
          <w:bCs/>
          <w:iCs/>
          <w:szCs w:val="24"/>
        </w:rPr>
      </w:pPr>
    </w:p>
    <w:p w:rsidR="00042B09" w:rsidRPr="00042B09" w:rsidRDefault="00042B09" w:rsidP="009E6FFB">
      <w:pPr>
        <w:pStyle w:val="Ttulo2"/>
        <w:spacing w:after="0"/>
        <w:rPr>
          <w:rFonts w:cs="Arial"/>
          <w:szCs w:val="24"/>
          <w:highlight w:val="yellow"/>
        </w:rPr>
      </w:pPr>
      <w:bookmarkStart w:id="16" w:name="_Toc429986127"/>
      <w:r w:rsidRPr="00042B09">
        <w:rPr>
          <w:rFonts w:cs="Arial"/>
          <w:szCs w:val="24"/>
        </w:rPr>
        <w:t>3.2.2 Sueldos y compensaciones</w:t>
      </w:r>
      <w:bookmarkEnd w:id="16"/>
    </w:p>
    <w:p w:rsidR="00042B09" w:rsidRPr="00042B09" w:rsidRDefault="00042B09" w:rsidP="00C85437">
      <w:pPr>
        <w:spacing w:after="0" w:line="360" w:lineRule="auto"/>
        <w:jc w:val="both"/>
        <w:rPr>
          <w:rFonts w:ascii="Arial" w:hAnsi="Arial" w:cs="Arial"/>
          <w:bCs/>
          <w:iCs/>
          <w:kern w:val="1"/>
          <w:sz w:val="24"/>
          <w:szCs w:val="24"/>
        </w:rPr>
      </w:pPr>
      <w:r w:rsidRPr="00042B09">
        <w:rPr>
          <w:rFonts w:ascii="Arial" w:hAnsi="Arial" w:cs="Arial"/>
          <w:bCs/>
          <w:iCs/>
          <w:kern w:val="1"/>
          <w:sz w:val="24"/>
          <w:szCs w:val="24"/>
        </w:rPr>
        <w:t>Los sueldos de algunos funcionarios no se adecuan a lo establecido en el presupuesto quinquenal 2011-2015. Tampoco coincide la cantidad de funcionarios contratados con los previstos en el planillado c</w:t>
      </w:r>
      <w:r w:rsidR="00C85437">
        <w:rPr>
          <w:rFonts w:ascii="Arial" w:hAnsi="Arial" w:cs="Arial"/>
          <w:bCs/>
          <w:iCs/>
          <w:kern w:val="1"/>
          <w:sz w:val="24"/>
          <w:szCs w:val="24"/>
        </w:rPr>
        <w:t>orrespondiente del presupuesto.</w:t>
      </w:r>
    </w:p>
    <w:p w:rsidR="00042B09" w:rsidRPr="00042B09" w:rsidRDefault="00042B09" w:rsidP="00C85437">
      <w:pPr>
        <w:spacing w:after="0" w:line="360" w:lineRule="auto"/>
        <w:jc w:val="both"/>
        <w:rPr>
          <w:rFonts w:ascii="Arial" w:hAnsi="Arial" w:cs="Arial"/>
          <w:bCs/>
          <w:iCs/>
          <w:kern w:val="1"/>
          <w:sz w:val="24"/>
          <w:szCs w:val="24"/>
        </w:rPr>
      </w:pPr>
      <w:r w:rsidRPr="00042B09">
        <w:rPr>
          <w:rFonts w:ascii="Arial" w:hAnsi="Arial" w:cs="Arial"/>
          <w:bCs/>
          <w:iCs/>
          <w:kern w:val="1"/>
          <w:sz w:val="24"/>
          <w:szCs w:val="24"/>
        </w:rPr>
        <w:t>Se pagaron complementos de sueldos que no se ajustan a la normativa presupuestal.</w:t>
      </w:r>
    </w:p>
    <w:p w:rsidR="00042B09" w:rsidRPr="00042B09" w:rsidRDefault="00042B09" w:rsidP="00C85437">
      <w:pPr>
        <w:pStyle w:val="Ttulo2"/>
        <w:spacing w:after="0"/>
        <w:jc w:val="both"/>
        <w:rPr>
          <w:rFonts w:cs="Arial"/>
          <w:bCs/>
          <w:iCs/>
          <w:szCs w:val="24"/>
        </w:rPr>
      </w:pPr>
      <w:bookmarkStart w:id="17" w:name="_Toc429986128"/>
      <w:r w:rsidRPr="00042B09">
        <w:rPr>
          <w:rFonts w:cs="Arial"/>
          <w:bCs/>
          <w:iCs/>
          <w:szCs w:val="24"/>
        </w:rPr>
        <w:t>3.2.3 Artículo 211 Literal B) de la Constitució</w:t>
      </w:r>
      <w:r w:rsidR="00C85437">
        <w:rPr>
          <w:rFonts w:cs="Arial"/>
          <w:bCs/>
          <w:iCs/>
          <w:szCs w:val="24"/>
        </w:rPr>
        <w:t>n de la República y el Artículo</w:t>
      </w:r>
      <w:r w:rsidRPr="00042B09">
        <w:rPr>
          <w:rFonts w:cs="Arial"/>
          <w:bCs/>
          <w:iCs/>
          <w:szCs w:val="24"/>
        </w:rPr>
        <w:t>87 del TOCAF</w:t>
      </w:r>
      <w:bookmarkEnd w:id="17"/>
    </w:p>
    <w:p w:rsidR="00042B09" w:rsidRPr="00042B09" w:rsidRDefault="00042B09" w:rsidP="00C85437">
      <w:pPr>
        <w:widowControl w:val="0"/>
        <w:spacing w:after="0" w:line="360" w:lineRule="auto"/>
        <w:jc w:val="both"/>
        <w:rPr>
          <w:rFonts w:ascii="Arial" w:hAnsi="Arial" w:cs="Arial"/>
          <w:bCs/>
          <w:iCs/>
          <w:sz w:val="24"/>
          <w:szCs w:val="24"/>
        </w:rPr>
      </w:pPr>
      <w:r w:rsidRPr="00042B09">
        <w:rPr>
          <w:rFonts w:ascii="Arial" w:hAnsi="Arial" w:cs="Arial"/>
          <w:bCs/>
          <w:iCs/>
          <w:sz w:val="24"/>
          <w:szCs w:val="24"/>
        </w:rPr>
        <w:t>En oficinas descentralizadas de distintas localidades, se efectuaron pagos sin ser sometidos a la intervención preventiva del Contador Delegado ni por este Tribunal;</w:t>
      </w:r>
    </w:p>
    <w:p w:rsidR="00042B09" w:rsidRPr="00042B09" w:rsidRDefault="00042B09" w:rsidP="00C85437">
      <w:pPr>
        <w:pStyle w:val="Ttulo2"/>
        <w:spacing w:after="0"/>
        <w:jc w:val="both"/>
        <w:rPr>
          <w:rFonts w:cs="Arial"/>
          <w:bCs/>
          <w:iCs/>
          <w:szCs w:val="24"/>
        </w:rPr>
      </w:pPr>
      <w:bookmarkStart w:id="18" w:name="_Toc429986130"/>
      <w:r w:rsidRPr="00042B09">
        <w:rPr>
          <w:rFonts w:cs="Arial"/>
          <w:bCs/>
          <w:iCs/>
          <w:szCs w:val="24"/>
        </w:rPr>
        <w:t xml:space="preserve">3.2.4 </w:t>
      </w:r>
      <w:r w:rsidRPr="00042B09">
        <w:rPr>
          <w:rFonts w:cs="Arial"/>
          <w:szCs w:val="24"/>
        </w:rPr>
        <w:t>Artículos 225 y 227 de la Constitución de la República, Ordenanza N° 71, Resolución de este Tribunal de 01/07/98 y Proyecto de Modificación Presupuestal 2013-2015</w:t>
      </w:r>
      <w:bookmarkEnd w:id="18"/>
    </w:p>
    <w:p w:rsidR="00042B09" w:rsidRPr="00042B09" w:rsidRDefault="00042B09" w:rsidP="00C85437">
      <w:pPr>
        <w:widowControl w:val="0"/>
        <w:spacing w:after="0" w:line="360" w:lineRule="auto"/>
        <w:jc w:val="both"/>
        <w:rPr>
          <w:rFonts w:ascii="Arial" w:hAnsi="Arial" w:cs="Arial"/>
          <w:sz w:val="24"/>
          <w:szCs w:val="24"/>
        </w:rPr>
      </w:pPr>
      <w:r w:rsidRPr="00042B09">
        <w:rPr>
          <w:rFonts w:ascii="Arial" w:hAnsi="Arial" w:cs="Arial"/>
          <w:sz w:val="24"/>
          <w:szCs w:val="24"/>
        </w:rPr>
        <w:t>Este Tribunal con fecha 23/10/13 emitió el Dictamen Constitucional respecto al Proyecto de Modificación Presupuestal 2013-2015 formulando las observaciones contenidas en los párrafos 2.1) y 3.2)  a 3.8) del mismo. No obstante haberse aceptado por Decreto de la Junta Departamental de fecha 25/10/13, las observaciones correspondientes a los párrafos 2.1) y  3.2) a  3.8), no se levantaron las observaciones señaladas.</w:t>
      </w:r>
    </w:p>
    <w:p w:rsidR="00042B09" w:rsidRPr="00042B09" w:rsidRDefault="00042B09" w:rsidP="00C85437">
      <w:pPr>
        <w:widowControl w:val="0"/>
        <w:spacing w:after="0" w:line="360" w:lineRule="auto"/>
        <w:jc w:val="both"/>
        <w:rPr>
          <w:rFonts w:ascii="Arial" w:hAnsi="Arial" w:cs="Arial"/>
          <w:sz w:val="24"/>
          <w:szCs w:val="24"/>
        </w:rPr>
      </w:pPr>
      <w:r w:rsidRPr="00042B09">
        <w:rPr>
          <w:rFonts w:ascii="Arial" w:hAnsi="Arial" w:cs="Arial"/>
          <w:sz w:val="24"/>
          <w:szCs w:val="24"/>
        </w:rPr>
        <w:t>Cuando las Juntas Departamentales, al sancionar definitivamente los Presupuestos o Modificaciones Presupuestales, acepten las observaciones formuladas por este Tribunal, deberán introducir efectivamente las correcciones establecidas, por lo que en esta oportunidad no se dio cumplimiento a lo dispuesto por los artículos 225 y 227 de la Constitución de la República, Ordenanza N° 71 y Resolución de este Tribunal de 01/07/98.</w:t>
      </w:r>
    </w:p>
    <w:p w:rsidR="00042B09" w:rsidRPr="00042B09" w:rsidRDefault="00042B09" w:rsidP="009E6FFB">
      <w:pPr>
        <w:widowControl w:val="0"/>
        <w:spacing w:line="360" w:lineRule="auto"/>
        <w:rPr>
          <w:rFonts w:ascii="Arial" w:hAnsi="Arial" w:cs="Arial"/>
          <w:sz w:val="24"/>
          <w:szCs w:val="24"/>
        </w:rPr>
      </w:pPr>
    </w:p>
    <w:p w:rsidR="00042B09" w:rsidRPr="00042B09" w:rsidRDefault="00042B09" w:rsidP="00C85437">
      <w:pPr>
        <w:pStyle w:val="Ttulo2"/>
        <w:spacing w:after="0"/>
        <w:jc w:val="both"/>
        <w:rPr>
          <w:rFonts w:cs="Arial"/>
          <w:szCs w:val="24"/>
        </w:rPr>
      </w:pPr>
      <w:bookmarkStart w:id="19" w:name="_Toc429986131"/>
      <w:r w:rsidRPr="00042B09">
        <w:rPr>
          <w:rFonts w:cs="Arial"/>
          <w:szCs w:val="24"/>
        </w:rPr>
        <w:t>3.2.5 Artículo 297 de la Constitución de la República</w:t>
      </w:r>
      <w:bookmarkEnd w:id="19"/>
    </w:p>
    <w:p w:rsidR="00042B09" w:rsidRPr="00042B09" w:rsidRDefault="00042B09" w:rsidP="00C85437">
      <w:pPr>
        <w:pStyle w:val="Textoindependiente"/>
        <w:spacing w:after="0" w:line="360" w:lineRule="auto"/>
        <w:rPr>
          <w:rFonts w:cs="Arial"/>
          <w:szCs w:val="24"/>
        </w:rPr>
      </w:pPr>
      <w:r w:rsidRPr="00042B09">
        <w:rPr>
          <w:rFonts w:cs="Arial"/>
          <w:szCs w:val="24"/>
        </w:rPr>
        <w:t>Durante el Ejercicio 2014 se cobró, por concepto de Contribución Inmobiliaria Rural, un mínimo de 1 UR, lo cual excede la potestad tributaria del Gobierno Departamental por cuanto el citado impuesto tiene origen legal de carácter nacional, siendo competencia del Gobierno Nacional su determinación, por lo que la Intendencia de Colonia incumplió lo establecido por el artículo 297 de la</w:t>
      </w:r>
      <w:r w:rsidR="00C85437">
        <w:rPr>
          <w:rFonts w:cs="Arial"/>
          <w:szCs w:val="24"/>
        </w:rPr>
        <w:t xml:space="preserve"> Constitución de la República.</w:t>
      </w:r>
    </w:p>
    <w:p w:rsidR="00042B09" w:rsidRPr="00042B09" w:rsidRDefault="00042B09" w:rsidP="009E6FFB">
      <w:pPr>
        <w:pStyle w:val="Ttulo2"/>
        <w:spacing w:after="0"/>
        <w:rPr>
          <w:rFonts w:cs="Arial"/>
          <w:bCs/>
          <w:iCs/>
          <w:szCs w:val="24"/>
        </w:rPr>
      </w:pPr>
      <w:bookmarkStart w:id="20" w:name="_Toc429986132"/>
      <w:r w:rsidRPr="00042B09">
        <w:rPr>
          <w:rFonts w:cs="Arial"/>
          <w:bCs/>
          <w:iCs/>
          <w:szCs w:val="24"/>
        </w:rPr>
        <w:t>3.2.6 Cheques diferidos y depósitos bancarios</w:t>
      </w:r>
      <w:bookmarkEnd w:id="20"/>
    </w:p>
    <w:p w:rsidR="00042B09" w:rsidRPr="00042B09" w:rsidRDefault="00042B09" w:rsidP="00C85437">
      <w:pPr>
        <w:spacing w:after="0" w:line="360" w:lineRule="auto"/>
        <w:jc w:val="both"/>
        <w:rPr>
          <w:rFonts w:ascii="Arial" w:hAnsi="Arial" w:cs="Arial"/>
          <w:sz w:val="24"/>
          <w:szCs w:val="24"/>
        </w:rPr>
      </w:pPr>
      <w:r w:rsidRPr="00042B09">
        <w:rPr>
          <w:rFonts w:ascii="Arial" w:hAnsi="Arial" w:cs="Arial"/>
          <w:sz w:val="24"/>
          <w:szCs w:val="24"/>
        </w:rPr>
        <w:t>El saldo de disponibilidades incluye cheques diferidos a cobrar no vencidos por un monto de $ 56.420. Estos cheques resultan de los arqueos realizados en la Tesorería de la Intendencia ($ 32.929) y en la O</w:t>
      </w:r>
      <w:r w:rsidR="00B8388C">
        <w:rPr>
          <w:rFonts w:ascii="Arial" w:hAnsi="Arial" w:cs="Arial"/>
          <w:sz w:val="24"/>
          <w:szCs w:val="24"/>
        </w:rPr>
        <w:t>ficina de Miguelete ($ 23.491).</w:t>
      </w:r>
    </w:p>
    <w:p w:rsidR="00042B09" w:rsidRPr="00042B09" w:rsidRDefault="00042B09" w:rsidP="00C85437">
      <w:pPr>
        <w:spacing w:after="0" w:line="360" w:lineRule="auto"/>
        <w:jc w:val="both"/>
        <w:rPr>
          <w:rFonts w:ascii="Arial" w:hAnsi="Arial" w:cs="Arial"/>
          <w:sz w:val="24"/>
          <w:szCs w:val="24"/>
        </w:rPr>
      </w:pPr>
      <w:r w:rsidRPr="00042B09">
        <w:rPr>
          <w:rFonts w:ascii="Arial" w:hAnsi="Arial" w:cs="Arial"/>
          <w:sz w:val="24"/>
          <w:szCs w:val="24"/>
        </w:rPr>
        <w:t>El Artículo 12 del TOCAF establece que “se computarán como recursos del ejercicio, los efectivamente depositados en cuentas del Tesoro Nacional o ingresados en los organismos u oficinas”, por lo que no corresponde incluir los cheques diferidos a cobrar no vencidos en el saldo de disponibilidades.</w:t>
      </w:r>
    </w:p>
    <w:p w:rsidR="00042B09" w:rsidRPr="00042B09" w:rsidRDefault="00042B09" w:rsidP="009E6FFB">
      <w:pPr>
        <w:pStyle w:val="Ttulo2"/>
        <w:spacing w:after="0"/>
        <w:rPr>
          <w:rFonts w:cs="Arial"/>
          <w:szCs w:val="24"/>
        </w:rPr>
      </w:pPr>
      <w:bookmarkStart w:id="21" w:name="_Toc429986133"/>
      <w:r w:rsidRPr="00042B09">
        <w:rPr>
          <w:rFonts w:cs="Arial"/>
          <w:szCs w:val="24"/>
        </w:rPr>
        <w:t xml:space="preserve">3.2.7 </w:t>
      </w:r>
      <w:bookmarkEnd w:id="21"/>
      <w:r w:rsidRPr="00042B09">
        <w:rPr>
          <w:rFonts w:cs="Arial"/>
          <w:szCs w:val="24"/>
        </w:rPr>
        <w:t>Artículo 14 del TOCAF</w:t>
      </w:r>
    </w:p>
    <w:p w:rsidR="00042B09" w:rsidRPr="00042B09" w:rsidRDefault="00042B09" w:rsidP="00626F93">
      <w:pPr>
        <w:tabs>
          <w:tab w:val="left" w:pos="540"/>
        </w:tabs>
        <w:spacing w:after="0" w:line="360" w:lineRule="auto"/>
        <w:jc w:val="both"/>
        <w:rPr>
          <w:rFonts w:ascii="Arial" w:hAnsi="Arial" w:cs="Arial"/>
          <w:sz w:val="24"/>
          <w:szCs w:val="24"/>
        </w:rPr>
      </w:pPr>
      <w:r w:rsidRPr="00042B09">
        <w:rPr>
          <w:rFonts w:ascii="Arial" w:hAnsi="Arial" w:cs="Arial"/>
          <w:sz w:val="24"/>
          <w:szCs w:val="24"/>
        </w:rPr>
        <w:t xml:space="preserve">Se comprobaron gastos de compensación por insalubre, incentivos, feriados y partidas de locomoción, no autorizados por ordenador designado. Asimismo, en casos de compras directas, éstas tampoco son autorizadas por </w:t>
      </w:r>
      <w:r w:rsidR="00C85437">
        <w:rPr>
          <w:rFonts w:ascii="Arial" w:hAnsi="Arial" w:cs="Arial"/>
          <w:sz w:val="24"/>
          <w:szCs w:val="24"/>
        </w:rPr>
        <w:t>ordenador de gasto competente.</w:t>
      </w:r>
    </w:p>
    <w:p w:rsidR="00042B09" w:rsidRPr="00042B09" w:rsidRDefault="00042B09" w:rsidP="009E6FFB">
      <w:pPr>
        <w:pStyle w:val="Ttulo2"/>
        <w:spacing w:after="0"/>
        <w:rPr>
          <w:rFonts w:cs="Arial"/>
          <w:bCs/>
          <w:iCs/>
          <w:szCs w:val="24"/>
        </w:rPr>
      </w:pPr>
      <w:bookmarkStart w:id="22" w:name="_Toc429986134"/>
      <w:r w:rsidRPr="00042B09">
        <w:rPr>
          <w:rFonts w:cs="Arial"/>
          <w:bCs/>
          <w:iCs/>
          <w:szCs w:val="24"/>
        </w:rPr>
        <w:t xml:space="preserve">3.2.8 </w:t>
      </w:r>
      <w:r w:rsidRPr="00042B09">
        <w:rPr>
          <w:rFonts w:cs="Arial"/>
          <w:szCs w:val="24"/>
        </w:rPr>
        <w:t>Artículo 21 del TOCAF</w:t>
      </w:r>
      <w:bookmarkEnd w:id="22"/>
    </w:p>
    <w:p w:rsidR="00042B09" w:rsidRPr="00042B09" w:rsidRDefault="00042B09" w:rsidP="00C85437">
      <w:pPr>
        <w:spacing w:line="360" w:lineRule="auto"/>
        <w:jc w:val="both"/>
        <w:rPr>
          <w:rFonts w:ascii="Arial" w:hAnsi="Arial" w:cs="Arial"/>
          <w:sz w:val="24"/>
          <w:szCs w:val="24"/>
        </w:rPr>
      </w:pPr>
      <w:r w:rsidRPr="00042B09">
        <w:rPr>
          <w:rFonts w:ascii="Arial" w:hAnsi="Arial" w:cs="Arial"/>
          <w:sz w:val="24"/>
          <w:szCs w:val="24"/>
        </w:rPr>
        <w:t>Durante el año 2014 se realizaron pagos a proveedores de servicios profesionales, los cuales no habían renovado previamente sus respectivos contratos de arrendamiento de servicio, incumpliendo la citada norma.</w:t>
      </w:r>
    </w:p>
    <w:p w:rsidR="00042B09" w:rsidRPr="00042B09" w:rsidRDefault="00042B09" w:rsidP="009E6FFB">
      <w:pPr>
        <w:pStyle w:val="Ttulo2"/>
        <w:spacing w:after="0"/>
        <w:rPr>
          <w:rFonts w:cs="Arial"/>
          <w:bCs/>
          <w:iCs/>
          <w:szCs w:val="24"/>
        </w:rPr>
      </w:pPr>
      <w:bookmarkStart w:id="23" w:name="_Toc429986135"/>
      <w:r w:rsidRPr="00042B09">
        <w:rPr>
          <w:rFonts w:cs="Arial"/>
          <w:bCs/>
          <w:iCs/>
          <w:szCs w:val="24"/>
        </w:rPr>
        <w:t xml:space="preserve">3.2.9 </w:t>
      </w:r>
      <w:r w:rsidRPr="00042B09">
        <w:rPr>
          <w:rFonts w:cs="Arial"/>
          <w:szCs w:val="24"/>
        </w:rPr>
        <w:t>Artículos 33 y 43 del TOCAF</w:t>
      </w:r>
      <w:bookmarkEnd w:id="23"/>
    </w:p>
    <w:p w:rsidR="00042B09" w:rsidRPr="00042B09" w:rsidRDefault="00042B09" w:rsidP="00B8388C">
      <w:pPr>
        <w:spacing w:line="360" w:lineRule="auto"/>
        <w:jc w:val="both"/>
        <w:rPr>
          <w:rFonts w:ascii="Arial" w:hAnsi="Arial" w:cs="Arial"/>
          <w:sz w:val="24"/>
          <w:szCs w:val="24"/>
        </w:rPr>
      </w:pPr>
      <w:r w:rsidRPr="00042B09">
        <w:rPr>
          <w:rFonts w:ascii="Arial" w:hAnsi="Arial" w:cs="Arial"/>
          <w:sz w:val="24"/>
          <w:szCs w:val="24"/>
        </w:rPr>
        <w:t>La Intendencia no cuenta con una política de compras que le permita realizar adquisiciones de artículos de un mismo ramo, evitando efect</w:t>
      </w:r>
      <w:r w:rsidR="00B8388C">
        <w:rPr>
          <w:rFonts w:ascii="Arial" w:hAnsi="Arial" w:cs="Arial"/>
          <w:sz w:val="24"/>
          <w:szCs w:val="24"/>
        </w:rPr>
        <w:t>uar fraccionamientos de gastos.</w:t>
      </w:r>
    </w:p>
    <w:p w:rsidR="00042B09" w:rsidRPr="00042B09" w:rsidRDefault="00042B09" w:rsidP="009E6FFB">
      <w:pPr>
        <w:spacing w:after="0" w:line="360" w:lineRule="auto"/>
        <w:rPr>
          <w:rFonts w:ascii="Arial" w:hAnsi="Arial" w:cs="Arial"/>
          <w:color w:val="000000"/>
          <w:sz w:val="24"/>
          <w:szCs w:val="24"/>
        </w:rPr>
      </w:pPr>
      <w:r w:rsidRPr="00042B09">
        <w:rPr>
          <w:rFonts w:ascii="Arial" w:hAnsi="Arial" w:cs="Arial"/>
          <w:color w:val="000000"/>
          <w:sz w:val="24"/>
          <w:szCs w:val="24"/>
        </w:rPr>
        <w:t>En los casos de contratos de arrendamiento de servicios no se toma en cuenta el monto total de la contratación (contrato original y prórrogas) a los efectos de determinar qué procedimiento utilizar de acuerdo a lo que establece el Artículo 33 del TOCAF.</w:t>
      </w:r>
    </w:p>
    <w:p w:rsidR="00042B09" w:rsidRPr="00042B09" w:rsidRDefault="00042B09" w:rsidP="009E6FFB">
      <w:pPr>
        <w:pStyle w:val="Ttulo2"/>
        <w:spacing w:after="0"/>
        <w:rPr>
          <w:rFonts w:cs="Arial"/>
          <w:szCs w:val="24"/>
        </w:rPr>
      </w:pPr>
      <w:bookmarkStart w:id="24" w:name="_Toc429986129"/>
      <w:r w:rsidRPr="00042B09">
        <w:rPr>
          <w:rFonts w:cs="Arial"/>
          <w:szCs w:val="24"/>
        </w:rPr>
        <w:t xml:space="preserve">3.2.10 </w:t>
      </w:r>
      <w:bookmarkEnd w:id="24"/>
      <w:r w:rsidRPr="00042B09">
        <w:rPr>
          <w:rFonts w:cs="Arial"/>
          <w:szCs w:val="24"/>
        </w:rPr>
        <w:t>Presupuesto quinquenal 2006-2010</w:t>
      </w:r>
    </w:p>
    <w:p w:rsidR="00042B09" w:rsidRPr="00042B09" w:rsidRDefault="00042B09" w:rsidP="009E6FFB">
      <w:pPr>
        <w:pStyle w:val="Textoindependiente"/>
        <w:spacing w:after="0" w:line="360" w:lineRule="auto"/>
        <w:rPr>
          <w:rFonts w:cs="Arial"/>
          <w:color w:val="000000"/>
          <w:szCs w:val="24"/>
        </w:rPr>
      </w:pPr>
      <w:r w:rsidRPr="00042B09">
        <w:rPr>
          <w:rFonts w:cs="Arial"/>
          <w:bCs/>
          <w:iCs/>
          <w:kern w:val="0"/>
          <w:szCs w:val="24"/>
        </w:rPr>
        <w:t>Para el cálculo de la prima por retiro se consideran las horas extras trabajadas en el último mes. En el Artículo 182 del presupuesto quinquenal 2006-2010: se establece que la misma será equivalente a tres salarios vigentes al momento del cese de actividad, s</w:t>
      </w:r>
      <w:r w:rsidR="0017073F">
        <w:rPr>
          <w:rFonts w:cs="Arial"/>
          <w:bCs/>
          <w:iCs/>
          <w:kern w:val="0"/>
          <w:szCs w:val="24"/>
        </w:rPr>
        <w:t>in considerar otros conceptos.</w:t>
      </w:r>
    </w:p>
    <w:p w:rsidR="00042B09" w:rsidRPr="00042B09" w:rsidRDefault="00042B09" w:rsidP="009E6FFB">
      <w:pPr>
        <w:pStyle w:val="Ttulo2"/>
        <w:spacing w:after="0"/>
        <w:jc w:val="both"/>
        <w:rPr>
          <w:rFonts w:cs="Arial"/>
          <w:bCs/>
          <w:iCs/>
          <w:szCs w:val="24"/>
        </w:rPr>
      </w:pPr>
      <w:bookmarkStart w:id="25" w:name="_Toc429986136"/>
      <w:r w:rsidRPr="00042B09">
        <w:rPr>
          <w:rFonts w:cs="Arial"/>
          <w:bCs/>
          <w:iCs/>
          <w:szCs w:val="24"/>
        </w:rPr>
        <w:t xml:space="preserve">3.2.11 </w:t>
      </w:r>
      <w:r w:rsidRPr="00042B09">
        <w:rPr>
          <w:rFonts w:cs="Arial"/>
          <w:szCs w:val="24"/>
        </w:rPr>
        <w:t>Artículo 128 del Presupuesto Quinquenal 2011-2015</w:t>
      </w:r>
      <w:bookmarkEnd w:id="25"/>
    </w:p>
    <w:p w:rsidR="00042B09" w:rsidRPr="00042B09" w:rsidRDefault="00042B09" w:rsidP="009E6FFB">
      <w:pPr>
        <w:pStyle w:val="Textoindependiente"/>
        <w:widowControl w:val="0"/>
        <w:spacing w:after="0" w:line="360" w:lineRule="auto"/>
        <w:rPr>
          <w:rFonts w:cs="Arial"/>
          <w:bCs/>
          <w:iCs/>
          <w:szCs w:val="24"/>
        </w:rPr>
      </w:pPr>
      <w:r w:rsidRPr="00042B09">
        <w:rPr>
          <w:rFonts w:cs="Arial"/>
          <w:szCs w:val="24"/>
        </w:rPr>
        <w:t>El porcentaje de multa por mora aplicado sobre la contribución urbana y suburbana y sus sobretasas adicionales, no se ajusta a lo señalado en la citada norma, donde se establece la aplicación del Código Tributario en todo en cuanto no se oponga a las disposiciones del Presupuesto (Artí</w:t>
      </w:r>
      <w:r w:rsidR="0017073F">
        <w:rPr>
          <w:rFonts w:cs="Arial"/>
          <w:szCs w:val="24"/>
        </w:rPr>
        <w:t>culo 94 del Código Tributario).</w:t>
      </w:r>
    </w:p>
    <w:p w:rsidR="00042B09" w:rsidRPr="00042B09" w:rsidRDefault="00042B09" w:rsidP="009E6FFB">
      <w:pPr>
        <w:pStyle w:val="Ttulo2"/>
        <w:spacing w:after="0"/>
        <w:jc w:val="both"/>
        <w:rPr>
          <w:rFonts w:cs="Arial"/>
          <w:bCs/>
          <w:iCs/>
          <w:szCs w:val="24"/>
        </w:rPr>
      </w:pPr>
      <w:bookmarkStart w:id="26" w:name="_Toc429986140"/>
      <w:r w:rsidRPr="00042B09">
        <w:rPr>
          <w:rFonts w:cs="Arial"/>
          <w:bCs/>
          <w:iCs/>
          <w:szCs w:val="24"/>
        </w:rPr>
        <w:t>3.2.12 Resolución del Tribunal de Cuentas de fecha 11/05/05</w:t>
      </w:r>
      <w:bookmarkEnd w:id="26"/>
    </w:p>
    <w:p w:rsidR="00042B09" w:rsidRDefault="00042B09" w:rsidP="0017073F">
      <w:pPr>
        <w:spacing w:after="0" w:line="360" w:lineRule="auto"/>
        <w:jc w:val="both"/>
        <w:rPr>
          <w:rFonts w:ascii="Arial" w:hAnsi="Arial" w:cs="Arial"/>
          <w:sz w:val="24"/>
          <w:szCs w:val="24"/>
        </w:rPr>
      </w:pPr>
      <w:r w:rsidRPr="00042B09">
        <w:rPr>
          <w:rFonts w:ascii="Arial" w:hAnsi="Arial" w:cs="Arial"/>
          <w:sz w:val="24"/>
          <w:szCs w:val="24"/>
        </w:rPr>
        <w:t>La Intendencia no cumplió con el artículo 3º de esta resolución que prevé que se deben comunicar a este Cuerpo, antes del 31 de enero y del 31 de julio de cada año, los informes correspondientes al semestre anterior producidos por las Comisiones de Control u Oficinas que tengan a su cargo la verificación del cumplimiento de los contratos de concesión correspondientes.</w:t>
      </w:r>
    </w:p>
    <w:p w:rsidR="0017073F" w:rsidRPr="00042B09" w:rsidRDefault="0017073F" w:rsidP="0017073F">
      <w:pPr>
        <w:spacing w:after="0" w:line="360" w:lineRule="auto"/>
        <w:jc w:val="both"/>
        <w:rPr>
          <w:rFonts w:ascii="Arial" w:hAnsi="Arial" w:cs="Arial"/>
          <w:sz w:val="24"/>
          <w:szCs w:val="24"/>
        </w:rPr>
      </w:pPr>
    </w:p>
    <w:p w:rsidR="00042B09" w:rsidRPr="00042B09" w:rsidRDefault="00042B09" w:rsidP="009E6FFB">
      <w:pPr>
        <w:pStyle w:val="Ttulo2"/>
        <w:spacing w:after="0"/>
        <w:jc w:val="both"/>
        <w:rPr>
          <w:rFonts w:cs="Arial"/>
          <w:bCs/>
          <w:iCs/>
          <w:szCs w:val="24"/>
        </w:rPr>
      </w:pPr>
      <w:bookmarkStart w:id="27" w:name="_Toc429986141"/>
      <w:r w:rsidRPr="00042B09">
        <w:rPr>
          <w:rFonts w:cs="Arial"/>
          <w:bCs/>
          <w:iCs/>
          <w:szCs w:val="24"/>
        </w:rPr>
        <w:t>3.3 Debilidades de control interno</w:t>
      </w:r>
      <w:bookmarkEnd w:id="27"/>
    </w:p>
    <w:p w:rsidR="00042B09" w:rsidRPr="00042B09" w:rsidRDefault="00042B09" w:rsidP="009E6FFB">
      <w:pPr>
        <w:pStyle w:val="Ttulo2"/>
        <w:spacing w:after="0"/>
        <w:jc w:val="both"/>
        <w:rPr>
          <w:rFonts w:cs="Arial"/>
          <w:bCs/>
          <w:iCs/>
          <w:szCs w:val="24"/>
        </w:rPr>
      </w:pPr>
      <w:bookmarkStart w:id="28" w:name="_Toc429986142"/>
      <w:r w:rsidRPr="00042B09">
        <w:rPr>
          <w:rFonts w:cs="Arial"/>
          <w:bCs/>
          <w:iCs/>
          <w:szCs w:val="24"/>
        </w:rPr>
        <w:t>3.3.1 Respecto a recursos y manejo de fondos</w:t>
      </w:r>
      <w:bookmarkEnd w:id="28"/>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En casos de motos, remolques y casas rodantes sin propulsión se ingresa manualmente el importe de la patente. No existen controles posteriores sobre la exactitud de los importes de patente u aforos ingresados al sistema de recaudación.</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 una base de datos por Contribuyente sino por padrón.</w:t>
      </w:r>
    </w:p>
    <w:p w:rsidR="00042B09" w:rsidRPr="00042B09" w:rsidRDefault="00042B09" w:rsidP="0017073F">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están establecidas las responsabilidades ni los procedimientos para controlar la antigüedad de las deudas de contribuyentes atrasados.</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Se encontraron recibos anulados donde no se especifica motivo de anulación.</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Existen diferencias entre lo recaudado y lo contabilizado en el año 2014 por Contribución Inmobiliaria Urbana y Suburbana, tasas y sobretasas adicionales y por  C</w:t>
      </w:r>
      <w:r w:rsidR="0017073F">
        <w:rPr>
          <w:rFonts w:ascii="Arial" w:hAnsi="Arial" w:cs="Arial"/>
          <w:sz w:val="24"/>
          <w:szCs w:val="24"/>
        </w:rPr>
        <w:t>ontribución Inmobiliaria Rural.</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existen manuales de procedimiento debidamente aprobados respecto al manejo de efectivo.</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 xml:space="preserve">En localidades con Alcaldías, funcionan concomitantemente Municipio y Oficina descentralizada de la Intendencia (Ex Junta Local). Asimismo, existe una única cuenta para efectuar pagos que está a nombre de la Oficina de la Intendencia. El secretario de la Oficina es quien </w:t>
      </w:r>
      <w:r w:rsidR="0017073F">
        <w:rPr>
          <w:rFonts w:ascii="Arial" w:hAnsi="Arial" w:cs="Arial"/>
          <w:sz w:val="24"/>
          <w:szCs w:val="24"/>
        </w:rPr>
        <w:t>firma cheques de ambos órganos.</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Los contribuyentes pueden abonar los tributos mediante depósito bancario. El BROU no envía estado bancario detallado por lo que los contribuyentes deben enviar vía fax el depósito respectivo a efectos de que se identifique su pago. Hasta que no envían su comprobante, dichas partidas forman parte de los depósitos bancarios no contabilizados (Traspasos) en la conciliación bancaria. Se verifica que, en ciertos casos, el contribuyente nunca envía el fax y las partidas se registran como “producidos varios” o “ingresos sin determinar”, sin ser asignadas a  t</w:t>
      </w:r>
      <w:r w:rsidR="0017073F">
        <w:rPr>
          <w:rFonts w:ascii="Arial" w:hAnsi="Arial" w:cs="Arial"/>
          <w:sz w:val="24"/>
          <w:szCs w:val="24"/>
        </w:rPr>
        <w:t>ributo y contribuyente alguno.</w:t>
      </w:r>
    </w:p>
    <w:p w:rsidR="00042B09" w:rsidRPr="00042B09" w:rsidRDefault="00042B09" w:rsidP="00042B09">
      <w:pPr>
        <w:widowControl w:val="0"/>
        <w:numPr>
          <w:ilvl w:val="0"/>
          <w:numId w:val="3"/>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En los arqueos, el control de los fondos arqueados se realiza con los saldos de caja y bancos que surgen de los partes diarios, al no disponerse de los saldos contables en  tiempo real.</w:t>
      </w:r>
    </w:p>
    <w:p w:rsidR="00042B09" w:rsidRDefault="00042B09" w:rsidP="00042B09">
      <w:pPr>
        <w:widowControl w:val="0"/>
        <w:numPr>
          <w:ilvl w:val="0"/>
          <w:numId w:val="3"/>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En los recibos cobrados con cheques diferidos no se deja constancia que la cancelación está sujeta al cobro del cheque.</w:t>
      </w:r>
    </w:p>
    <w:p w:rsidR="0017073F" w:rsidRDefault="0017073F" w:rsidP="0017073F">
      <w:pPr>
        <w:widowControl w:val="0"/>
        <w:suppressAutoHyphens/>
        <w:spacing w:after="0" w:line="360" w:lineRule="auto"/>
        <w:jc w:val="both"/>
        <w:rPr>
          <w:rFonts w:ascii="Arial" w:hAnsi="Arial" w:cs="Arial"/>
          <w:sz w:val="24"/>
          <w:szCs w:val="24"/>
        </w:rPr>
      </w:pPr>
    </w:p>
    <w:p w:rsidR="0017073F" w:rsidRPr="00042B09" w:rsidRDefault="0017073F" w:rsidP="0017073F">
      <w:pPr>
        <w:widowControl w:val="0"/>
        <w:suppressAutoHyphens/>
        <w:spacing w:after="0" w:line="360" w:lineRule="auto"/>
        <w:jc w:val="both"/>
        <w:rPr>
          <w:rFonts w:ascii="Arial" w:hAnsi="Arial" w:cs="Arial"/>
          <w:sz w:val="24"/>
          <w:szCs w:val="24"/>
        </w:rPr>
      </w:pPr>
    </w:p>
    <w:p w:rsidR="00042B09" w:rsidRDefault="00042B09" w:rsidP="00042B09">
      <w:pPr>
        <w:widowControl w:val="0"/>
        <w:numPr>
          <w:ilvl w:val="0"/>
          <w:numId w:val="3"/>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En caso de licencia, la Tesorera de la Intendencia, es suplantada por una                                                                                                         funcionaria de la Oficina de Contabilidad y Presupuesto, no existiendo, en esos casos, la op</w:t>
      </w:r>
      <w:r w:rsidR="0017073F">
        <w:rPr>
          <w:rFonts w:ascii="Arial" w:hAnsi="Arial" w:cs="Arial"/>
          <w:sz w:val="24"/>
          <w:szCs w:val="24"/>
        </w:rPr>
        <w:t>osición de intereses necesaria.</w:t>
      </w:r>
    </w:p>
    <w:p w:rsidR="0017073F" w:rsidRPr="00042B09" w:rsidRDefault="0017073F" w:rsidP="0017073F">
      <w:pPr>
        <w:widowControl w:val="0"/>
        <w:suppressAutoHyphens/>
        <w:spacing w:after="0" w:line="360" w:lineRule="auto"/>
        <w:ind w:left="284"/>
        <w:jc w:val="both"/>
        <w:rPr>
          <w:rFonts w:ascii="Arial" w:hAnsi="Arial" w:cs="Arial"/>
          <w:sz w:val="24"/>
          <w:szCs w:val="24"/>
        </w:rPr>
      </w:pPr>
    </w:p>
    <w:p w:rsidR="00042B09" w:rsidRPr="00042B09" w:rsidRDefault="00042B09" w:rsidP="009E6FFB">
      <w:pPr>
        <w:pStyle w:val="Ttulo2"/>
        <w:rPr>
          <w:rFonts w:cs="Arial"/>
          <w:szCs w:val="24"/>
        </w:rPr>
      </w:pPr>
      <w:bookmarkStart w:id="29" w:name="_Toc429986143"/>
      <w:r w:rsidRPr="00042B09">
        <w:rPr>
          <w:rFonts w:cs="Arial"/>
          <w:szCs w:val="24"/>
        </w:rPr>
        <w:t>3.3.2 Respecto a retribuciones personales:</w:t>
      </w:r>
      <w:bookmarkEnd w:id="29"/>
    </w:p>
    <w:p w:rsidR="00042B09" w:rsidRP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 control externo a la sección sueldos respecto a las liq</w:t>
      </w:r>
      <w:r w:rsidR="00626F93">
        <w:rPr>
          <w:rFonts w:ascii="Arial" w:hAnsi="Arial" w:cs="Arial"/>
          <w:sz w:val="24"/>
          <w:szCs w:val="24"/>
        </w:rPr>
        <w:t>uidaciones.</w:t>
      </w:r>
    </w:p>
    <w:p w:rsidR="00042B09" w:rsidRP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 un control rutinario de que lo liquidado coincida con lo contabilizado.</w:t>
      </w:r>
    </w:p>
    <w:p w:rsidR="00042B09" w:rsidRP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hay manuales de procedimientos.</w:t>
      </w:r>
    </w:p>
    <w:p w:rsidR="00042B09" w:rsidRP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Los funcionarios de la Sección Sueldos, tienen asociados perfiles de usuarios que les permiten, además de la liquidación de haberes,  realizar altas, bajas, cambios de categoría de dependientes, creación de cargos y fijación de aumentos salariales. Ésta amplitud de permisos, no garantiza la debida oposición de intereses.</w:t>
      </w:r>
    </w:p>
    <w:p w:rsidR="00042B09" w:rsidRP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El registro de asistencia en las Juntas Locales y Municipios es manual (cuaderno). En el caso de la intendencia, los profesionales, asesores y otros cargos de confianza tampoco marcan asistencia. Asimismo, no se realizan controles por parte de Recursos Humanos para estos casos.</w:t>
      </w:r>
    </w:p>
    <w:p w:rsidR="00042B09" w:rsidRDefault="00042B09" w:rsidP="00042B09">
      <w:pPr>
        <w:widowControl w:val="0"/>
        <w:numPr>
          <w:ilvl w:val="0"/>
          <w:numId w:val="4"/>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En algunos casos, el alta de funcionarios al sistema de BPS se efectúa hasta con una demora de más de un mes desde que el trabajador comienza a desempeñar tareas. Esta situación genera que con habitualidad la Intendencia sea gravada con multas por el BPS.</w:t>
      </w:r>
    </w:p>
    <w:p w:rsidR="00042B09" w:rsidRPr="00042B09" w:rsidRDefault="00042B09" w:rsidP="009E6FFB">
      <w:pPr>
        <w:pStyle w:val="Ttulo2"/>
        <w:spacing w:after="0"/>
        <w:jc w:val="both"/>
        <w:rPr>
          <w:rFonts w:cs="Arial"/>
          <w:bCs/>
          <w:iCs/>
          <w:szCs w:val="24"/>
        </w:rPr>
      </w:pPr>
      <w:bookmarkStart w:id="30" w:name="_Toc429986144"/>
      <w:r w:rsidRPr="00042B09">
        <w:rPr>
          <w:rFonts w:cs="Arial"/>
          <w:bCs/>
          <w:iCs/>
          <w:szCs w:val="24"/>
        </w:rPr>
        <w:t>3.3.3 Respecto al sistema de compras:</w:t>
      </w:r>
      <w:bookmarkEnd w:id="30"/>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existen manuales de procedimiento de compras debidamente aprobados</w:t>
      </w:r>
      <w:r w:rsidR="003828F2">
        <w:rPr>
          <w:rFonts w:ascii="Arial" w:hAnsi="Arial" w:cs="Arial"/>
          <w:sz w:val="24"/>
          <w:szCs w:val="24"/>
        </w:rPr>
        <w:t>.</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está centralizado el trámite de compra. Las Direcciones de la Intendencia, Oficinas de Localidades y Municipios, al comprar directamente lo hacen sin solicitud de suministro ni pedidos de precios, lo cual no cumple con los prin</w:t>
      </w:r>
      <w:r w:rsidR="003828F2">
        <w:rPr>
          <w:rFonts w:ascii="Arial" w:hAnsi="Arial" w:cs="Arial"/>
          <w:sz w:val="24"/>
          <w:szCs w:val="24"/>
        </w:rPr>
        <w:t>cipios de buena administración.</w:t>
      </w:r>
    </w:p>
    <w:p w:rsidR="009A451E"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9A451E">
        <w:rPr>
          <w:rFonts w:ascii="Arial" w:hAnsi="Arial" w:cs="Arial"/>
          <w:sz w:val="24"/>
          <w:szCs w:val="24"/>
        </w:rPr>
        <w:t>No se solicitan certificados DGI y BPS cuando se compra directamente</w:t>
      </w:r>
      <w:r w:rsidR="009A451E">
        <w:rPr>
          <w:rFonts w:ascii="Arial" w:hAnsi="Arial" w:cs="Arial"/>
          <w:sz w:val="24"/>
          <w:szCs w:val="24"/>
        </w:rPr>
        <w:t>.</w:t>
      </w:r>
    </w:p>
    <w:p w:rsidR="00042B09" w:rsidRPr="009A451E"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9A451E">
        <w:rPr>
          <w:rFonts w:ascii="Arial" w:hAnsi="Arial" w:cs="Arial"/>
          <w:sz w:val="24"/>
          <w:szCs w:val="24"/>
        </w:rPr>
        <w:t>No se realizan conciliaciones y/o circularizaciones respecto de los saldos incluidos como obligaciones presupuestales impagas.</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En el caso de Oficinas Descentralizadas de la Intendencia en Localidades y en los Municipios, las órdenes de pago se emiten posteriormente al pago.</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En Oficinas Descentralizadas, las personas responsables de los valores son las que llevan registro de los mismos.</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 xml:space="preserve">No hay Resolución que reglamente el monto y el uso de anticipos a </w:t>
      </w:r>
      <w:r w:rsidR="00AC5D17">
        <w:rPr>
          <w:rFonts w:ascii="Arial" w:hAnsi="Arial" w:cs="Arial"/>
          <w:sz w:val="24"/>
          <w:szCs w:val="24"/>
        </w:rPr>
        <w:t>rendir y rendiciones de gastos.</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existen registros contables de los stocks de mercaderías a efectos de comparar con los recuentos físicos</w:t>
      </w:r>
      <w:r w:rsidR="00AC5D17">
        <w:rPr>
          <w:rFonts w:ascii="Arial" w:hAnsi="Arial" w:cs="Arial"/>
          <w:sz w:val="24"/>
          <w:szCs w:val="24"/>
        </w:rPr>
        <w:t>.</w:t>
      </w:r>
    </w:p>
    <w:p w:rsidR="00042B09" w:rsidRPr="00042B09" w:rsidRDefault="00042B09" w:rsidP="00042B09">
      <w:pPr>
        <w:widowControl w:val="0"/>
        <w:numPr>
          <w:ilvl w:val="0"/>
          <w:numId w:val="5"/>
        </w:numPr>
        <w:suppressAutoHyphens/>
        <w:spacing w:after="0" w:line="360" w:lineRule="auto"/>
        <w:ind w:left="284" w:hanging="284"/>
        <w:jc w:val="both"/>
        <w:rPr>
          <w:rFonts w:ascii="Arial" w:hAnsi="Arial" w:cs="Arial"/>
          <w:sz w:val="24"/>
          <w:szCs w:val="24"/>
        </w:rPr>
      </w:pPr>
      <w:r w:rsidRPr="00042B09">
        <w:rPr>
          <w:rFonts w:ascii="Arial" w:hAnsi="Arial" w:cs="Arial"/>
          <w:sz w:val="24"/>
          <w:szCs w:val="24"/>
        </w:rPr>
        <w:t>No se realizan recuentos físicos por personal externo a las Oficinas y Direcciones que manejan suministros.</w:t>
      </w:r>
    </w:p>
    <w:p w:rsidR="00042B09" w:rsidRPr="00042B09" w:rsidRDefault="00042B09" w:rsidP="00042B09">
      <w:pPr>
        <w:widowControl w:val="0"/>
        <w:numPr>
          <w:ilvl w:val="0"/>
          <w:numId w:val="5"/>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En contratos de arrendamiento de obra no se firma declaración jurada de no ser funcionario público a efectos de verificar el cumplimiento del artículo 38 del TOCAF.</w:t>
      </w:r>
    </w:p>
    <w:p w:rsidR="00042B09" w:rsidRPr="00042B09" w:rsidRDefault="00042B09" w:rsidP="00042B09">
      <w:pPr>
        <w:widowControl w:val="0"/>
        <w:numPr>
          <w:ilvl w:val="0"/>
          <w:numId w:val="5"/>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En contratos de arrendamiento de servicio no se firma declaración jurada donde se establezca que no se ocupa a la vez dos empleos públicos rentados ni se percibe más de una remuneración con cargo a fondos públicos (Ley Nº 11.923 artículo 32 y ley Nº 12.079 ar</w:t>
      </w:r>
      <w:r w:rsidR="00AC5D17">
        <w:rPr>
          <w:rFonts w:ascii="Arial" w:hAnsi="Arial" w:cs="Arial"/>
          <w:sz w:val="24"/>
          <w:szCs w:val="24"/>
        </w:rPr>
        <w:t>tículos 12 y 55).</w:t>
      </w:r>
    </w:p>
    <w:p w:rsidR="00042B09" w:rsidRPr="00042B09" w:rsidRDefault="00042B09" w:rsidP="00042B09">
      <w:pPr>
        <w:widowControl w:val="0"/>
        <w:numPr>
          <w:ilvl w:val="0"/>
          <w:numId w:val="5"/>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En casos de contratos de arrendamiento de obra y contratos de arrendamiento de servicio en el marco de convenios internacionales, no se hace firmar declaración jurada a efectos de verificar el cumplimiento del artículo 10 de la  Ley Nº 18.834.</w:t>
      </w:r>
    </w:p>
    <w:p w:rsidR="00042B09" w:rsidRPr="00042B09" w:rsidRDefault="00042B09" w:rsidP="00042B09">
      <w:pPr>
        <w:widowControl w:val="0"/>
        <w:numPr>
          <w:ilvl w:val="0"/>
          <w:numId w:val="5"/>
        </w:numPr>
        <w:suppressAutoHyphens/>
        <w:spacing w:after="0" w:line="360" w:lineRule="auto"/>
        <w:ind w:left="284" w:hanging="426"/>
        <w:jc w:val="both"/>
        <w:rPr>
          <w:rFonts w:ascii="Arial" w:hAnsi="Arial" w:cs="Arial"/>
          <w:sz w:val="24"/>
          <w:szCs w:val="24"/>
        </w:rPr>
      </w:pPr>
      <w:r w:rsidRPr="00042B09">
        <w:rPr>
          <w:rFonts w:ascii="Arial" w:hAnsi="Arial" w:cs="Arial"/>
          <w:sz w:val="24"/>
          <w:szCs w:val="24"/>
        </w:rPr>
        <w:t>Los Informes de recepción no están prenumerados o numerados. Por ende, no se realizan controles de correlatividad numérica.</w:t>
      </w:r>
    </w:p>
    <w:p w:rsidR="00042B09" w:rsidRPr="00042B09" w:rsidRDefault="00042B09" w:rsidP="009E6FFB">
      <w:pPr>
        <w:pStyle w:val="Ttulo2"/>
        <w:spacing w:after="0"/>
        <w:jc w:val="both"/>
        <w:rPr>
          <w:rFonts w:cs="Arial"/>
          <w:bCs/>
          <w:iCs/>
          <w:szCs w:val="24"/>
        </w:rPr>
      </w:pPr>
      <w:bookmarkStart w:id="31" w:name="_Toc429986145"/>
    </w:p>
    <w:p w:rsidR="00042B09" w:rsidRPr="00042B09" w:rsidRDefault="00042B09" w:rsidP="009E6FFB">
      <w:pPr>
        <w:pStyle w:val="Ttulo2"/>
        <w:spacing w:after="0"/>
        <w:jc w:val="both"/>
        <w:rPr>
          <w:rFonts w:cs="Arial"/>
          <w:bCs/>
          <w:iCs/>
          <w:szCs w:val="24"/>
        </w:rPr>
      </w:pPr>
    </w:p>
    <w:p w:rsidR="00042B09" w:rsidRPr="00042B09" w:rsidRDefault="00042B09" w:rsidP="009E6FFB">
      <w:pPr>
        <w:pStyle w:val="Ttulo2"/>
        <w:spacing w:after="0"/>
        <w:jc w:val="both"/>
        <w:rPr>
          <w:rFonts w:cs="Arial"/>
          <w:bCs/>
          <w:iCs/>
          <w:szCs w:val="24"/>
        </w:rPr>
      </w:pPr>
    </w:p>
    <w:p w:rsidR="00042B09" w:rsidRPr="00042B09" w:rsidRDefault="00042B09" w:rsidP="009E6FFB">
      <w:pPr>
        <w:pStyle w:val="Ttulo2"/>
        <w:spacing w:after="0"/>
        <w:jc w:val="both"/>
        <w:rPr>
          <w:rFonts w:cs="Arial"/>
          <w:bCs/>
          <w:iCs/>
          <w:szCs w:val="24"/>
        </w:rPr>
      </w:pPr>
      <w:r w:rsidRPr="00042B09">
        <w:rPr>
          <w:rFonts w:cs="Arial"/>
          <w:bCs/>
          <w:iCs/>
          <w:szCs w:val="24"/>
        </w:rPr>
        <w:t>3.3.4 Archivo de la documentación</w:t>
      </w:r>
      <w:bookmarkEnd w:id="31"/>
    </w:p>
    <w:p w:rsidR="00042B09" w:rsidRPr="00042B09" w:rsidRDefault="00042B09" w:rsidP="00AC5D17">
      <w:pPr>
        <w:spacing w:line="360" w:lineRule="auto"/>
        <w:jc w:val="both"/>
        <w:rPr>
          <w:rFonts w:ascii="Arial" w:hAnsi="Arial" w:cs="Arial"/>
          <w:sz w:val="24"/>
          <w:szCs w:val="24"/>
        </w:rPr>
      </w:pPr>
      <w:r w:rsidRPr="00042B09">
        <w:rPr>
          <w:rFonts w:ascii="Arial" w:hAnsi="Arial" w:cs="Arial"/>
          <w:sz w:val="24"/>
          <w:szCs w:val="24"/>
        </w:rPr>
        <w:t>El archivo de legajos con documentación de ingresos y egresos no es adecuado y puede dar lugar al extravío de la documentación. El archivo de expedientes de compras está centralizado.</w:t>
      </w:r>
    </w:p>
    <w:p w:rsidR="00042B09" w:rsidRPr="00042B09" w:rsidRDefault="00042B09" w:rsidP="009E6FFB">
      <w:pPr>
        <w:pStyle w:val="Ttulo2"/>
        <w:spacing w:after="0"/>
        <w:jc w:val="both"/>
        <w:rPr>
          <w:rFonts w:cs="Arial"/>
          <w:szCs w:val="24"/>
        </w:rPr>
      </w:pPr>
      <w:bookmarkStart w:id="32" w:name="_Toc429986146"/>
      <w:r w:rsidRPr="00042B09">
        <w:rPr>
          <w:rFonts w:cs="Arial"/>
          <w:szCs w:val="24"/>
        </w:rPr>
        <w:t>3.4 Recomendaciones</w:t>
      </w:r>
      <w:bookmarkEnd w:id="32"/>
    </w:p>
    <w:p w:rsidR="00042B09" w:rsidRPr="00042B09" w:rsidRDefault="00042B09" w:rsidP="009E6FFB">
      <w:pPr>
        <w:pStyle w:val="Ttulo2"/>
        <w:spacing w:after="0"/>
        <w:jc w:val="both"/>
        <w:rPr>
          <w:rFonts w:cs="Arial"/>
          <w:szCs w:val="24"/>
        </w:rPr>
      </w:pPr>
      <w:bookmarkStart w:id="33" w:name="_Toc429986147"/>
      <w:r w:rsidRPr="00042B09">
        <w:rPr>
          <w:rFonts w:cs="Arial"/>
          <w:szCs w:val="24"/>
        </w:rPr>
        <w:t xml:space="preserve">3.4.1 </w:t>
      </w:r>
      <w:r w:rsidRPr="00042B09">
        <w:rPr>
          <w:rFonts w:cs="Arial"/>
          <w:szCs w:val="24"/>
        </w:rPr>
        <w:tab/>
        <w:t>Recomendaciones del Ejercicio anterior no cumplidas</w:t>
      </w:r>
      <w:bookmarkEnd w:id="33"/>
    </w:p>
    <w:p w:rsidR="00042B09" w:rsidRPr="00042B09" w:rsidRDefault="00042B09" w:rsidP="009E6FFB">
      <w:pPr>
        <w:pStyle w:val="Ttulo2"/>
        <w:spacing w:after="0"/>
        <w:jc w:val="both"/>
        <w:rPr>
          <w:rFonts w:cs="Arial"/>
          <w:szCs w:val="24"/>
        </w:rPr>
      </w:pPr>
      <w:bookmarkStart w:id="34" w:name="_Toc429986148"/>
      <w:r w:rsidRPr="00042B09">
        <w:rPr>
          <w:rFonts w:cs="Arial"/>
          <w:szCs w:val="24"/>
        </w:rPr>
        <w:t>3.4.1.1 Artículo 94 del TOCAF, y Ordenanza  Nº 81</w:t>
      </w:r>
    </w:p>
    <w:bookmarkEnd w:id="34"/>
    <w:p w:rsidR="00042B09" w:rsidRPr="00042B09" w:rsidRDefault="00042B09" w:rsidP="009E6FFB">
      <w:pPr>
        <w:spacing w:line="360" w:lineRule="auto"/>
        <w:rPr>
          <w:rFonts w:ascii="Arial" w:hAnsi="Arial" w:cs="Arial"/>
          <w:sz w:val="24"/>
          <w:szCs w:val="24"/>
        </w:rPr>
      </w:pPr>
      <w:r w:rsidRPr="00042B09">
        <w:rPr>
          <w:rFonts w:ascii="Arial" w:hAnsi="Arial" w:cs="Arial"/>
          <w:sz w:val="24"/>
          <w:szCs w:val="24"/>
        </w:rPr>
        <w:t>Se deberá culminar la implementación del sistema de contabilidad patrimonial, conforme a lo establecido en el Artículo 94 del TOCAF, de manera que permita cumplir con lo dispuesto en la Ordenanza Nº 81 de este Tribunal.</w:t>
      </w:r>
    </w:p>
    <w:p w:rsidR="00042B09" w:rsidRPr="00042B09" w:rsidRDefault="00042B09" w:rsidP="009E6FFB">
      <w:pPr>
        <w:pStyle w:val="Ttulo2"/>
        <w:spacing w:after="0"/>
        <w:jc w:val="both"/>
        <w:rPr>
          <w:rFonts w:cs="Arial"/>
          <w:szCs w:val="24"/>
        </w:rPr>
      </w:pPr>
      <w:bookmarkStart w:id="35" w:name="_Toc429986149"/>
      <w:r w:rsidRPr="00042B09">
        <w:rPr>
          <w:rFonts w:cs="Arial"/>
          <w:szCs w:val="24"/>
        </w:rPr>
        <w:t>3.4.1.2 Inventario de bienes de uso</w:t>
      </w:r>
      <w:bookmarkEnd w:id="35"/>
    </w:p>
    <w:p w:rsidR="00042B09" w:rsidRPr="00042B09" w:rsidRDefault="00042B09" w:rsidP="009E6FFB">
      <w:pPr>
        <w:spacing w:after="0" w:line="360" w:lineRule="auto"/>
        <w:rPr>
          <w:rFonts w:ascii="Arial" w:hAnsi="Arial" w:cs="Arial"/>
          <w:sz w:val="24"/>
          <w:szCs w:val="24"/>
        </w:rPr>
      </w:pPr>
      <w:r w:rsidRPr="00042B09">
        <w:rPr>
          <w:rFonts w:ascii="Arial" w:hAnsi="Arial" w:cs="Arial"/>
          <w:sz w:val="24"/>
          <w:szCs w:val="24"/>
        </w:rPr>
        <w:t>La Intendencia debe mantener un inventario actualizado de la totalidad de sus bienes, disponiendo de un sistema contable que registre las existencias y los movimientos de los mismos.</w:t>
      </w:r>
    </w:p>
    <w:p w:rsidR="00042B09" w:rsidRPr="00042B09" w:rsidRDefault="00042B09" w:rsidP="009E6FFB">
      <w:pPr>
        <w:pStyle w:val="Ttulo2"/>
        <w:spacing w:after="0"/>
        <w:rPr>
          <w:rFonts w:cs="Arial"/>
          <w:szCs w:val="24"/>
        </w:rPr>
      </w:pPr>
      <w:bookmarkStart w:id="36" w:name="_Toc429986150"/>
      <w:r w:rsidRPr="00042B09">
        <w:rPr>
          <w:rFonts w:cs="Arial"/>
          <w:szCs w:val="24"/>
        </w:rPr>
        <w:t>3.4.1.3 Pagos intervenidos por el Tribunal de Cuentas</w:t>
      </w:r>
      <w:bookmarkEnd w:id="36"/>
    </w:p>
    <w:p w:rsidR="00042B09" w:rsidRPr="00042B09" w:rsidRDefault="00042B09" w:rsidP="009E6FFB">
      <w:pPr>
        <w:pStyle w:val="Textoindependiente"/>
        <w:spacing w:after="0" w:line="360" w:lineRule="auto"/>
        <w:rPr>
          <w:rFonts w:cs="Arial"/>
          <w:szCs w:val="24"/>
        </w:rPr>
      </w:pPr>
      <w:r w:rsidRPr="00042B09">
        <w:rPr>
          <w:rFonts w:cs="Arial"/>
          <w:szCs w:val="24"/>
        </w:rPr>
        <w:t>Todos los pagos deberán ser sometidos a la intervención preventiva del Tribunal de Cuentas.</w:t>
      </w:r>
    </w:p>
    <w:p w:rsidR="00042B09" w:rsidRPr="00042B09" w:rsidRDefault="00042B09" w:rsidP="009E6FFB">
      <w:pPr>
        <w:pStyle w:val="Ttulo2"/>
        <w:spacing w:after="0"/>
        <w:jc w:val="both"/>
        <w:rPr>
          <w:rFonts w:cs="Arial"/>
          <w:szCs w:val="24"/>
        </w:rPr>
      </w:pPr>
      <w:bookmarkStart w:id="37" w:name="_Toc429986151"/>
      <w:r w:rsidRPr="00042B09">
        <w:rPr>
          <w:rFonts w:cs="Arial"/>
          <w:szCs w:val="24"/>
        </w:rPr>
        <w:t>3.4.1.4 Registro de fondos y valores</w:t>
      </w:r>
      <w:bookmarkEnd w:id="37"/>
    </w:p>
    <w:p w:rsidR="00042B09" w:rsidRPr="00042B09" w:rsidRDefault="00042B09" w:rsidP="00AC5D17">
      <w:pPr>
        <w:spacing w:after="0" w:line="360" w:lineRule="auto"/>
        <w:jc w:val="both"/>
        <w:rPr>
          <w:rFonts w:ascii="Arial" w:hAnsi="Arial" w:cs="Arial"/>
          <w:sz w:val="24"/>
          <w:szCs w:val="24"/>
        </w:rPr>
      </w:pPr>
      <w:r w:rsidRPr="00042B09">
        <w:rPr>
          <w:rFonts w:ascii="Arial" w:hAnsi="Arial" w:cs="Arial"/>
          <w:sz w:val="24"/>
          <w:szCs w:val="24"/>
        </w:rPr>
        <w:t>La Intendencia deberá registrar el movimiento de fondos y valores por los cuales deba rendirse cuenta, así como de los bienes en guarda o custodia con los datos de los funcionarios responsables (Artículo 99 del TOCAF).</w:t>
      </w:r>
    </w:p>
    <w:p w:rsidR="00042B09" w:rsidRPr="00042B09" w:rsidRDefault="00042B09" w:rsidP="009E6FFB">
      <w:pPr>
        <w:pStyle w:val="Ttulo2"/>
        <w:spacing w:after="0"/>
        <w:rPr>
          <w:rFonts w:cs="Arial"/>
          <w:szCs w:val="24"/>
        </w:rPr>
      </w:pPr>
      <w:bookmarkStart w:id="38" w:name="_Toc429986152"/>
      <w:r w:rsidRPr="00042B09">
        <w:rPr>
          <w:rFonts w:cs="Arial"/>
          <w:szCs w:val="24"/>
        </w:rPr>
        <w:t>3.4.1.5 Gastos ejecutados</w:t>
      </w:r>
      <w:bookmarkEnd w:id="38"/>
    </w:p>
    <w:p w:rsidR="00042B09" w:rsidRPr="00042B09" w:rsidRDefault="00042B09" w:rsidP="009E6FFB">
      <w:pPr>
        <w:pStyle w:val="Textoindependiente"/>
        <w:spacing w:after="0" w:line="360" w:lineRule="auto"/>
        <w:rPr>
          <w:rFonts w:cs="Arial"/>
          <w:szCs w:val="24"/>
        </w:rPr>
      </w:pPr>
      <w:r w:rsidRPr="00042B09">
        <w:rPr>
          <w:rFonts w:cs="Arial"/>
          <w:szCs w:val="24"/>
        </w:rPr>
        <w:t>Los gastos efectuados por las distintas Direcciones deberán ser autorizados por Ordenador competente.</w:t>
      </w:r>
    </w:p>
    <w:p w:rsidR="00042B09" w:rsidRPr="00042B09" w:rsidRDefault="00042B09" w:rsidP="009E6FFB">
      <w:pPr>
        <w:pStyle w:val="Ttulo2"/>
        <w:spacing w:after="0"/>
        <w:jc w:val="both"/>
        <w:rPr>
          <w:rFonts w:cs="Arial"/>
          <w:szCs w:val="24"/>
        </w:rPr>
      </w:pPr>
      <w:bookmarkStart w:id="39" w:name="_Toc429986153"/>
      <w:r w:rsidRPr="00042B09">
        <w:rPr>
          <w:rFonts w:cs="Arial"/>
          <w:szCs w:val="24"/>
        </w:rPr>
        <w:t>3.4.1.6 Artículo 33 y Artículo 43 del TOCAF</w:t>
      </w:r>
      <w:bookmarkEnd w:id="39"/>
    </w:p>
    <w:p w:rsidR="00042B09" w:rsidRPr="00042B09" w:rsidRDefault="00042B09" w:rsidP="009E6FFB">
      <w:pPr>
        <w:pStyle w:val="Textoindependiente"/>
        <w:spacing w:after="0" w:line="360" w:lineRule="auto"/>
        <w:rPr>
          <w:rFonts w:cs="Arial"/>
          <w:szCs w:val="24"/>
        </w:rPr>
      </w:pPr>
      <w:r w:rsidRPr="00042B09">
        <w:rPr>
          <w:rFonts w:cs="Arial"/>
          <w:szCs w:val="24"/>
        </w:rPr>
        <w:t>A los efectos de poder dar cumplimiento a lo dispuesto por el Artículo 43 del TOCAF, es conveniente que la Intendencia planifique sus compras y los requerimientos de servicios, en lo posible anualmente, de forma de contratar los suministros o servicios por grupo de artículos o servicios de un mismo ramo o comercio, teniendo en cuenta el procedimiento de contratación que corresponda de acuerdo a lo estableci</w:t>
      </w:r>
      <w:r w:rsidR="00AC5D17">
        <w:rPr>
          <w:rFonts w:cs="Arial"/>
          <w:szCs w:val="24"/>
        </w:rPr>
        <w:t>do en el Artículo 33 del TOCAF.</w:t>
      </w:r>
    </w:p>
    <w:p w:rsidR="00042B09" w:rsidRPr="00042B09" w:rsidRDefault="00042B09" w:rsidP="009E6FFB">
      <w:pPr>
        <w:pStyle w:val="Ttulo2"/>
        <w:rPr>
          <w:rFonts w:cs="Arial"/>
          <w:szCs w:val="24"/>
        </w:rPr>
      </w:pPr>
      <w:bookmarkStart w:id="40" w:name="_Toc429986154"/>
      <w:r w:rsidRPr="00042B09">
        <w:rPr>
          <w:rFonts w:cs="Arial"/>
          <w:szCs w:val="24"/>
        </w:rPr>
        <w:t>3.4.1.7 Pliegos de Condiciones Particulares</w:t>
      </w:r>
      <w:bookmarkEnd w:id="40"/>
    </w:p>
    <w:p w:rsidR="00042B09" w:rsidRPr="00042B09" w:rsidRDefault="00042B09" w:rsidP="009E6FFB">
      <w:pPr>
        <w:pStyle w:val="Textoindependiente"/>
        <w:spacing w:after="0" w:line="360" w:lineRule="auto"/>
        <w:rPr>
          <w:rFonts w:cs="Arial"/>
          <w:szCs w:val="24"/>
        </w:rPr>
      </w:pPr>
      <w:r w:rsidRPr="00042B09">
        <w:rPr>
          <w:rFonts w:cs="Arial"/>
          <w:szCs w:val="24"/>
        </w:rPr>
        <w:t>Los Pliegos de Condiciones Particulares deben establecer criterios de ponderación de cada uno de los factores de evaluación de ofertas, o determinar los requisitos mínimos exigibles con un único elemento cuantitativo en base al cual adjudicar. Asimismo, no debe fijar requisitos a los oferentes en cuanto a la presentación de certificados o recibos de adquisición de pliegos.</w:t>
      </w:r>
    </w:p>
    <w:p w:rsidR="00042B09" w:rsidRPr="00042B09" w:rsidRDefault="00042B09" w:rsidP="009E6FFB">
      <w:pPr>
        <w:pStyle w:val="Textoindependiente"/>
        <w:spacing w:after="0" w:line="360" w:lineRule="auto"/>
        <w:rPr>
          <w:rFonts w:cs="Arial"/>
          <w:szCs w:val="24"/>
        </w:rPr>
      </w:pPr>
      <w:r w:rsidRPr="00042B09">
        <w:rPr>
          <w:rFonts w:cs="Arial"/>
          <w:szCs w:val="24"/>
        </w:rPr>
        <w:t>Por otra parte, las garantías de mantenimiento de oferta deberán expresarse con un valor fijo en moneda nacional o extranjera.</w:t>
      </w:r>
    </w:p>
    <w:p w:rsidR="00042B09" w:rsidRPr="00042B09" w:rsidRDefault="00042B09" w:rsidP="009E6FFB">
      <w:pPr>
        <w:pStyle w:val="Ttulo2"/>
        <w:rPr>
          <w:rFonts w:cs="Arial"/>
          <w:szCs w:val="24"/>
        </w:rPr>
      </w:pPr>
      <w:bookmarkStart w:id="41" w:name="_Toc429986155"/>
      <w:r w:rsidRPr="00042B09">
        <w:rPr>
          <w:rFonts w:cs="Arial"/>
          <w:szCs w:val="24"/>
        </w:rPr>
        <w:t>3.4.1.8 Certificado de obra pública</w:t>
      </w:r>
      <w:bookmarkEnd w:id="41"/>
    </w:p>
    <w:p w:rsidR="00042B09" w:rsidRPr="00042B09" w:rsidRDefault="00042B09" w:rsidP="009E6FFB">
      <w:pPr>
        <w:pStyle w:val="Textoindependiente"/>
        <w:spacing w:after="0" w:line="360" w:lineRule="auto"/>
        <w:rPr>
          <w:rFonts w:cs="Arial"/>
          <w:szCs w:val="24"/>
        </w:rPr>
      </w:pPr>
      <w:r w:rsidRPr="00042B09">
        <w:rPr>
          <w:rFonts w:cs="Arial"/>
          <w:szCs w:val="24"/>
        </w:rPr>
        <w:t>En licitaciones abreviadas debe exigirse a los oferentes y adjudicatarios el certificado de inscripción en el Registro Nacional de Empresas de Obras Públicas.</w:t>
      </w:r>
    </w:p>
    <w:p w:rsidR="00042B09" w:rsidRPr="00042B09" w:rsidRDefault="00042B09" w:rsidP="009E6FFB">
      <w:pPr>
        <w:pStyle w:val="Ttulo2"/>
        <w:spacing w:after="0"/>
        <w:rPr>
          <w:rFonts w:cs="Arial"/>
          <w:szCs w:val="24"/>
        </w:rPr>
      </w:pPr>
      <w:bookmarkStart w:id="42" w:name="_Toc429986156"/>
      <w:r w:rsidRPr="00042B09">
        <w:rPr>
          <w:rFonts w:cs="Arial"/>
          <w:szCs w:val="24"/>
        </w:rPr>
        <w:t>3.4.1.9 Artículo 111 del  TOCAF</w:t>
      </w:r>
      <w:bookmarkEnd w:id="42"/>
    </w:p>
    <w:p w:rsidR="00042B09" w:rsidRPr="00042B09" w:rsidRDefault="00042B09" w:rsidP="00AC5D17">
      <w:pPr>
        <w:widowControl w:val="0"/>
        <w:spacing w:line="360" w:lineRule="auto"/>
        <w:jc w:val="both"/>
        <w:rPr>
          <w:rFonts w:ascii="Arial" w:hAnsi="Arial" w:cs="Arial"/>
          <w:kern w:val="1"/>
          <w:sz w:val="24"/>
          <w:szCs w:val="24"/>
        </w:rPr>
      </w:pPr>
      <w:r w:rsidRPr="00042B09">
        <w:rPr>
          <w:rFonts w:ascii="Arial" w:hAnsi="Arial" w:cs="Arial"/>
          <w:kern w:val="1"/>
          <w:sz w:val="24"/>
          <w:szCs w:val="24"/>
        </w:rPr>
        <w:t>La Unidad de Auditoría Interna deberá estar a cargo de un Contador Público con formación y experiencia en la materia, y efectuar tareas de auditoría.</w:t>
      </w:r>
    </w:p>
    <w:p w:rsidR="00042B09" w:rsidRPr="00042B09" w:rsidRDefault="00042B09" w:rsidP="009E6FFB">
      <w:pPr>
        <w:pStyle w:val="Ttulo2"/>
        <w:spacing w:after="0"/>
        <w:jc w:val="both"/>
        <w:rPr>
          <w:rFonts w:cs="Arial"/>
          <w:szCs w:val="24"/>
        </w:rPr>
      </w:pPr>
      <w:bookmarkStart w:id="43" w:name="_Toc429986157"/>
      <w:r w:rsidRPr="00042B09">
        <w:rPr>
          <w:rFonts w:cs="Arial"/>
          <w:szCs w:val="24"/>
        </w:rPr>
        <w:t>3.4.1.10 Artículos 90 y 154 del TOCAF</w:t>
      </w:r>
      <w:bookmarkEnd w:id="43"/>
    </w:p>
    <w:p w:rsidR="00042B09" w:rsidRPr="00042B09" w:rsidRDefault="00042B09" w:rsidP="00AC5D17">
      <w:pPr>
        <w:spacing w:line="360" w:lineRule="auto"/>
        <w:jc w:val="both"/>
        <w:rPr>
          <w:rFonts w:ascii="Arial" w:hAnsi="Arial" w:cs="Arial"/>
          <w:sz w:val="24"/>
          <w:szCs w:val="24"/>
        </w:rPr>
      </w:pPr>
      <w:r w:rsidRPr="00042B09">
        <w:rPr>
          <w:rFonts w:ascii="Arial" w:hAnsi="Arial" w:cs="Arial"/>
          <w:sz w:val="24"/>
          <w:szCs w:val="24"/>
        </w:rPr>
        <w:t>La Comuna debe contratar un seguro de caución de fidelidad respecto a la totalidad de los funcionarios que manejen o custodien fondos o valores a efectos</w:t>
      </w:r>
      <w:r w:rsidR="00AC5D17">
        <w:rPr>
          <w:rFonts w:ascii="Arial" w:hAnsi="Arial" w:cs="Arial"/>
          <w:sz w:val="24"/>
          <w:szCs w:val="24"/>
        </w:rPr>
        <w:t>.</w:t>
      </w:r>
    </w:p>
    <w:p w:rsidR="00042B09" w:rsidRPr="00042B09" w:rsidRDefault="00042B09" w:rsidP="009E6FFB">
      <w:pPr>
        <w:pStyle w:val="Ttulo2"/>
        <w:spacing w:after="0"/>
        <w:jc w:val="both"/>
        <w:rPr>
          <w:rFonts w:cs="Arial"/>
          <w:szCs w:val="24"/>
        </w:rPr>
      </w:pPr>
      <w:bookmarkStart w:id="44" w:name="_Toc429986158"/>
      <w:r w:rsidRPr="00042B09">
        <w:rPr>
          <w:rFonts w:cs="Arial"/>
          <w:szCs w:val="24"/>
        </w:rPr>
        <w:t>3.4.1.11 Cobro de contribución rural mínima</w:t>
      </w:r>
      <w:bookmarkEnd w:id="44"/>
    </w:p>
    <w:p w:rsidR="00042B09" w:rsidRDefault="00042B09" w:rsidP="00AC5D17">
      <w:pPr>
        <w:spacing w:line="360" w:lineRule="auto"/>
        <w:jc w:val="both"/>
        <w:rPr>
          <w:rFonts w:ascii="Arial" w:hAnsi="Arial" w:cs="Arial"/>
          <w:sz w:val="24"/>
          <w:szCs w:val="24"/>
        </w:rPr>
      </w:pPr>
      <w:r w:rsidRPr="00042B09">
        <w:rPr>
          <w:rFonts w:ascii="Arial" w:hAnsi="Arial" w:cs="Arial"/>
          <w:sz w:val="24"/>
          <w:szCs w:val="24"/>
        </w:rPr>
        <w:t>El cobro de mínimo de contribución inmobiliaria rural se deberá regir por la normativa nacional vigente.</w:t>
      </w:r>
    </w:p>
    <w:p w:rsidR="00042B09" w:rsidRPr="00042B09" w:rsidRDefault="00042B09" w:rsidP="009E6FFB">
      <w:pPr>
        <w:pStyle w:val="Ttulo2"/>
        <w:spacing w:after="0"/>
        <w:jc w:val="both"/>
        <w:rPr>
          <w:rFonts w:cs="Arial"/>
          <w:szCs w:val="24"/>
        </w:rPr>
      </w:pPr>
      <w:bookmarkStart w:id="45" w:name="_Toc429986159"/>
      <w:r w:rsidRPr="00042B09">
        <w:rPr>
          <w:rFonts w:cs="Arial"/>
          <w:szCs w:val="24"/>
        </w:rPr>
        <w:t>3.4.1.12 artículo 128 del Presupuesto Quinquenal 2011-2015</w:t>
      </w:r>
      <w:bookmarkEnd w:id="45"/>
    </w:p>
    <w:p w:rsidR="00042B09" w:rsidRPr="00042B09" w:rsidRDefault="00042B09" w:rsidP="00AC5D17">
      <w:pPr>
        <w:widowControl w:val="0"/>
        <w:spacing w:after="0" w:line="360" w:lineRule="auto"/>
        <w:jc w:val="both"/>
        <w:rPr>
          <w:rFonts w:ascii="Arial" w:hAnsi="Arial" w:cs="Arial"/>
          <w:sz w:val="24"/>
          <w:szCs w:val="24"/>
        </w:rPr>
      </w:pPr>
      <w:r w:rsidRPr="00042B09">
        <w:rPr>
          <w:rFonts w:ascii="Arial" w:hAnsi="Arial" w:cs="Arial"/>
          <w:sz w:val="24"/>
          <w:szCs w:val="24"/>
        </w:rPr>
        <w:t>Al aplicar los porcentajes de multa por mora en la Contribución Urbana y Suburbana y sobretasas adicionales, la intendencia deberá regirse por lo establecido en el Código Tributario.</w:t>
      </w:r>
    </w:p>
    <w:p w:rsidR="00042B09" w:rsidRPr="00042B09" w:rsidRDefault="00042B09" w:rsidP="009E6FFB">
      <w:pPr>
        <w:pStyle w:val="Ttulo2"/>
        <w:spacing w:after="0"/>
        <w:rPr>
          <w:rFonts w:cs="Arial"/>
          <w:szCs w:val="24"/>
        </w:rPr>
      </w:pPr>
      <w:bookmarkStart w:id="46" w:name="_Toc429986160"/>
      <w:r w:rsidRPr="00042B09">
        <w:rPr>
          <w:rFonts w:cs="Arial"/>
          <w:szCs w:val="24"/>
        </w:rPr>
        <w:t>3.4.1.13 Sueldos de funcionarios</w:t>
      </w:r>
      <w:bookmarkEnd w:id="46"/>
    </w:p>
    <w:p w:rsidR="00042B09" w:rsidRPr="00042B09" w:rsidRDefault="00042B09" w:rsidP="00AC5D17">
      <w:pPr>
        <w:pStyle w:val="Textoindependiente"/>
        <w:spacing w:after="0" w:line="360" w:lineRule="auto"/>
        <w:rPr>
          <w:rFonts w:cs="Arial"/>
          <w:szCs w:val="24"/>
        </w:rPr>
      </w:pPr>
      <w:r w:rsidRPr="00042B09">
        <w:rPr>
          <w:rFonts w:cs="Arial"/>
          <w:szCs w:val="24"/>
        </w:rPr>
        <w:t>Los sueldos, las compensaciones y sus incrementos deben adecuarse a los establecidos en las normas presupuestales.</w:t>
      </w:r>
    </w:p>
    <w:p w:rsidR="00042B09" w:rsidRPr="00042B09" w:rsidRDefault="00042B09" w:rsidP="009E6FFB">
      <w:pPr>
        <w:pStyle w:val="Ttulo2"/>
        <w:spacing w:after="0"/>
        <w:rPr>
          <w:rFonts w:cs="Arial"/>
          <w:szCs w:val="24"/>
        </w:rPr>
      </w:pPr>
      <w:bookmarkStart w:id="47" w:name="_Toc429986161"/>
      <w:r w:rsidRPr="00042B09">
        <w:rPr>
          <w:rFonts w:cs="Arial"/>
          <w:szCs w:val="24"/>
        </w:rPr>
        <w:t>3.4.1.14 Cantidad de funcionarios contratados</w:t>
      </w:r>
      <w:bookmarkEnd w:id="47"/>
    </w:p>
    <w:p w:rsidR="00042B09" w:rsidRPr="00042B09" w:rsidRDefault="00042B09" w:rsidP="009E6FFB">
      <w:pPr>
        <w:pStyle w:val="Textoindependiente"/>
        <w:spacing w:after="0" w:line="360" w:lineRule="auto"/>
        <w:rPr>
          <w:rFonts w:cs="Arial"/>
          <w:szCs w:val="24"/>
        </w:rPr>
      </w:pPr>
      <w:r w:rsidRPr="00042B09">
        <w:rPr>
          <w:rFonts w:cs="Arial"/>
          <w:szCs w:val="24"/>
        </w:rPr>
        <w:t>La cantidad de funcionarios contratados deberá ser la establecida en el escalafón correspondiente.</w:t>
      </w:r>
    </w:p>
    <w:p w:rsidR="00042B09" w:rsidRPr="00042B09" w:rsidRDefault="00042B09" w:rsidP="009E6FFB">
      <w:pPr>
        <w:pStyle w:val="Ttulo2"/>
        <w:spacing w:after="0"/>
        <w:rPr>
          <w:rFonts w:cs="Arial"/>
          <w:szCs w:val="24"/>
        </w:rPr>
      </w:pPr>
      <w:bookmarkStart w:id="48" w:name="_Toc429986162"/>
      <w:r w:rsidRPr="00042B09">
        <w:rPr>
          <w:rFonts w:cs="Arial"/>
          <w:szCs w:val="24"/>
        </w:rPr>
        <w:t>3.4.1.15 Licencia no gozada</w:t>
      </w:r>
      <w:bookmarkEnd w:id="48"/>
    </w:p>
    <w:p w:rsidR="00042B09" w:rsidRPr="00042B09" w:rsidRDefault="00042B09" w:rsidP="009E6FFB">
      <w:pPr>
        <w:pStyle w:val="Textoindependiente"/>
        <w:spacing w:after="0" w:line="360" w:lineRule="auto"/>
        <w:rPr>
          <w:rFonts w:cs="Arial"/>
          <w:szCs w:val="24"/>
        </w:rPr>
      </w:pPr>
      <w:r w:rsidRPr="00042B09">
        <w:rPr>
          <w:rFonts w:cs="Arial"/>
          <w:szCs w:val="24"/>
        </w:rPr>
        <w:t>A efectos del cálculo de la licencia no gozada deberá considerarse el promedio de horas extras  trabajadas en el año civil o fracción.</w:t>
      </w:r>
    </w:p>
    <w:p w:rsidR="00042B09" w:rsidRPr="00042B09" w:rsidRDefault="00042B09" w:rsidP="009E6FFB">
      <w:pPr>
        <w:pStyle w:val="Ttulo2"/>
        <w:spacing w:after="0"/>
        <w:jc w:val="both"/>
        <w:rPr>
          <w:rFonts w:cs="Arial"/>
          <w:szCs w:val="24"/>
        </w:rPr>
      </w:pPr>
      <w:bookmarkStart w:id="49" w:name="_Toc429986163"/>
      <w:r w:rsidRPr="00042B09">
        <w:rPr>
          <w:rFonts w:cs="Arial"/>
          <w:szCs w:val="24"/>
        </w:rPr>
        <w:t>3.4.1.16 Convenio N° 30 de la O.I.T.</w:t>
      </w:r>
      <w:bookmarkEnd w:id="49"/>
    </w:p>
    <w:p w:rsidR="00042B09" w:rsidRPr="00042B09" w:rsidRDefault="00042B09" w:rsidP="00AC5D17">
      <w:pPr>
        <w:spacing w:after="0" w:line="360" w:lineRule="auto"/>
        <w:jc w:val="both"/>
        <w:rPr>
          <w:rFonts w:ascii="Arial" w:hAnsi="Arial" w:cs="Arial"/>
          <w:sz w:val="24"/>
          <w:szCs w:val="24"/>
        </w:rPr>
      </w:pPr>
      <w:r w:rsidRPr="00042B09">
        <w:rPr>
          <w:rFonts w:ascii="Arial" w:hAnsi="Arial" w:cs="Arial"/>
          <w:sz w:val="24"/>
          <w:szCs w:val="24"/>
        </w:rPr>
        <w:t>El otorgamiento de horas extras a los funcionarios de la Intendencia debe realizarse de acuerdo a los límites</w:t>
      </w:r>
      <w:r w:rsidR="00AC5D17">
        <w:rPr>
          <w:rFonts w:ascii="Arial" w:hAnsi="Arial" w:cs="Arial"/>
          <w:sz w:val="24"/>
          <w:szCs w:val="24"/>
        </w:rPr>
        <w:t xml:space="preserve"> que establece la citada norma.</w:t>
      </w:r>
    </w:p>
    <w:p w:rsidR="00042B09" w:rsidRPr="00042B09" w:rsidRDefault="00042B09" w:rsidP="009E6FFB">
      <w:pPr>
        <w:pStyle w:val="Ttulo2"/>
        <w:spacing w:after="0"/>
        <w:rPr>
          <w:rFonts w:cs="Arial"/>
          <w:szCs w:val="24"/>
        </w:rPr>
      </w:pPr>
      <w:bookmarkStart w:id="50" w:name="_Toc429986164"/>
      <w:r w:rsidRPr="00042B09">
        <w:rPr>
          <w:rFonts w:cs="Arial"/>
          <w:szCs w:val="24"/>
        </w:rPr>
        <w:t>3.4.1.17 Resolución Nº 1270/012 de fecha 4/7/12</w:t>
      </w:r>
      <w:bookmarkEnd w:id="50"/>
    </w:p>
    <w:p w:rsidR="00042B09" w:rsidRPr="00042B09" w:rsidRDefault="00042B09" w:rsidP="00AC5D17">
      <w:pPr>
        <w:pStyle w:val="Textoindependiente"/>
        <w:spacing w:after="0" w:line="360" w:lineRule="auto"/>
        <w:rPr>
          <w:rFonts w:cs="Arial"/>
          <w:szCs w:val="24"/>
        </w:rPr>
      </w:pPr>
      <w:r w:rsidRPr="00042B09">
        <w:rPr>
          <w:rFonts w:cs="Arial"/>
          <w:szCs w:val="24"/>
        </w:rPr>
        <w:t>La compensación por insalubre se debe abonar únicamente a los fu</w:t>
      </w:r>
      <w:r w:rsidR="00AC5D17">
        <w:rPr>
          <w:rFonts w:cs="Arial"/>
          <w:szCs w:val="24"/>
        </w:rPr>
        <w:t>ncionarios que realicen tareas.</w:t>
      </w:r>
    </w:p>
    <w:p w:rsidR="00042B09" w:rsidRPr="00042B09" w:rsidRDefault="00042B09" w:rsidP="009E6FFB">
      <w:pPr>
        <w:pStyle w:val="Ttulo2"/>
        <w:spacing w:after="0"/>
        <w:jc w:val="both"/>
        <w:rPr>
          <w:rFonts w:cs="Arial"/>
          <w:szCs w:val="24"/>
        </w:rPr>
      </w:pPr>
      <w:bookmarkStart w:id="51" w:name="_Toc429986165"/>
      <w:r w:rsidRPr="00042B09">
        <w:rPr>
          <w:rFonts w:cs="Arial"/>
          <w:szCs w:val="24"/>
        </w:rPr>
        <w:t>3.4.1.18 Empresas Monotributistas</w:t>
      </w:r>
      <w:bookmarkEnd w:id="51"/>
    </w:p>
    <w:p w:rsidR="00042B09" w:rsidRPr="00042B09" w:rsidRDefault="00042B09" w:rsidP="00AC5D17">
      <w:pPr>
        <w:pStyle w:val="Textoindependiente"/>
        <w:spacing w:after="0" w:line="360" w:lineRule="auto"/>
        <w:rPr>
          <w:rFonts w:cs="Arial"/>
          <w:szCs w:val="24"/>
        </w:rPr>
      </w:pPr>
      <w:r w:rsidRPr="00042B09">
        <w:rPr>
          <w:rFonts w:cs="Arial"/>
          <w:szCs w:val="24"/>
        </w:rPr>
        <w:t>La intendencia no deberá contratar con empresas inscriptas ante DGI como monotributistas.</w:t>
      </w:r>
    </w:p>
    <w:p w:rsidR="00042B09" w:rsidRPr="00042B09" w:rsidRDefault="00042B09" w:rsidP="009E6FFB">
      <w:pPr>
        <w:pStyle w:val="Ttulo2"/>
        <w:spacing w:after="0"/>
        <w:rPr>
          <w:rFonts w:cs="Arial"/>
          <w:szCs w:val="24"/>
        </w:rPr>
      </w:pPr>
      <w:bookmarkStart w:id="52" w:name="_Toc429986166"/>
      <w:r w:rsidRPr="00042B09">
        <w:rPr>
          <w:rFonts w:cs="Arial"/>
          <w:szCs w:val="24"/>
        </w:rPr>
        <w:t>3.4.1.19 Valuación de Activos y Pasivos en Moneda Extranjera</w:t>
      </w:r>
      <w:bookmarkEnd w:id="52"/>
    </w:p>
    <w:p w:rsidR="00042B09" w:rsidRPr="00042B09" w:rsidRDefault="00042B09" w:rsidP="00AC5D17">
      <w:pPr>
        <w:pStyle w:val="Textoindependiente"/>
        <w:spacing w:after="0" w:line="360" w:lineRule="auto"/>
        <w:rPr>
          <w:rFonts w:cs="Arial"/>
          <w:color w:val="FF0000"/>
          <w:szCs w:val="24"/>
        </w:rPr>
      </w:pPr>
      <w:r w:rsidRPr="00042B09">
        <w:rPr>
          <w:rFonts w:cs="Arial"/>
          <w:szCs w:val="24"/>
        </w:rPr>
        <w:t xml:space="preserve">Los activos y pasivos en Moneda Extranjera deberán estar valuados a tipo de </w:t>
      </w:r>
      <w:r w:rsidR="00AC5D17">
        <w:rPr>
          <w:rFonts w:cs="Arial"/>
          <w:szCs w:val="24"/>
        </w:rPr>
        <w:t>cambio de cierre del ejercicio.</w:t>
      </w:r>
    </w:p>
    <w:p w:rsidR="00042B09" w:rsidRPr="00042B09" w:rsidRDefault="00042B09" w:rsidP="009E6FFB">
      <w:pPr>
        <w:pStyle w:val="Ttulo2"/>
        <w:spacing w:after="0"/>
        <w:ind w:left="0" w:firstLine="0"/>
        <w:jc w:val="both"/>
        <w:rPr>
          <w:rFonts w:cs="Arial"/>
          <w:szCs w:val="24"/>
        </w:rPr>
      </w:pPr>
      <w:bookmarkStart w:id="53" w:name="_Toc429986167"/>
      <w:r w:rsidRPr="00042B09">
        <w:rPr>
          <w:rFonts w:cs="Arial"/>
          <w:szCs w:val="24"/>
        </w:rPr>
        <w:t>3.4.1.20 Debilidades de control interno respecto a recursos o manejo de fondos</w:t>
      </w:r>
      <w:bookmarkEnd w:id="53"/>
    </w:p>
    <w:p w:rsidR="00042B09" w:rsidRPr="00042B09" w:rsidRDefault="00042B09" w:rsidP="009E6FFB">
      <w:pPr>
        <w:pStyle w:val="Textoindependiente"/>
        <w:spacing w:after="0" w:line="360" w:lineRule="auto"/>
        <w:rPr>
          <w:rFonts w:cs="Arial"/>
          <w:szCs w:val="24"/>
        </w:rPr>
      </w:pPr>
      <w:r w:rsidRPr="00042B09">
        <w:rPr>
          <w:rFonts w:cs="Arial"/>
          <w:szCs w:val="24"/>
        </w:rPr>
        <w:t>La introducción o modificación de datos por parte del operador, deberá reducirse a aquéllas que no afectan el valor del tributo a pagar por el contribuyente y que estén debidamente autorizados y con el correspondiente respaldo.</w:t>
      </w:r>
    </w:p>
    <w:p w:rsidR="00042B09" w:rsidRPr="00042B09" w:rsidRDefault="00042B09" w:rsidP="009E6FFB">
      <w:pPr>
        <w:pStyle w:val="Ttulo2"/>
        <w:spacing w:after="0"/>
        <w:ind w:left="0" w:firstLine="0"/>
        <w:jc w:val="both"/>
        <w:rPr>
          <w:rFonts w:cs="Arial"/>
          <w:szCs w:val="24"/>
        </w:rPr>
      </w:pPr>
      <w:bookmarkStart w:id="54" w:name="_Toc429986168"/>
      <w:r w:rsidRPr="00042B09">
        <w:rPr>
          <w:rFonts w:cs="Arial"/>
          <w:szCs w:val="24"/>
        </w:rPr>
        <w:t>3.4.1.21</w:t>
      </w:r>
      <w:r w:rsidR="009E4054">
        <w:rPr>
          <w:rFonts w:cs="Arial"/>
          <w:szCs w:val="24"/>
        </w:rPr>
        <w:t xml:space="preserve"> </w:t>
      </w:r>
      <w:r w:rsidRPr="00042B09">
        <w:rPr>
          <w:rFonts w:cs="Arial"/>
          <w:szCs w:val="24"/>
        </w:rPr>
        <w:t>Debilidades de control interno respecto a retribuciones personales</w:t>
      </w:r>
      <w:bookmarkEnd w:id="54"/>
    </w:p>
    <w:p w:rsidR="00042B09" w:rsidRPr="00042B09" w:rsidRDefault="00042B09" w:rsidP="009E6FFB">
      <w:pPr>
        <w:pStyle w:val="Textoindependiente"/>
        <w:spacing w:after="0" w:line="360" w:lineRule="auto"/>
        <w:rPr>
          <w:rFonts w:cs="Arial"/>
          <w:szCs w:val="24"/>
        </w:rPr>
      </w:pPr>
      <w:r w:rsidRPr="00042B09">
        <w:rPr>
          <w:rFonts w:cs="Arial"/>
          <w:szCs w:val="24"/>
        </w:rPr>
        <w:t>Deberán establecerse controles respecto de las liquidaciones de sueldos y su respectiva contabilización. La sección Sueldos no debe tener permisos para realizar modificaciones al padrón de funcionarios, ya que esa tarea corres</w:t>
      </w:r>
      <w:r w:rsidR="009E4054">
        <w:rPr>
          <w:rFonts w:cs="Arial"/>
          <w:szCs w:val="24"/>
        </w:rPr>
        <w:t>ponde a la Oficina de Personal.</w:t>
      </w:r>
    </w:p>
    <w:p w:rsidR="00042B09" w:rsidRPr="00042B09" w:rsidRDefault="00042B09" w:rsidP="009E6FFB">
      <w:pPr>
        <w:pStyle w:val="Ttulo2"/>
        <w:spacing w:after="0"/>
        <w:jc w:val="both"/>
        <w:rPr>
          <w:rFonts w:cs="Arial"/>
          <w:szCs w:val="24"/>
        </w:rPr>
      </w:pPr>
      <w:bookmarkStart w:id="55" w:name="_Toc429986169"/>
      <w:r w:rsidRPr="00042B09">
        <w:rPr>
          <w:rFonts w:cs="Arial"/>
          <w:szCs w:val="24"/>
        </w:rPr>
        <w:t>3.4.1.22 Debilidades de control interno respecto al sistema de compras</w:t>
      </w:r>
      <w:bookmarkEnd w:id="55"/>
    </w:p>
    <w:p w:rsidR="00042B09" w:rsidRPr="00042B09" w:rsidRDefault="00042B09" w:rsidP="009E4054">
      <w:pPr>
        <w:spacing w:after="0" w:line="360" w:lineRule="auto"/>
        <w:jc w:val="both"/>
        <w:rPr>
          <w:rFonts w:ascii="Arial" w:hAnsi="Arial" w:cs="Arial"/>
          <w:sz w:val="24"/>
          <w:szCs w:val="24"/>
        </w:rPr>
      </w:pPr>
      <w:r w:rsidRPr="00042B09">
        <w:rPr>
          <w:rFonts w:ascii="Arial" w:hAnsi="Arial" w:cs="Arial"/>
          <w:sz w:val="24"/>
          <w:szCs w:val="24"/>
        </w:rPr>
        <w:t>En lo referente a los proveedores de la Intendencia, debe mantenerse actualizada la base de datos y la información respecto a los correspondientes certificados de estar al día con DGI y BPS.</w:t>
      </w:r>
    </w:p>
    <w:p w:rsidR="00042B09" w:rsidRPr="00042B09" w:rsidRDefault="00042B09" w:rsidP="009E6FFB">
      <w:pPr>
        <w:pStyle w:val="Ttulo2"/>
        <w:spacing w:after="0"/>
        <w:rPr>
          <w:rFonts w:cs="Arial"/>
          <w:szCs w:val="24"/>
        </w:rPr>
      </w:pPr>
      <w:bookmarkStart w:id="56" w:name="_Toc429986170"/>
      <w:r w:rsidRPr="00042B09">
        <w:rPr>
          <w:rFonts w:cs="Arial"/>
          <w:szCs w:val="24"/>
        </w:rPr>
        <w:t>3.4.1.23 Ordenanza Nº 62 de este Tribunal</w:t>
      </w:r>
      <w:bookmarkEnd w:id="56"/>
    </w:p>
    <w:p w:rsidR="00042B09" w:rsidRPr="00042B09" w:rsidRDefault="00042B09" w:rsidP="009E6FFB">
      <w:pPr>
        <w:pStyle w:val="Textoindependiente"/>
        <w:spacing w:after="0" w:line="360" w:lineRule="auto"/>
        <w:rPr>
          <w:rFonts w:cs="Arial"/>
          <w:szCs w:val="24"/>
        </w:rPr>
      </w:pPr>
      <w:r w:rsidRPr="00042B09">
        <w:rPr>
          <w:rFonts w:cs="Arial"/>
          <w:szCs w:val="24"/>
        </w:rPr>
        <w:t>Las exoneraciones de recursos se deberán tramitar conforme a lo</w:t>
      </w:r>
      <w:r w:rsidR="009E4054">
        <w:rPr>
          <w:rFonts w:cs="Arial"/>
          <w:szCs w:val="24"/>
        </w:rPr>
        <w:t xml:space="preserve"> dispuesto en la citada norma.</w:t>
      </w:r>
    </w:p>
    <w:p w:rsidR="00042B09" w:rsidRPr="00042B09" w:rsidRDefault="00042B09" w:rsidP="009E6FFB">
      <w:pPr>
        <w:pStyle w:val="Ttulo2"/>
        <w:spacing w:after="0"/>
        <w:rPr>
          <w:rFonts w:cs="Arial"/>
          <w:szCs w:val="24"/>
        </w:rPr>
      </w:pPr>
      <w:bookmarkStart w:id="57" w:name="_Toc429986171"/>
      <w:r w:rsidRPr="00042B09">
        <w:rPr>
          <w:rFonts w:cs="Arial"/>
          <w:szCs w:val="24"/>
        </w:rPr>
        <w:t>3.4.1.24 Resolución del 28/01/04</w:t>
      </w:r>
      <w:bookmarkEnd w:id="57"/>
    </w:p>
    <w:p w:rsidR="00042B09" w:rsidRPr="00042B09" w:rsidRDefault="00042B09" w:rsidP="009E6FFB">
      <w:pPr>
        <w:pStyle w:val="Textoindependiente"/>
        <w:widowControl w:val="0"/>
        <w:spacing w:after="0" w:line="360" w:lineRule="auto"/>
        <w:rPr>
          <w:rFonts w:cs="Arial"/>
          <w:szCs w:val="24"/>
        </w:rPr>
      </w:pPr>
      <w:r w:rsidRPr="00042B09">
        <w:rPr>
          <w:rFonts w:cs="Arial"/>
          <w:szCs w:val="24"/>
        </w:rPr>
        <w:t>La Intendencia deberá remitir el Estado Nº 3.3.3 referido a la ejecución por tipo de gasto, y el Estado Nº 3.3.5 respecto a los compromisos de inversión no ejecutados al cierre del ejercicio. Asimismo, deberá adecuar la exposición del Estado Nº 3.2 (Resultado del Ejercicio) a lo establecido en el Instructivo del Tribunal de fecha 28/01/04</w:t>
      </w:r>
      <w:r w:rsidR="009E4054">
        <w:rPr>
          <w:rFonts w:cs="Arial"/>
          <w:szCs w:val="24"/>
        </w:rPr>
        <w:t>.</w:t>
      </w:r>
    </w:p>
    <w:p w:rsidR="00042B09" w:rsidRPr="00042B09" w:rsidRDefault="00042B09" w:rsidP="009E6FFB">
      <w:pPr>
        <w:pStyle w:val="Ttulo2"/>
        <w:spacing w:after="0"/>
        <w:rPr>
          <w:rFonts w:cs="Arial"/>
          <w:szCs w:val="24"/>
        </w:rPr>
      </w:pPr>
      <w:bookmarkStart w:id="58" w:name="_Toc429986172"/>
      <w:r w:rsidRPr="00042B09">
        <w:rPr>
          <w:rFonts w:cs="Arial"/>
          <w:szCs w:val="24"/>
        </w:rPr>
        <w:t>3.4.1.25 Resolución N° 688/92 de la DGI</w:t>
      </w:r>
      <w:bookmarkEnd w:id="58"/>
    </w:p>
    <w:p w:rsidR="00042B09" w:rsidRDefault="00042B09" w:rsidP="009E6FFB">
      <w:pPr>
        <w:pStyle w:val="Textoindependiente"/>
        <w:widowControl w:val="0"/>
        <w:spacing w:after="0" w:line="360" w:lineRule="auto"/>
        <w:rPr>
          <w:rFonts w:cs="Arial"/>
          <w:szCs w:val="24"/>
        </w:rPr>
      </w:pPr>
      <w:r w:rsidRPr="00042B09">
        <w:rPr>
          <w:rFonts w:cs="Arial"/>
          <w:szCs w:val="24"/>
        </w:rPr>
        <w:t>Todos los gastos ejecutados deben ser respaldados con documentación que cumpla con los requisitos establecidos por la DGI.</w:t>
      </w:r>
    </w:p>
    <w:p w:rsidR="009E4054" w:rsidRPr="00042B09" w:rsidRDefault="009E4054" w:rsidP="009E6FFB">
      <w:pPr>
        <w:pStyle w:val="Textoindependiente"/>
        <w:widowControl w:val="0"/>
        <w:spacing w:after="0" w:line="360" w:lineRule="auto"/>
        <w:rPr>
          <w:rFonts w:cs="Arial"/>
          <w:szCs w:val="24"/>
        </w:rPr>
      </w:pPr>
    </w:p>
    <w:p w:rsidR="00042B09" w:rsidRPr="00042B09" w:rsidRDefault="00042B09" w:rsidP="009E6FFB">
      <w:pPr>
        <w:pStyle w:val="Ttulo2"/>
        <w:spacing w:after="0"/>
        <w:rPr>
          <w:rFonts w:cs="Arial"/>
          <w:szCs w:val="24"/>
        </w:rPr>
      </w:pPr>
      <w:bookmarkStart w:id="59" w:name="_Toc429986173"/>
      <w:r w:rsidRPr="00042B09">
        <w:rPr>
          <w:rFonts w:cs="Arial"/>
          <w:szCs w:val="24"/>
        </w:rPr>
        <w:t>3.4.2 Recomendaciones del Ejercicio</w:t>
      </w:r>
      <w:bookmarkEnd w:id="59"/>
    </w:p>
    <w:p w:rsidR="00042B09" w:rsidRDefault="00042B09" w:rsidP="009E6FFB">
      <w:pPr>
        <w:widowControl w:val="0"/>
        <w:spacing w:after="0" w:line="360" w:lineRule="auto"/>
        <w:rPr>
          <w:rFonts w:ascii="Arial" w:hAnsi="Arial" w:cs="Arial"/>
          <w:sz w:val="24"/>
          <w:szCs w:val="24"/>
        </w:rPr>
      </w:pPr>
      <w:r w:rsidRPr="00042B09">
        <w:rPr>
          <w:rFonts w:ascii="Arial" w:hAnsi="Arial" w:cs="Arial"/>
          <w:sz w:val="24"/>
          <w:szCs w:val="24"/>
        </w:rPr>
        <w:t>Se reiteran las recomendaciones señaladas en el apartado 3.4.2. y se agregan las siguientes:</w:t>
      </w:r>
    </w:p>
    <w:p w:rsidR="00042B09" w:rsidRPr="00042B09" w:rsidRDefault="00042B09" w:rsidP="009E6FFB">
      <w:pPr>
        <w:pStyle w:val="Ttulo2"/>
        <w:spacing w:after="0"/>
        <w:jc w:val="both"/>
        <w:rPr>
          <w:rFonts w:cs="Arial"/>
          <w:szCs w:val="24"/>
        </w:rPr>
      </w:pPr>
      <w:bookmarkStart w:id="60" w:name="_Toc429986174"/>
      <w:r w:rsidRPr="00042B09">
        <w:rPr>
          <w:rFonts w:cs="Arial"/>
          <w:szCs w:val="24"/>
        </w:rPr>
        <w:t>3.4.2.1 Ajustes al Resultado del Ejercicio y al Resultado Acumulado</w:t>
      </w:r>
      <w:bookmarkEnd w:id="60"/>
    </w:p>
    <w:p w:rsidR="00042B09" w:rsidRPr="00042B09" w:rsidRDefault="00042B09" w:rsidP="009E6FFB">
      <w:pPr>
        <w:pStyle w:val="Textoindependiente"/>
        <w:widowControl w:val="0"/>
        <w:spacing w:after="0" w:line="360" w:lineRule="auto"/>
        <w:rPr>
          <w:rFonts w:cs="Arial"/>
          <w:szCs w:val="24"/>
        </w:rPr>
      </w:pPr>
      <w:r w:rsidRPr="00042B09">
        <w:rPr>
          <w:rFonts w:cs="Arial"/>
          <w:szCs w:val="24"/>
        </w:rPr>
        <w:t>La Intendencia deberá conciliar con la Junta Departamental las cifras mencionadas en el numeral 3.1.1) y efectuar los ajustes detallados en los párra</w:t>
      </w:r>
      <w:r w:rsidRPr="00042B09">
        <w:rPr>
          <w:rFonts w:cs="Arial"/>
          <w:szCs w:val="24"/>
        </w:rPr>
        <w:softHyphen/>
        <w:t>fos 3.1.1) y 3.1.2) para determinar el resultado del ejercicio y el resultado acumulado al 31/12/2014. Además se deberá analizar las diferencias señaladas en los párrafos 3.1.3) y 3.1.6)</w:t>
      </w:r>
      <w:r w:rsidR="009E4054">
        <w:rPr>
          <w:rFonts w:cs="Arial"/>
          <w:szCs w:val="24"/>
        </w:rPr>
        <w:t>.</w:t>
      </w:r>
    </w:p>
    <w:p w:rsidR="00042B09" w:rsidRPr="00042B09" w:rsidRDefault="00042B09" w:rsidP="009E6FFB">
      <w:pPr>
        <w:pStyle w:val="Ttulo2"/>
        <w:spacing w:after="0"/>
        <w:ind w:left="0" w:firstLine="0"/>
        <w:jc w:val="both"/>
        <w:rPr>
          <w:rFonts w:cs="Arial"/>
          <w:szCs w:val="24"/>
        </w:rPr>
      </w:pPr>
      <w:bookmarkStart w:id="61" w:name="_Toc429986175"/>
      <w:r w:rsidRPr="00042B09">
        <w:rPr>
          <w:rFonts w:cs="Arial"/>
          <w:szCs w:val="24"/>
        </w:rPr>
        <w:t>3.4.2.2 Artículo 229 de la Constitución de la República</w:t>
      </w:r>
      <w:bookmarkEnd w:id="61"/>
    </w:p>
    <w:p w:rsidR="00042B09" w:rsidRPr="00042B09" w:rsidRDefault="00042B09" w:rsidP="008F6236">
      <w:pPr>
        <w:widowControl w:val="0"/>
        <w:spacing w:after="0" w:line="360" w:lineRule="auto"/>
        <w:jc w:val="both"/>
        <w:rPr>
          <w:rFonts w:ascii="Arial" w:hAnsi="Arial" w:cs="Arial"/>
          <w:kern w:val="1"/>
          <w:sz w:val="24"/>
          <w:szCs w:val="24"/>
        </w:rPr>
      </w:pPr>
      <w:r w:rsidRPr="00042B09">
        <w:rPr>
          <w:rFonts w:ascii="Arial" w:hAnsi="Arial" w:cs="Arial"/>
          <w:kern w:val="1"/>
          <w:sz w:val="24"/>
          <w:szCs w:val="24"/>
        </w:rPr>
        <w:t xml:space="preserve">No deberán ingresar funcionarios públicos en los doce meses anteriores a la fecha de </w:t>
      </w:r>
      <w:r w:rsidR="009E4054">
        <w:rPr>
          <w:rFonts w:ascii="Arial" w:hAnsi="Arial" w:cs="Arial"/>
          <w:kern w:val="1"/>
          <w:sz w:val="24"/>
          <w:szCs w:val="24"/>
        </w:rPr>
        <w:t>las elecciones departamentales.</w:t>
      </w:r>
    </w:p>
    <w:p w:rsidR="00042B09" w:rsidRPr="00042B09" w:rsidRDefault="00042B09" w:rsidP="009E6FFB">
      <w:pPr>
        <w:pStyle w:val="Ttulo2"/>
        <w:spacing w:after="0"/>
        <w:jc w:val="both"/>
        <w:rPr>
          <w:rFonts w:cs="Arial"/>
          <w:szCs w:val="24"/>
        </w:rPr>
      </w:pPr>
      <w:bookmarkStart w:id="62" w:name="_Toc429986176"/>
      <w:r w:rsidRPr="00042B09">
        <w:rPr>
          <w:rFonts w:cs="Arial"/>
          <w:szCs w:val="24"/>
        </w:rPr>
        <w:t>3.4.2.3 Literal E) del Artículo 297 de la Constitución de la República</w:t>
      </w:r>
      <w:bookmarkEnd w:id="62"/>
    </w:p>
    <w:p w:rsidR="00042B09" w:rsidRPr="00042B09" w:rsidRDefault="00042B09" w:rsidP="008F6236">
      <w:pPr>
        <w:spacing w:after="0" w:line="360" w:lineRule="auto"/>
        <w:jc w:val="both"/>
        <w:rPr>
          <w:rFonts w:ascii="Arial" w:hAnsi="Arial" w:cs="Arial"/>
          <w:kern w:val="1"/>
          <w:sz w:val="24"/>
          <w:szCs w:val="24"/>
        </w:rPr>
      </w:pPr>
      <w:r w:rsidRPr="00042B09">
        <w:rPr>
          <w:rFonts w:ascii="Arial" w:hAnsi="Arial" w:cs="Arial"/>
          <w:kern w:val="1"/>
          <w:sz w:val="24"/>
          <w:szCs w:val="24"/>
        </w:rPr>
        <w:t>La determinación del tributo de patente de rodados vehicular, debería contar con decreto vigente aprobado por la Junta Departamental.</w:t>
      </w:r>
    </w:p>
    <w:p w:rsidR="00042B09" w:rsidRPr="00042B09" w:rsidRDefault="00042B09" w:rsidP="009E6FFB">
      <w:pPr>
        <w:pStyle w:val="Ttulo2"/>
        <w:spacing w:after="0"/>
        <w:jc w:val="both"/>
        <w:rPr>
          <w:rFonts w:cs="Arial"/>
          <w:szCs w:val="24"/>
        </w:rPr>
      </w:pPr>
      <w:bookmarkStart w:id="63" w:name="_Toc429986177"/>
      <w:r w:rsidRPr="00042B09">
        <w:rPr>
          <w:rFonts w:cs="Arial"/>
          <w:szCs w:val="24"/>
        </w:rPr>
        <w:t>3.4.2.4 Compensación por jubilación</w:t>
      </w:r>
      <w:bookmarkEnd w:id="63"/>
    </w:p>
    <w:p w:rsidR="00042B09" w:rsidRPr="00042B09" w:rsidRDefault="00042B09" w:rsidP="009E6FFB">
      <w:pPr>
        <w:spacing w:after="0" w:line="360" w:lineRule="auto"/>
        <w:rPr>
          <w:rFonts w:ascii="Arial" w:hAnsi="Arial" w:cs="Arial"/>
          <w:kern w:val="1"/>
          <w:sz w:val="24"/>
          <w:szCs w:val="24"/>
        </w:rPr>
      </w:pPr>
      <w:r w:rsidRPr="00042B09">
        <w:rPr>
          <w:rFonts w:ascii="Arial" w:hAnsi="Arial" w:cs="Arial"/>
          <w:kern w:val="1"/>
          <w:sz w:val="24"/>
          <w:szCs w:val="24"/>
        </w:rPr>
        <w:t>Para el cálculo de la prima por retiro no se deberían considerar las horas extras trabajadas en el último mes.</w:t>
      </w:r>
    </w:p>
    <w:p w:rsidR="00042B09" w:rsidRPr="00042B09" w:rsidRDefault="00042B09" w:rsidP="009E6FFB">
      <w:pPr>
        <w:pStyle w:val="Textoindependiente"/>
        <w:widowControl w:val="0"/>
        <w:spacing w:after="0" w:line="360" w:lineRule="auto"/>
        <w:jc w:val="right"/>
        <w:rPr>
          <w:rFonts w:cs="Arial"/>
          <w:szCs w:val="24"/>
        </w:rPr>
      </w:pPr>
      <w:r w:rsidRPr="00042B09">
        <w:rPr>
          <w:rFonts w:cs="Arial"/>
          <w:szCs w:val="24"/>
        </w:rPr>
        <w:t>Montevideo, 4 de diciembre 2015</w:t>
      </w:r>
    </w:p>
    <w:p w:rsidR="00C51530" w:rsidRPr="00354A6B" w:rsidRDefault="00042B09" w:rsidP="00042B09">
      <w:pPr>
        <w:pStyle w:val="Textoindependiente"/>
        <w:widowControl w:val="0"/>
        <w:spacing w:after="0" w:line="360" w:lineRule="auto"/>
        <w:jc w:val="left"/>
        <w:rPr>
          <w:rFonts w:cs="Arial"/>
          <w:szCs w:val="24"/>
          <w:lang w:val="es-ES_tradnl"/>
        </w:rPr>
      </w:pPr>
      <w:r w:rsidRPr="00042B09">
        <w:rPr>
          <w:rFonts w:cs="Arial"/>
          <w:szCs w:val="24"/>
        </w:rPr>
        <w:t>cr</w:t>
      </w:r>
    </w:p>
    <w:sectPr w:rsidR="00C51530" w:rsidRPr="00354A6B" w:rsidSect="00BB3B19">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36" w:rsidRDefault="008F6236">
      <w:pPr>
        <w:spacing w:after="0" w:line="240" w:lineRule="auto"/>
      </w:pPr>
      <w:r>
        <w:separator/>
      </w:r>
    </w:p>
  </w:endnote>
  <w:endnote w:type="continuationSeparator" w:id="0">
    <w:p w:rsidR="008F6236" w:rsidRDefault="008F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236" w:rsidRDefault="008F6236">
    <w:pPr>
      <w:pStyle w:val="Piedepgina"/>
      <w:jc w:val="center"/>
    </w:pPr>
    <w:r>
      <w:fldChar w:fldCharType="begin"/>
    </w:r>
    <w:r>
      <w:instrText xml:space="preserve"> PAGE </w:instrText>
    </w:r>
    <w:r>
      <w:fldChar w:fldCharType="separate"/>
    </w:r>
    <w:r w:rsidR="009B3084">
      <w:rPr>
        <w:noProof/>
      </w:rPr>
      <w:t>1</w:t>
    </w:r>
    <w:r>
      <w:fldChar w:fldCharType="end"/>
    </w:r>
  </w:p>
  <w:p w:rsidR="008F6236" w:rsidRDefault="008F62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36" w:rsidRDefault="008F6236">
      <w:pPr>
        <w:spacing w:after="0" w:line="240" w:lineRule="auto"/>
      </w:pPr>
      <w:r>
        <w:separator/>
      </w:r>
    </w:p>
  </w:footnote>
  <w:footnote w:type="continuationSeparator" w:id="0">
    <w:p w:rsidR="008F6236" w:rsidRDefault="008F6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5246DF06"/>
    <w:name w:val="WW8Num2"/>
    <w:lvl w:ilvl="0">
      <w:start w:val="1"/>
      <w:numFmt w:val="decimal"/>
      <w:pStyle w:val="Ttulo1"/>
      <w:lvlText w:val="%1)"/>
      <w:lvlJc w:val="left"/>
      <w:pPr>
        <w:tabs>
          <w:tab w:val="num" w:pos="360"/>
        </w:tabs>
      </w:pPr>
      <w:rPr>
        <w:rFonts w:ascii="Arial" w:hAnsi="Arial" w:cs="Arial" w:hint="default"/>
        <w:b/>
      </w:rPr>
    </w:lvl>
  </w:abstractNum>
  <w:abstractNum w:abstractNumId="2">
    <w:nsid w:val="216A19EC"/>
    <w:multiLevelType w:val="hybridMultilevel"/>
    <w:tmpl w:val="BD002DAA"/>
    <w:lvl w:ilvl="0" w:tplc="5AAE1B06">
      <w:start w:val="1"/>
      <w:numFmt w:val="decimal"/>
      <w:lvlText w:val="%1)"/>
      <w:lvlJc w:val="left"/>
      <w:pPr>
        <w:ind w:left="720" w:hanging="360"/>
      </w:pPr>
      <w:rPr>
        <w:b/>
        <w:lang w:val="es-E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3AA21E94"/>
    <w:multiLevelType w:val="multilevel"/>
    <w:tmpl w:val="A38EF15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4DEB02C4"/>
    <w:multiLevelType w:val="hybridMultilevel"/>
    <w:tmpl w:val="E53CE368"/>
    <w:lvl w:ilvl="0" w:tplc="B99C2402">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5CF0366B"/>
    <w:multiLevelType w:val="hybridMultilevel"/>
    <w:tmpl w:val="435ECAA8"/>
    <w:lvl w:ilvl="0" w:tplc="1B3E6336">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6E9C1493"/>
    <w:multiLevelType w:val="multilevel"/>
    <w:tmpl w:val="E7BEEAF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0"/>
    <w:rsid w:val="00031183"/>
    <w:rsid w:val="00042B09"/>
    <w:rsid w:val="00101EB9"/>
    <w:rsid w:val="001315C8"/>
    <w:rsid w:val="00162001"/>
    <w:rsid w:val="0017073F"/>
    <w:rsid w:val="001B02E3"/>
    <w:rsid w:val="00282854"/>
    <w:rsid w:val="003828F2"/>
    <w:rsid w:val="004D6ABD"/>
    <w:rsid w:val="00626F93"/>
    <w:rsid w:val="007C090D"/>
    <w:rsid w:val="008D4A6C"/>
    <w:rsid w:val="008F6236"/>
    <w:rsid w:val="009A451E"/>
    <w:rsid w:val="009B3084"/>
    <w:rsid w:val="009E4054"/>
    <w:rsid w:val="009E6FFB"/>
    <w:rsid w:val="00AC5D17"/>
    <w:rsid w:val="00B8388C"/>
    <w:rsid w:val="00BB3B19"/>
    <w:rsid w:val="00C51530"/>
    <w:rsid w:val="00C85437"/>
    <w:rsid w:val="00DB32DC"/>
    <w:rsid w:val="00E519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30"/>
    <w:rPr>
      <w:rFonts w:ascii="Calibri" w:eastAsia="Calibri" w:hAnsi="Calibri" w:cs="Times New Roman"/>
    </w:rPr>
  </w:style>
  <w:style w:type="paragraph" w:styleId="Ttulo1">
    <w:name w:val="heading 1"/>
    <w:basedOn w:val="Normal"/>
    <w:next w:val="Normal"/>
    <w:link w:val="Ttulo1Car"/>
    <w:qFormat/>
    <w:rsid w:val="00042B09"/>
    <w:pPr>
      <w:numPr>
        <w:numId w:val="1"/>
      </w:numPr>
      <w:suppressAutoHyphens/>
      <w:spacing w:after="180" w:line="360" w:lineRule="auto"/>
      <w:outlineLvl w:val="0"/>
    </w:pPr>
    <w:rPr>
      <w:rFonts w:ascii="Arial" w:eastAsia="Times New Roman" w:hAnsi="Arial"/>
      <w:b/>
      <w:caps/>
      <w:kern w:val="1"/>
      <w:sz w:val="24"/>
      <w:szCs w:val="20"/>
      <w:lang w:val="es-ES" w:eastAsia="ar-SA"/>
    </w:rPr>
  </w:style>
  <w:style w:type="paragraph" w:styleId="Ttulo2">
    <w:name w:val="heading 2"/>
    <w:basedOn w:val="Normal"/>
    <w:next w:val="Textoindependiente"/>
    <w:link w:val="Ttulo2Car"/>
    <w:qFormat/>
    <w:rsid w:val="00042B09"/>
    <w:pPr>
      <w:numPr>
        <w:ilvl w:val="1"/>
        <w:numId w:val="2"/>
      </w:numPr>
      <w:suppressAutoHyphens/>
      <w:spacing w:after="170" w:line="360" w:lineRule="auto"/>
      <w:outlineLvl w:val="1"/>
    </w:pPr>
    <w:rPr>
      <w:rFonts w:ascii="Arial" w:eastAsia="Times New Roman" w:hAnsi="Arial"/>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2B09"/>
    <w:rPr>
      <w:rFonts w:ascii="Arial" w:eastAsia="Times New Roman" w:hAnsi="Arial" w:cs="Times New Roman"/>
      <w:b/>
      <w:caps/>
      <w:kern w:val="1"/>
      <w:sz w:val="24"/>
      <w:szCs w:val="20"/>
      <w:lang w:val="es-ES" w:eastAsia="ar-SA"/>
    </w:rPr>
  </w:style>
  <w:style w:type="character" w:customStyle="1" w:styleId="Ttulo2Car">
    <w:name w:val="Título 2 Car"/>
    <w:basedOn w:val="Fuentedeprrafopredeter"/>
    <w:link w:val="Ttulo2"/>
    <w:rsid w:val="00042B09"/>
    <w:rPr>
      <w:rFonts w:ascii="Arial" w:eastAsia="Times New Roman" w:hAnsi="Arial" w:cs="Times New Roman"/>
      <w:b/>
      <w:kern w:val="1"/>
      <w:sz w:val="24"/>
      <w:szCs w:val="20"/>
      <w:lang w:val="es-ES" w:eastAsia="ar-SA"/>
    </w:rPr>
  </w:style>
  <w:style w:type="paragraph" w:styleId="Textoindependiente">
    <w:name w:val="Body Text"/>
    <w:basedOn w:val="Normal"/>
    <w:link w:val="TextoindependienteCar"/>
    <w:rsid w:val="00042B09"/>
    <w:pPr>
      <w:suppressAutoHyphens/>
      <w:spacing w:after="240" w:line="240" w:lineRule="atLeast"/>
      <w:jc w:val="both"/>
    </w:pPr>
    <w:rPr>
      <w:rFonts w:ascii="Arial" w:eastAsia="Times New Roman" w:hAnsi="Arial"/>
      <w:kern w:val="1"/>
      <w:sz w:val="24"/>
      <w:szCs w:val="20"/>
      <w:lang w:val="es-ES" w:eastAsia="ar-SA"/>
    </w:rPr>
  </w:style>
  <w:style w:type="character" w:customStyle="1" w:styleId="TextoindependienteCar">
    <w:name w:val="Texto independiente Car"/>
    <w:basedOn w:val="Fuentedeprrafopredeter"/>
    <w:link w:val="Textoindependiente"/>
    <w:rsid w:val="00042B09"/>
    <w:rPr>
      <w:rFonts w:ascii="Arial" w:eastAsia="Times New Roman" w:hAnsi="Arial" w:cs="Times New Roman"/>
      <w:kern w:val="1"/>
      <w:sz w:val="24"/>
      <w:szCs w:val="20"/>
      <w:lang w:val="es-ES" w:eastAsia="ar-SA"/>
    </w:rPr>
  </w:style>
  <w:style w:type="paragraph" w:styleId="Subttulo">
    <w:name w:val="Subtitle"/>
    <w:basedOn w:val="Normal"/>
    <w:next w:val="Textoindependiente"/>
    <w:link w:val="SubttuloCar"/>
    <w:qFormat/>
    <w:rsid w:val="00042B09"/>
    <w:pPr>
      <w:suppressAutoHyphens/>
      <w:spacing w:after="0" w:line="360" w:lineRule="auto"/>
      <w:jc w:val="both"/>
    </w:pPr>
    <w:rPr>
      <w:rFonts w:ascii="Bookman Old Style" w:eastAsia="Times New Roman" w:hAnsi="Bookman Old Style"/>
      <w:b/>
      <w:kern w:val="1"/>
      <w:sz w:val="24"/>
      <w:szCs w:val="20"/>
      <w:lang w:val="es-ES" w:eastAsia="ar-SA"/>
    </w:rPr>
  </w:style>
  <w:style w:type="character" w:customStyle="1" w:styleId="SubttuloCar">
    <w:name w:val="Subtítulo Car"/>
    <w:basedOn w:val="Fuentedeprrafopredeter"/>
    <w:link w:val="Subttulo"/>
    <w:rsid w:val="00042B09"/>
    <w:rPr>
      <w:rFonts w:ascii="Bookman Old Style" w:eastAsia="Times New Roman" w:hAnsi="Bookman Old Style" w:cs="Times New Roman"/>
      <w:b/>
      <w:kern w:val="1"/>
      <w:sz w:val="24"/>
      <w:szCs w:val="20"/>
      <w:lang w:val="es-ES" w:eastAsia="ar-SA"/>
    </w:rPr>
  </w:style>
  <w:style w:type="paragraph" w:customStyle="1" w:styleId="Textoindependiente21">
    <w:name w:val="Texto independiente 21"/>
    <w:basedOn w:val="Normal"/>
    <w:rsid w:val="00042B09"/>
    <w:pPr>
      <w:suppressAutoHyphens/>
      <w:spacing w:after="0" w:line="360" w:lineRule="auto"/>
    </w:pPr>
    <w:rPr>
      <w:rFonts w:ascii="Bookman Old Style" w:eastAsia="Times New Roman" w:hAnsi="Bookman Old Style"/>
      <w:kern w:val="1"/>
      <w:sz w:val="24"/>
      <w:szCs w:val="20"/>
      <w:lang w:val="es-ES" w:eastAsia="ar-SA"/>
    </w:rPr>
  </w:style>
  <w:style w:type="paragraph" w:styleId="Piedepgina">
    <w:name w:val="footer"/>
    <w:basedOn w:val="Normal"/>
    <w:link w:val="PiedepginaCar"/>
    <w:rsid w:val="00042B09"/>
    <w:pPr>
      <w:suppressLineNumbers/>
      <w:tabs>
        <w:tab w:val="center" w:pos="4819"/>
        <w:tab w:val="right" w:pos="9638"/>
      </w:tabs>
      <w:suppressAutoHyphens/>
      <w:spacing w:after="0" w:line="240" w:lineRule="auto"/>
    </w:pPr>
    <w:rPr>
      <w:rFonts w:ascii="Arial" w:eastAsia="Times New Roman" w:hAnsi="Arial"/>
      <w:sz w:val="24"/>
      <w:szCs w:val="24"/>
      <w:lang w:val="es-ES" w:eastAsia="ar-SA"/>
    </w:rPr>
  </w:style>
  <w:style w:type="character" w:customStyle="1" w:styleId="PiedepginaCar">
    <w:name w:val="Pie de página Car"/>
    <w:basedOn w:val="Fuentedeprrafopredeter"/>
    <w:link w:val="Piedepgina"/>
    <w:rsid w:val="00042B09"/>
    <w:rPr>
      <w:rFonts w:ascii="Arial" w:eastAsia="Times New Roman" w:hAnsi="Arial"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30"/>
    <w:rPr>
      <w:rFonts w:ascii="Calibri" w:eastAsia="Calibri" w:hAnsi="Calibri" w:cs="Times New Roman"/>
    </w:rPr>
  </w:style>
  <w:style w:type="paragraph" w:styleId="Ttulo1">
    <w:name w:val="heading 1"/>
    <w:basedOn w:val="Normal"/>
    <w:next w:val="Normal"/>
    <w:link w:val="Ttulo1Car"/>
    <w:qFormat/>
    <w:rsid w:val="00042B09"/>
    <w:pPr>
      <w:numPr>
        <w:numId w:val="1"/>
      </w:numPr>
      <w:suppressAutoHyphens/>
      <w:spacing w:after="180" w:line="360" w:lineRule="auto"/>
      <w:outlineLvl w:val="0"/>
    </w:pPr>
    <w:rPr>
      <w:rFonts w:ascii="Arial" w:eastAsia="Times New Roman" w:hAnsi="Arial"/>
      <w:b/>
      <w:caps/>
      <w:kern w:val="1"/>
      <w:sz w:val="24"/>
      <w:szCs w:val="20"/>
      <w:lang w:val="es-ES" w:eastAsia="ar-SA"/>
    </w:rPr>
  </w:style>
  <w:style w:type="paragraph" w:styleId="Ttulo2">
    <w:name w:val="heading 2"/>
    <w:basedOn w:val="Normal"/>
    <w:next w:val="Textoindependiente"/>
    <w:link w:val="Ttulo2Car"/>
    <w:qFormat/>
    <w:rsid w:val="00042B09"/>
    <w:pPr>
      <w:numPr>
        <w:ilvl w:val="1"/>
        <w:numId w:val="2"/>
      </w:numPr>
      <w:suppressAutoHyphens/>
      <w:spacing w:after="170" w:line="360" w:lineRule="auto"/>
      <w:outlineLvl w:val="1"/>
    </w:pPr>
    <w:rPr>
      <w:rFonts w:ascii="Arial" w:eastAsia="Times New Roman" w:hAnsi="Arial"/>
      <w:b/>
      <w:kern w:val="1"/>
      <w:sz w:val="24"/>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42B09"/>
    <w:rPr>
      <w:rFonts w:ascii="Arial" w:eastAsia="Times New Roman" w:hAnsi="Arial" w:cs="Times New Roman"/>
      <w:b/>
      <w:caps/>
      <w:kern w:val="1"/>
      <w:sz w:val="24"/>
      <w:szCs w:val="20"/>
      <w:lang w:val="es-ES" w:eastAsia="ar-SA"/>
    </w:rPr>
  </w:style>
  <w:style w:type="character" w:customStyle="1" w:styleId="Ttulo2Car">
    <w:name w:val="Título 2 Car"/>
    <w:basedOn w:val="Fuentedeprrafopredeter"/>
    <w:link w:val="Ttulo2"/>
    <w:rsid w:val="00042B09"/>
    <w:rPr>
      <w:rFonts w:ascii="Arial" w:eastAsia="Times New Roman" w:hAnsi="Arial" w:cs="Times New Roman"/>
      <w:b/>
      <w:kern w:val="1"/>
      <w:sz w:val="24"/>
      <w:szCs w:val="20"/>
      <w:lang w:val="es-ES" w:eastAsia="ar-SA"/>
    </w:rPr>
  </w:style>
  <w:style w:type="paragraph" w:styleId="Textoindependiente">
    <w:name w:val="Body Text"/>
    <w:basedOn w:val="Normal"/>
    <w:link w:val="TextoindependienteCar"/>
    <w:rsid w:val="00042B09"/>
    <w:pPr>
      <w:suppressAutoHyphens/>
      <w:spacing w:after="240" w:line="240" w:lineRule="atLeast"/>
      <w:jc w:val="both"/>
    </w:pPr>
    <w:rPr>
      <w:rFonts w:ascii="Arial" w:eastAsia="Times New Roman" w:hAnsi="Arial"/>
      <w:kern w:val="1"/>
      <w:sz w:val="24"/>
      <w:szCs w:val="20"/>
      <w:lang w:val="es-ES" w:eastAsia="ar-SA"/>
    </w:rPr>
  </w:style>
  <w:style w:type="character" w:customStyle="1" w:styleId="TextoindependienteCar">
    <w:name w:val="Texto independiente Car"/>
    <w:basedOn w:val="Fuentedeprrafopredeter"/>
    <w:link w:val="Textoindependiente"/>
    <w:rsid w:val="00042B09"/>
    <w:rPr>
      <w:rFonts w:ascii="Arial" w:eastAsia="Times New Roman" w:hAnsi="Arial" w:cs="Times New Roman"/>
      <w:kern w:val="1"/>
      <w:sz w:val="24"/>
      <w:szCs w:val="20"/>
      <w:lang w:val="es-ES" w:eastAsia="ar-SA"/>
    </w:rPr>
  </w:style>
  <w:style w:type="paragraph" w:styleId="Subttulo">
    <w:name w:val="Subtitle"/>
    <w:basedOn w:val="Normal"/>
    <w:next w:val="Textoindependiente"/>
    <w:link w:val="SubttuloCar"/>
    <w:qFormat/>
    <w:rsid w:val="00042B09"/>
    <w:pPr>
      <w:suppressAutoHyphens/>
      <w:spacing w:after="0" w:line="360" w:lineRule="auto"/>
      <w:jc w:val="both"/>
    </w:pPr>
    <w:rPr>
      <w:rFonts w:ascii="Bookman Old Style" w:eastAsia="Times New Roman" w:hAnsi="Bookman Old Style"/>
      <w:b/>
      <w:kern w:val="1"/>
      <w:sz w:val="24"/>
      <w:szCs w:val="20"/>
      <w:lang w:val="es-ES" w:eastAsia="ar-SA"/>
    </w:rPr>
  </w:style>
  <w:style w:type="character" w:customStyle="1" w:styleId="SubttuloCar">
    <w:name w:val="Subtítulo Car"/>
    <w:basedOn w:val="Fuentedeprrafopredeter"/>
    <w:link w:val="Subttulo"/>
    <w:rsid w:val="00042B09"/>
    <w:rPr>
      <w:rFonts w:ascii="Bookman Old Style" w:eastAsia="Times New Roman" w:hAnsi="Bookman Old Style" w:cs="Times New Roman"/>
      <w:b/>
      <w:kern w:val="1"/>
      <w:sz w:val="24"/>
      <w:szCs w:val="20"/>
      <w:lang w:val="es-ES" w:eastAsia="ar-SA"/>
    </w:rPr>
  </w:style>
  <w:style w:type="paragraph" w:customStyle="1" w:styleId="Textoindependiente21">
    <w:name w:val="Texto independiente 21"/>
    <w:basedOn w:val="Normal"/>
    <w:rsid w:val="00042B09"/>
    <w:pPr>
      <w:suppressAutoHyphens/>
      <w:spacing w:after="0" w:line="360" w:lineRule="auto"/>
    </w:pPr>
    <w:rPr>
      <w:rFonts w:ascii="Bookman Old Style" w:eastAsia="Times New Roman" w:hAnsi="Bookman Old Style"/>
      <w:kern w:val="1"/>
      <w:sz w:val="24"/>
      <w:szCs w:val="20"/>
      <w:lang w:val="es-ES" w:eastAsia="ar-SA"/>
    </w:rPr>
  </w:style>
  <w:style w:type="paragraph" w:styleId="Piedepgina">
    <w:name w:val="footer"/>
    <w:basedOn w:val="Normal"/>
    <w:link w:val="PiedepginaCar"/>
    <w:rsid w:val="00042B09"/>
    <w:pPr>
      <w:suppressLineNumbers/>
      <w:tabs>
        <w:tab w:val="center" w:pos="4819"/>
        <w:tab w:val="right" w:pos="9638"/>
      </w:tabs>
      <w:suppressAutoHyphens/>
      <w:spacing w:after="0" w:line="240" w:lineRule="auto"/>
    </w:pPr>
    <w:rPr>
      <w:rFonts w:ascii="Arial" w:eastAsia="Times New Roman" w:hAnsi="Arial"/>
      <w:sz w:val="24"/>
      <w:szCs w:val="24"/>
      <w:lang w:val="es-ES" w:eastAsia="ar-SA"/>
    </w:rPr>
  </w:style>
  <w:style w:type="character" w:customStyle="1" w:styleId="PiedepginaCar">
    <w:name w:val="Pie de página Car"/>
    <w:basedOn w:val="Fuentedeprrafopredeter"/>
    <w:link w:val="Piedepgina"/>
    <w:rsid w:val="00042B09"/>
    <w:rPr>
      <w:rFonts w:ascii="Arial" w:eastAsia="Times New Roman" w:hAnsi="Arial"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927A6-6650-4F1B-8499-4A411816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5988</Words>
  <Characters>32939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Savecky</dc:creator>
  <cp:keywords/>
  <dc:description/>
  <cp:lastModifiedBy> </cp:lastModifiedBy>
  <cp:revision>5</cp:revision>
  <cp:lastPrinted>2015-12-28T12:55:00Z</cp:lastPrinted>
  <dcterms:created xsi:type="dcterms:W3CDTF">2015-12-28T12:57:00Z</dcterms:created>
  <dcterms:modified xsi:type="dcterms:W3CDTF">2016-01-19T14:49:00Z</dcterms:modified>
</cp:coreProperties>
</file>