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5F439" w14:textId="77777777" w:rsidR="008A268F" w:rsidRPr="008A268F" w:rsidRDefault="008A268F" w:rsidP="008A268F">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8A268F">
        <w:rPr>
          <w:rFonts w:ascii="Arial" w:hAnsi="Arial" w:cs="Arial"/>
          <w:b/>
          <w:sz w:val="24"/>
          <w:szCs w:val="24"/>
          <w:lang w:val="es-ES_tradnl"/>
        </w:rPr>
        <w:t>RESOLUCION ADOPTADA POR EL</w:t>
      </w:r>
    </w:p>
    <w:p w14:paraId="1647101E" w14:textId="77777777" w:rsidR="008A268F" w:rsidRPr="008A268F" w:rsidRDefault="008A268F" w:rsidP="008A268F">
      <w:pPr>
        <w:tabs>
          <w:tab w:val="left" w:pos="-720"/>
        </w:tabs>
        <w:suppressAutoHyphens/>
        <w:spacing w:after="0" w:line="240" w:lineRule="auto"/>
        <w:jc w:val="center"/>
        <w:rPr>
          <w:rFonts w:ascii="Arial" w:hAnsi="Arial" w:cs="Arial"/>
          <w:b/>
          <w:sz w:val="24"/>
          <w:szCs w:val="24"/>
          <w:lang w:val="es-ES_tradnl"/>
        </w:rPr>
      </w:pPr>
    </w:p>
    <w:p w14:paraId="3F420778" w14:textId="77777777" w:rsidR="008A268F" w:rsidRPr="008A268F" w:rsidRDefault="008A268F" w:rsidP="008A268F">
      <w:pPr>
        <w:tabs>
          <w:tab w:val="center" w:pos="4253"/>
        </w:tabs>
        <w:suppressAutoHyphens/>
        <w:spacing w:after="0" w:line="240" w:lineRule="auto"/>
        <w:jc w:val="center"/>
        <w:rPr>
          <w:rFonts w:ascii="Arial" w:hAnsi="Arial" w:cs="Arial"/>
          <w:b/>
          <w:sz w:val="24"/>
          <w:szCs w:val="24"/>
          <w:lang w:val="es-ES_tradnl"/>
        </w:rPr>
      </w:pPr>
      <w:r w:rsidRPr="008A268F">
        <w:rPr>
          <w:rFonts w:ascii="Arial" w:hAnsi="Arial" w:cs="Arial"/>
          <w:b/>
          <w:sz w:val="24"/>
          <w:szCs w:val="24"/>
          <w:lang w:val="es-ES_tradnl"/>
        </w:rPr>
        <w:t>TRIBUNAL DE CUENTAS</w:t>
      </w:r>
    </w:p>
    <w:p w14:paraId="632565C0" w14:textId="77777777" w:rsidR="008A268F" w:rsidRPr="008A268F" w:rsidRDefault="008A268F" w:rsidP="008A268F">
      <w:pPr>
        <w:tabs>
          <w:tab w:val="left" w:pos="-720"/>
        </w:tabs>
        <w:suppressAutoHyphens/>
        <w:spacing w:after="0" w:line="240" w:lineRule="auto"/>
        <w:jc w:val="center"/>
        <w:rPr>
          <w:rFonts w:ascii="Arial" w:hAnsi="Arial" w:cs="Arial"/>
          <w:b/>
          <w:sz w:val="24"/>
          <w:szCs w:val="24"/>
          <w:lang w:val="es-ES_tradnl"/>
        </w:rPr>
      </w:pPr>
    </w:p>
    <w:p w14:paraId="2CBD6AD1" w14:textId="77777777" w:rsidR="008A268F" w:rsidRPr="008A268F" w:rsidRDefault="008A268F" w:rsidP="008A268F">
      <w:pPr>
        <w:tabs>
          <w:tab w:val="center" w:pos="4253"/>
        </w:tabs>
        <w:suppressAutoHyphens/>
        <w:spacing w:after="0" w:line="240" w:lineRule="auto"/>
        <w:jc w:val="center"/>
        <w:rPr>
          <w:rFonts w:ascii="Arial" w:hAnsi="Arial" w:cs="Arial"/>
          <w:b/>
          <w:sz w:val="24"/>
          <w:szCs w:val="24"/>
          <w:lang w:val="es-ES_tradnl"/>
        </w:rPr>
      </w:pPr>
      <w:r w:rsidRPr="008A268F">
        <w:rPr>
          <w:rFonts w:ascii="Arial" w:hAnsi="Arial" w:cs="Arial"/>
          <w:b/>
          <w:sz w:val="24"/>
          <w:szCs w:val="24"/>
          <w:lang w:val="es-ES_tradnl"/>
        </w:rPr>
        <w:t>EN SESION DE FECHA 16 DE DICIEMBRE DE 2015</w:t>
      </w:r>
    </w:p>
    <w:p w14:paraId="79B79543" w14:textId="77777777" w:rsidR="008A268F" w:rsidRPr="008A268F" w:rsidRDefault="008A268F" w:rsidP="008A268F">
      <w:pPr>
        <w:tabs>
          <w:tab w:val="center" w:pos="4253"/>
        </w:tabs>
        <w:suppressAutoHyphens/>
        <w:spacing w:after="0" w:line="240" w:lineRule="auto"/>
        <w:jc w:val="center"/>
        <w:rPr>
          <w:rFonts w:ascii="Arial" w:hAnsi="Arial" w:cs="Arial"/>
          <w:b/>
          <w:sz w:val="24"/>
          <w:szCs w:val="24"/>
          <w:lang w:val="es-ES_tradnl"/>
        </w:rPr>
      </w:pPr>
    </w:p>
    <w:p w14:paraId="12E6142B" w14:textId="77777777" w:rsidR="008A268F" w:rsidRPr="00144F45" w:rsidRDefault="008A268F" w:rsidP="008A268F">
      <w:pPr>
        <w:tabs>
          <w:tab w:val="center" w:pos="4253"/>
        </w:tabs>
        <w:suppressAutoHyphens/>
        <w:spacing w:after="0" w:line="240" w:lineRule="auto"/>
        <w:jc w:val="center"/>
        <w:rPr>
          <w:rFonts w:ascii="Arial" w:hAnsi="Arial" w:cs="Arial"/>
          <w:b/>
          <w:sz w:val="24"/>
          <w:szCs w:val="24"/>
          <w:lang w:val="es-UY"/>
        </w:rPr>
      </w:pPr>
      <w:r w:rsidRPr="00144F45">
        <w:rPr>
          <w:rFonts w:ascii="Arial" w:hAnsi="Arial" w:cs="Arial"/>
          <w:b/>
          <w:sz w:val="24"/>
          <w:szCs w:val="24"/>
          <w:lang w:val="es-UY"/>
        </w:rPr>
        <w:t xml:space="preserve">(E. E. Nº 2015-17-1-0007436, </w:t>
      </w:r>
      <w:proofErr w:type="spellStart"/>
      <w:r w:rsidRPr="00144F45">
        <w:rPr>
          <w:rFonts w:ascii="Arial" w:hAnsi="Arial" w:cs="Arial"/>
          <w:b/>
          <w:sz w:val="24"/>
          <w:szCs w:val="24"/>
          <w:lang w:val="es-UY"/>
        </w:rPr>
        <w:t>Ent</w:t>
      </w:r>
      <w:proofErr w:type="spellEnd"/>
      <w:r w:rsidRPr="00144F45">
        <w:rPr>
          <w:rFonts w:ascii="Arial" w:hAnsi="Arial" w:cs="Arial"/>
          <w:b/>
          <w:sz w:val="24"/>
          <w:szCs w:val="24"/>
          <w:lang w:val="es-UY"/>
        </w:rPr>
        <w:t>. N° 5864/15, 6361/15, 6621/15 y 6731/15)</w:t>
      </w:r>
    </w:p>
    <w:p w14:paraId="1FA06D98" w14:textId="77777777" w:rsidR="008A268F" w:rsidRDefault="008A268F" w:rsidP="008A268F">
      <w:pPr>
        <w:tabs>
          <w:tab w:val="center" w:pos="4253"/>
        </w:tabs>
        <w:suppressAutoHyphens/>
        <w:spacing w:after="0" w:line="240" w:lineRule="auto"/>
        <w:jc w:val="center"/>
        <w:rPr>
          <w:rFonts w:ascii="Arial" w:hAnsi="Arial" w:cs="Arial"/>
          <w:spacing w:val="-3"/>
          <w:sz w:val="24"/>
          <w:szCs w:val="24"/>
          <w:lang w:val="es-UY"/>
        </w:rPr>
      </w:pPr>
    </w:p>
    <w:p w14:paraId="79016019" w14:textId="77777777" w:rsidR="00937F8E" w:rsidRPr="00144F45" w:rsidRDefault="00937F8E" w:rsidP="008A268F">
      <w:pPr>
        <w:tabs>
          <w:tab w:val="center" w:pos="4253"/>
        </w:tabs>
        <w:suppressAutoHyphens/>
        <w:spacing w:after="0" w:line="240" w:lineRule="auto"/>
        <w:jc w:val="center"/>
        <w:rPr>
          <w:rFonts w:ascii="Arial" w:hAnsi="Arial" w:cs="Arial"/>
          <w:spacing w:val="-3"/>
          <w:sz w:val="24"/>
          <w:szCs w:val="24"/>
          <w:lang w:val="es-UY"/>
        </w:rPr>
      </w:pPr>
    </w:p>
    <w:p w14:paraId="1E877B73" w14:textId="77777777" w:rsidR="00046E46" w:rsidRDefault="00046E46" w:rsidP="00C403FF">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both"/>
        <w:rPr>
          <w:rFonts w:ascii="Arial" w:hAnsi="Arial" w:cs="Arial"/>
          <w:b/>
          <w:bCs/>
        </w:rPr>
      </w:pPr>
    </w:p>
    <w:p w14:paraId="4E97B69B" w14:textId="092D0813" w:rsidR="00046E46" w:rsidRPr="00C403FF" w:rsidRDefault="00046E46" w:rsidP="00C403FF">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ind w:firstLine="851"/>
        <w:jc w:val="both"/>
        <w:rPr>
          <w:rFonts w:ascii="Arial" w:hAnsi="Arial" w:cs="Arial"/>
          <w:sz w:val="24"/>
          <w:szCs w:val="24"/>
        </w:rPr>
      </w:pPr>
      <w:r w:rsidRPr="00C403FF">
        <w:rPr>
          <w:rFonts w:ascii="Arial" w:hAnsi="Arial" w:cs="Arial"/>
          <w:b/>
          <w:bCs/>
          <w:sz w:val="24"/>
          <w:szCs w:val="24"/>
        </w:rPr>
        <w:t>VISTO Y CONSIDERANDO</w:t>
      </w:r>
      <w:r w:rsidRPr="00C403FF">
        <w:rPr>
          <w:rFonts w:ascii="Arial" w:hAnsi="Arial" w:cs="Arial"/>
          <w:b/>
          <w:sz w:val="24"/>
          <w:szCs w:val="24"/>
        </w:rPr>
        <w:t>:</w:t>
      </w:r>
      <w:r w:rsidRPr="00C403FF">
        <w:rPr>
          <w:rFonts w:ascii="Arial" w:hAnsi="Arial" w:cs="Arial"/>
          <w:sz w:val="24"/>
          <w:szCs w:val="24"/>
        </w:rPr>
        <w:t xml:space="preserve"> la solicitud de informe de la Junta Departamental de Montevideo</w:t>
      </w:r>
      <w:r w:rsidR="000E2E6F" w:rsidRPr="00C403FF">
        <w:rPr>
          <w:rFonts w:ascii="Arial" w:hAnsi="Arial" w:cs="Arial"/>
          <w:sz w:val="24"/>
          <w:szCs w:val="24"/>
        </w:rPr>
        <w:t xml:space="preserve">, en cumplimiento de lo dispuesto por el </w:t>
      </w:r>
      <w:r w:rsidR="00C403FF">
        <w:rPr>
          <w:rFonts w:ascii="Arial" w:hAnsi="Arial" w:cs="Arial"/>
          <w:sz w:val="24"/>
          <w:szCs w:val="24"/>
        </w:rPr>
        <w:t>I</w:t>
      </w:r>
      <w:r w:rsidR="000E2E6F" w:rsidRPr="00C403FF">
        <w:rPr>
          <w:rFonts w:ascii="Arial" w:hAnsi="Arial" w:cs="Arial"/>
          <w:sz w:val="24"/>
          <w:szCs w:val="24"/>
        </w:rPr>
        <w:t>nciso 2 del Artículo 301 de la Constitución de la República,</w:t>
      </w:r>
      <w:r w:rsidRPr="00C403FF">
        <w:rPr>
          <w:rFonts w:ascii="Arial" w:hAnsi="Arial" w:cs="Arial"/>
          <w:sz w:val="24"/>
          <w:szCs w:val="24"/>
        </w:rPr>
        <w:t xml:space="preserve"> mediante Notas Nos. 2451, 2475 y 2480, relacionadas con el proyecto de decreto remitido por la Intendencia de Montevideo, por el que se crea el denominado “Fondo Capital” para el financiamiento de determinadas obras a través de un Fideic</w:t>
      </w:r>
      <w:r w:rsidR="000E2E6F" w:rsidRPr="00C403FF">
        <w:rPr>
          <w:rFonts w:ascii="Arial" w:hAnsi="Arial" w:cs="Arial"/>
          <w:sz w:val="24"/>
          <w:szCs w:val="24"/>
        </w:rPr>
        <w:t>omiso;</w:t>
      </w:r>
    </w:p>
    <w:p w14:paraId="2D452B41" w14:textId="158778AB" w:rsidR="00046E46" w:rsidRPr="00C403FF" w:rsidRDefault="00046E46" w:rsidP="00937F8E">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ind w:firstLine="851"/>
        <w:jc w:val="both"/>
        <w:rPr>
          <w:rFonts w:ascii="Arial" w:hAnsi="Arial" w:cs="Arial"/>
          <w:sz w:val="24"/>
          <w:szCs w:val="24"/>
        </w:rPr>
      </w:pPr>
      <w:r w:rsidRPr="00C403FF">
        <w:rPr>
          <w:rFonts w:ascii="Arial" w:hAnsi="Arial" w:cs="Arial"/>
          <w:b/>
          <w:bCs/>
          <w:sz w:val="24"/>
          <w:szCs w:val="24"/>
        </w:rPr>
        <w:t>ATENTO</w:t>
      </w:r>
      <w:r w:rsidRPr="00C403FF">
        <w:rPr>
          <w:rFonts w:ascii="Arial" w:hAnsi="Arial" w:cs="Arial"/>
          <w:b/>
          <w:sz w:val="24"/>
          <w:szCs w:val="24"/>
        </w:rPr>
        <w:t xml:space="preserve">: </w:t>
      </w:r>
      <w:r w:rsidRPr="00C403FF">
        <w:rPr>
          <w:rFonts w:ascii="Arial" w:hAnsi="Arial" w:cs="Arial"/>
          <w:sz w:val="24"/>
          <w:szCs w:val="24"/>
        </w:rPr>
        <w:t>a lo establecido precedentemente;</w:t>
      </w:r>
    </w:p>
    <w:p w14:paraId="51993960" w14:textId="77777777" w:rsidR="00046E46" w:rsidRPr="00C403FF" w:rsidRDefault="00046E46" w:rsidP="00C403FF">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center"/>
        <w:rPr>
          <w:rFonts w:ascii="Arial" w:hAnsi="Arial" w:cs="Arial"/>
          <w:b/>
          <w:bCs/>
          <w:sz w:val="24"/>
          <w:szCs w:val="24"/>
        </w:rPr>
      </w:pPr>
      <w:r w:rsidRPr="00C403FF">
        <w:rPr>
          <w:rFonts w:ascii="Arial" w:hAnsi="Arial" w:cs="Arial"/>
          <w:b/>
          <w:bCs/>
          <w:sz w:val="24"/>
          <w:szCs w:val="24"/>
        </w:rPr>
        <w:t>EL TRIBUNAL ACUERDA</w:t>
      </w:r>
    </w:p>
    <w:p w14:paraId="7E3AECC4" w14:textId="4EA31F50" w:rsidR="00046E46" w:rsidRPr="00C403FF" w:rsidRDefault="00C403FF" w:rsidP="00C403FF">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both"/>
        <w:rPr>
          <w:rFonts w:ascii="Arial" w:hAnsi="Arial" w:cs="Arial"/>
          <w:sz w:val="24"/>
          <w:szCs w:val="24"/>
        </w:rPr>
      </w:pPr>
      <w:r w:rsidRPr="00C403FF">
        <w:rPr>
          <w:rFonts w:ascii="Arial" w:hAnsi="Arial" w:cs="Arial"/>
          <w:b/>
          <w:sz w:val="24"/>
          <w:szCs w:val="24"/>
        </w:rPr>
        <w:t>1)</w:t>
      </w:r>
      <w:r>
        <w:rPr>
          <w:rFonts w:ascii="Arial" w:hAnsi="Arial" w:cs="Arial"/>
          <w:sz w:val="24"/>
          <w:szCs w:val="24"/>
        </w:rPr>
        <w:t xml:space="preserve"> </w:t>
      </w:r>
      <w:r w:rsidR="00046E46" w:rsidRPr="00C403FF">
        <w:rPr>
          <w:rFonts w:ascii="Arial" w:hAnsi="Arial" w:cs="Arial"/>
          <w:sz w:val="24"/>
          <w:szCs w:val="24"/>
        </w:rPr>
        <w:t>Ap</w:t>
      </w:r>
      <w:r>
        <w:rPr>
          <w:rFonts w:ascii="Arial" w:hAnsi="Arial" w:cs="Arial"/>
          <w:sz w:val="24"/>
          <w:szCs w:val="24"/>
        </w:rPr>
        <w:t>robar el informe que se adjunta;</w:t>
      </w:r>
    </w:p>
    <w:p w14:paraId="359A13B0" w14:textId="62F51CAC" w:rsidR="00046E46" w:rsidRPr="00C403FF" w:rsidRDefault="00C403FF" w:rsidP="00C403FF">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both"/>
        <w:rPr>
          <w:rFonts w:ascii="Arial" w:hAnsi="Arial" w:cs="Arial"/>
          <w:sz w:val="24"/>
          <w:szCs w:val="24"/>
        </w:rPr>
      </w:pPr>
      <w:r w:rsidRPr="00C403FF">
        <w:rPr>
          <w:rFonts w:ascii="Arial" w:hAnsi="Arial" w:cs="Arial"/>
          <w:b/>
          <w:sz w:val="24"/>
          <w:szCs w:val="24"/>
        </w:rPr>
        <w:t>2)</w:t>
      </w:r>
      <w:r>
        <w:rPr>
          <w:rFonts w:ascii="Arial" w:hAnsi="Arial" w:cs="Arial"/>
          <w:sz w:val="24"/>
          <w:szCs w:val="24"/>
        </w:rPr>
        <w:t xml:space="preserve"> </w:t>
      </w:r>
      <w:r w:rsidR="00046E46" w:rsidRPr="00C403FF">
        <w:rPr>
          <w:rFonts w:ascii="Arial" w:hAnsi="Arial" w:cs="Arial"/>
          <w:sz w:val="24"/>
          <w:szCs w:val="24"/>
        </w:rPr>
        <w:t>Comunicar a la Junta Departamental de Montevideo.</w:t>
      </w:r>
    </w:p>
    <w:p w14:paraId="37C688FF" w14:textId="77777777" w:rsidR="00D879B4" w:rsidRDefault="00D879B4">
      <w:pPr>
        <w:rPr>
          <w:rFonts w:ascii="Times New Roman" w:hAnsi="Times New Roman" w:cs="Times New Roman"/>
        </w:rPr>
      </w:pPr>
    </w:p>
    <w:p w14:paraId="6D4C437B" w14:textId="77777777" w:rsidR="00937F8E" w:rsidRDefault="00937F8E">
      <w:pPr>
        <w:rPr>
          <w:rFonts w:ascii="Times New Roman" w:hAnsi="Times New Roman" w:cs="Times New Roman"/>
        </w:rPr>
      </w:pPr>
    </w:p>
    <w:p w14:paraId="15DA1818" w14:textId="77777777" w:rsidR="00D879B4" w:rsidRDefault="00D879B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INFORME</w:t>
      </w:r>
    </w:p>
    <w:p w14:paraId="6ADAFE7F" w14:textId="77777777" w:rsidR="00D879B4" w:rsidRDefault="00D879B4">
      <w:pPr>
        <w:autoSpaceDE w:val="0"/>
        <w:autoSpaceDN w:val="0"/>
        <w:adjustRightInd w:val="0"/>
        <w:spacing w:after="0" w:line="240" w:lineRule="auto"/>
        <w:jc w:val="center"/>
        <w:rPr>
          <w:rFonts w:ascii="Arial" w:hAnsi="Arial" w:cs="Arial"/>
          <w:b/>
          <w:bCs/>
          <w:sz w:val="24"/>
          <w:szCs w:val="24"/>
        </w:rPr>
      </w:pPr>
    </w:p>
    <w:p w14:paraId="6E624DAA" w14:textId="77777777" w:rsidR="00D879B4" w:rsidRDefault="00D879B4">
      <w:pPr>
        <w:autoSpaceDE w:val="0"/>
        <w:autoSpaceDN w:val="0"/>
        <w:adjustRightInd w:val="0"/>
        <w:spacing w:after="0" w:line="240" w:lineRule="auto"/>
        <w:rPr>
          <w:rFonts w:ascii="LiberationSans-Bold" w:hAnsi="LiberationSans-Bold" w:cs="LiberationSans-Bold"/>
          <w:b/>
          <w:bCs/>
          <w:sz w:val="24"/>
          <w:szCs w:val="24"/>
        </w:rPr>
      </w:pPr>
    </w:p>
    <w:p w14:paraId="4C4A5297" w14:textId="77777777" w:rsidR="00D879B4" w:rsidRDefault="00D879B4" w:rsidP="00894DBA">
      <w:pPr>
        <w:autoSpaceDE w:val="0"/>
        <w:autoSpaceDN w:val="0"/>
        <w:adjustRightInd w:val="0"/>
        <w:spacing w:after="0" w:line="240" w:lineRule="auto"/>
        <w:ind w:left="2124" w:hanging="2124"/>
        <w:rPr>
          <w:rFonts w:ascii="LiberationSans-Bold" w:hAnsi="LiberationSans-Bold" w:cs="LiberationSans-Bold"/>
          <w:b/>
          <w:bCs/>
          <w:sz w:val="24"/>
          <w:szCs w:val="24"/>
        </w:rPr>
      </w:pPr>
      <w:r>
        <w:rPr>
          <w:rFonts w:ascii="LiberationSans-Bold" w:hAnsi="LiberationSans-Bold" w:cs="LiberationSans-Bold"/>
          <w:b/>
          <w:bCs/>
          <w:sz w:val="24"/>
          <w:szCs w:val="24"/>
        </w:rPr>
        <w:t>1) OBJETO</w:t>
      </w:r>
    </w:p>
    <w:p w14:paraId="5A4F50FB" w14:textId="77777777" w:rsidR="00D879B4" w:rsidRDefault="00D879B4" w:rsidP="00894DBA">
      <w:pPr>
        <w:autoSpaceDE w:val="0"/>
        <w:autoSpaceDN w:val="0"/>
        <w:adjustRightInd w:val="0"/>
        <w:spacing w:after="0" w:line="360" w:lineRule="auto"/>
        <w:ind w:firstLine="142"/>
        <w:jc w:val="both"/>
        <w:rPr>
          <w:rFonts w:ascii="LiberationSans-Regular" w:hAnsi="LiberationSans-Regular" w:cs="LiberationSans-Regular"/>
          <w:sz w:val="24"/>
          <w:szCs w:val="24"/>
        </w:rPr>
      </w:pPr>
    </w:p>
    <w:p w14:paraId="2FE29D21" w14:textId="5D00C00D" w:rsidR="00D879B4" w:rsidRDefault="00D879B4" w:rsidP="00894DB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presente informe se emite en ejercicio de la atribución asignada al Tribunal de Cuentas por el Artículo 301 Inciso 2º de </w:t>
      </w:r>
      <w:r w:rsidR="00D76AFE">
        <w:rPr>
          <w:rFonts w:ascii="Arial" w:hAnsi="Arial" w:cs="Arial"/>
          <w:sz w:val="24"/>
          <w:szCs w:val="24"/>
        </w:rPr>
        <w:t>la Constitución de la República.</w:t>
      </w:r>
    </w:p>
    <w:p w14:paraId="3FB71277" w14:textId="77777777" w:rsidR="00937F8E" w:rsidRDefault="00937F8E" w:rsidP="00894DBA">
      <w:pPr>
        <w:autoSpaceDE w:val="0"/>
        <w:autoSpaceDN w:val="0"/>
        <w:adjustRightInd w:val="0"/>
        <w:spacing w:after="0" w:line="360" w:lineRule="auto"/>
        <w:jc w:val="both"/>
        <w:rPr>
          <w:rFonts w:ascii="Arial" w:hAnsi="Arial" w:cs="Arial"/>
          <w:sz w:val="24"/>
          <w:szCs w:val="24"/>
        </w:rPr>
      </w:pPr>
    </w:p>
    <w:p w14:paraId="1AFE0455" w14:textId="77777777" w:rsidR="00D879B4" w:rsidRDefault="00D879B4" w:rsidP="00894DBA">
      <w:pPr>
        <w:autoSpaceDE w:val="0"/>
        <w:autoSpaceDN w:val="0"/>
        <w:adjustRightInd w:val="0"/>
        <w:spacing w:after="0" w:line="360" w:lineRule="auto"/>
        <w:ind w:left="2832" w:hanging="2832"/>
        <w:rPr>
          <w:rFonts w:ascii="Arial" w:hAnsi="Arial" w:cs="Arial"/>
          <w:b/>
          <w:bCs/>
          <w:sz w:val="24"/>
          <w:szCs w:val="24"/>
        </w:rPr>
      </w:pPr>
      <w:r>
        <w:rPr>
          <w:rFonts w:ascii="Arial" w:hAnsi="Arial" w:cs="Arial"/>
          <w:b/>
          <w:bCs/>
          <w:sz w:val="24"/>
          <w:szCs w:val="24"/>
        </w:rPr>
        <w:t>2) ANTECEDENTES</w:t>
      </w:r>
    </w:p>
    <w:p w14:paraId="1DF8FA89" w14:textId="77777777" w:rsidR="00D879B4" w:rsidRDefault="00D879B4">
      <w:pPr>
        <w:autoSpaceDE w:val="0"/>
        <w:autoSpaceDN w:val="0"/>
        <w:adjustRightInd w:val="0"/>
        <w:spacing w:after="0" w:line="360" w:lineRule="auto"/>
        <w:ind w:left="2832"/>
        <w:rPr>
          <w:rFonts w:ascii="Arial" w:hAnsi="Arial" w:cs="Arial"/>
          <w:b/>
          <w:bCs/>
          <w:sz w:val="24"/>
          <w:szCs w:val="24"/>
        </w:rPr>
      </w:pPr>
    </w:p>
    <w:p w14:paraId="73B02272" w14:textId="77777777" w:rsidR="00D879B4" w:rsidRDefault="00D879B4" w:rsidP="00894DBA">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La Junta Departamental de Montevideo, en cumplimiento de lo dispuesto por el artículo 301 inciso segundo de la Constitución de la República, remitió la </w:t>
      </w:r>
      <w:r>
        <w:rPr>
          <w:rFonts w:ascii="Arial" w:hAnsi="Arial" w:cs="Arial"/>
          <w:sz w:val="24"/>
          <w:szCs w:val="24"/>
        </w:rPr>
        <w:lastRenderedPageBreak/>
        <w:t>Nota Nº 2451 de fecha 22.10.15 relacionada con el Proyecto de Decreto que le enviara la Intendencia, por el cual se crea el denominado “Fondo Capital” para el financiamiento de determinadas obras. Al respecto, este Tribunal, por Oficio Nº 8676/15 de fecha 04.11.15, acordó devolver las actuaciones, solicitando información complementaria para mejor proveer.</w:t>
      </w:r>
    </w:p>
    <w:p w14:paraId="472676F6" w14:textId="44D09877" w:rsidR="00D879B4" w:rsidRDefault="00D879B4" w:rsidP="00894DBA">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Por Nota Nº 2475 de fecha 17.11.15, la Junta Departamental envió nuevamente las actuaciones relacionadas con el citado proyecto, adjuntando la respuesta que diera la Intendencia a las interrogantes que planteara este Tribunal.</w:t>
      </w:r>
    </w:p>
    <w:p w14:paraId="29AE8579" w14:textId="77777777" w:rsidR="00D879B4" w:rsidRDefault="00D879B4" w:rsidP="003F424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2.3</w:t>
      </w:r>
      <w:r>
        <w:rPr>
          <w:rFonts w:ascii="Arial" w:hAnsi="Arial" w:cs="Arial"/>
          <w:sz w:val="24"/>
          <w:szCs w:val="24"/>
        </w:rPr>
        <w:t xml:space="preserve"> Por Nota Nº 2480 de fecha 27.11.15, el Legislativo Departamental remitió una nueva iniciativa elevada por la Comuna mediante Resolución Nº 5616/15 conteniendo un proyecto de decreto sustitutivo del anterior.</w:t>
      </w:r>
    </w:p>
    <w:p w14:paraId="27433F16" w14:textId="77777777" w:rsidR="00D879B4" w:rsidRDefault="00D879B4" w:rsidP="003F424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2.4  </w:t>
      </w:r>
      <w:r>
        <w:rPr>
          <w:rFonts w:ascii="Arial" w:hAnsi="Arial" w:cs="Arial"/>
          <w:sz w:val="24"/>
          <w:szCs w:val="24"/>
        </w:rPr>
        <w:t>Finalmente  la Intendencia, por Resolución 5732/15, dejó sin efecto todas las iniciativas presentadas con anterioridad  y elevó un nuevo texto a la Junta Departamental, la que por Nota Nº 2484 de 3.12.15 remitió dichas actuaciones.</w:t>
      </w:r>
    </w:p>
    <w:p w14:paraId="2F13C67B" w14:textId="77777777" w:rsidR="00D879B4" w:rsidRDefault="00D879B4">
      <w:pPr>
        <w:autoSpaceDE w:val="0"/>
        <w:autoSpaceDN w:val="0"/>
        <w:adjustRightInd w:val="0"/>
        <w:spacing w:after="0" w:line="360" w:lineRule="auto"/>
        <w:ind w:left="2124" w:firstLine="708"/>
        <w:rPr>
          <w:rFonts w:ascii="Arial" w:hAnsi="Arial" w:cs="Arial"/>
          <w:b/>
          <w:bCs/>
          <w:sz w:val="24"/>
          <w:szCs w:val="24"/>
        </w:rPr>
      </w:pPr>
    </w:p>
    <w:p w14:paraId="24B220B8" w14:textId="77777777" w:rsidR="00D879B4" w:rsidRDefault="00D879B4" w:rsidP="003F4243">
      <w:pPr>
        <w:autoSpaceDE w:val="0"/>
        <w:autoSpaceDN w:val="0"/>
        <w:adjustRightInd w:val="0"/>
        <w:spacing w:after="0" w:line="360" w:lineRule="auto"/>
        <w:ind w:left="2124" w:hanging="2124"/>
        <w:rPr>
          <w:rFonts w:ascii="Arial" w:hAnsi="Arial" w:cs="Arial"/>
          <w:b/>
          <w:bCs/>
          <w:sz w:val="24"/>
          <w:szCs w:val="24"/>
        </w:rPr>
      </w:pPr>
      <w:r>
        <w:rPr>
          <w:rFonts w:ascii="Arial" w:hAnsi="Arial" w:cs="Arial"/>
          <w:b/>
          <w:bCs/>
          <w:sz w:val="24"/>
          <w:szCs w:val="24"/>
        </w:rPr>
        <w:t>3) RESULTANCIAS DEL TRÁMITE</w:t>
      </w:r>
    </w:p>
    <w:p w14:paraId="609E09FC" w14:textId="77777777" w:rsidR="00D879B4" w:rsidRDefault="00D879B4">
      <w:pPr>
        <w:autoSpaceDE w:val="0"/>
        <w:autoSpaceDN w:val="0"/>
        <w:adjustRightInd w:val="0"/>
        <w:spacing w:after="0" w:line="360" w:lineRule="auto"/>
        <w:ind w:left="2124" w:firstLine="708"/>
        <w:rPr>
          <w:rFonts w:ascii="Arial" w:hAnsi="Arial" w:cs="Arial"/>
          <w:b/>
          <w:bCs/>
          <w:sz w:val="24"/>
          <w:szCs w:val="24"/>
        </w:rPr>
      </w:pPr>
    </w:p>
    <w:p w14:paraId="29F1EBE7" w14:textId="77777777" w:rsidR="00D879B4" w:rsidRDefault="00D879B4" w:rsidP="003F424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3.1 </w:t>
      </w:r>
      <w:r>
        <w:rPr>
          <w:rFonts w:ascii="Arial" w:hAnsi="Arial" w:cs="Arial"/>
          <w:sz w:val="24"/>
          <w:szCs w:val="24"/>
        </w:rPr>
        <w:t>El “Fondo Capital” se crea para financiar obras públicas por un monto estimado en U$S 250.000.000 según cotizaciones vigentes al 30.9.2015, para la  “renovación y ampliación de infraestructura, movilidad urbana y gestión, y tratamiento de residuos sólidos para la ciudad de Montevideo”.</w:t>
      </w:r>
    </w:p>
    <w:p w14:paraId="40F3D136" w14:textId="3B7924E2" w:rsidR="00D879B4" w:rsidRDefault="00D879B4" w:rsidP="00F15D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 conformidad con las respuestas proporcionadas por la Intendencia y la nueva redacción de la iniciativa, la Comuna, como administradora del Fondo, podrá ceder, ofrecer en garantía o </w:t>
      </w:r>
      <w:proofErr w:type="spellStart"/>
      <w:r>
        <w:rPr>
          <w:rFonts w:ascii="Arial" w:hAnsi="Arial" w:cs="Arial"/>
          <w:sz w:val="24"/>
          <w:szCs w:val="24"/>
        </w:rPr>
        <w:t>securitizar</w:t>
      </w:r>
      <w:proofErr w:type="spellEnd"/>
      <w:r>
        <w:rPr>
          <w:rFonts w:ascii="Arial" w:hAnsi="Arial" w:cs="Arial"/>
          <w:sz w:val="24"/>
          <w:szCs w:val="24"/>
        </w:rPr>
        <w:t xml:space="preserve"> los activos que lo integren, para constituir un fideicomiso, en los términos, condiciones y con las garantías que considere adecuadas, dando c</w:t>
      </w:r>
      <w:r w:rsidR="00937F8E">
        <w:rPr>
          <w:rFonts w:ascii="Arial" w:hAnsi="Arial" w:cs="Arial"/>
          <w:sz w:val="24"/>
          <w:szCs w:val="24"/>
        </w:rPr>
        <w:t>uenta a la Junta Departamental.</w:t>
      </w:r>
    </w:p>
    <w:p w14:paraId="64ADEBB7" w14:textId="77777777" w:rsidR="00D879B4" w:rsidRDefault="00D879B4" w:rsidP="00F15D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Respecto del referido fideicomiso, en principio, el agente fiduciario será República AFISA, señalándose que “sin perjuicio de ello, la selección por la que se opte determinará el procedimiento de contratación, a los efectos del cumplimiento de la normativa aplicable”.</w:t>
      </w:r>
    </w:p>
    <w:p w14:paraId="7F38C948" w14:textId="77777777" w:rsidR="00D879B4" w:rsidRDefault="00D879B4" w:rsidP="004C66A8">
      <w:pPr>
        <w:autoSpaceDE w:val="0"/>
        <w:autoSpaceDN w:val="0"/>
        <w:adjustRightInd w:val="0"/>
        <w:spacing w:after="0" w:line="360" w:lineRule="auto"/>
        <w:ind w:left="708" w:hanging="708"/>
        <w:rPr>
          <w:rFonts w:ascii="Arial" w:hAnsi="Arial" w:cs="Arial"/>
          <w:sz w:val="24"/>
          <w:szCs w:val="24"/>
        </w:rPr>
      </w:pPr>
      <w:r>
        <w:rPr>
          <w:rFonts w:ascii="Arial" w:hAnsi="Arial" w:cs="Arial"/>
          <w:b/>
          <w:bCs/>
          <w:sz w:val="24"/>
          <w:szCs w:val="24"/>
        </w:rPr>
        <w:t>3.2</w:t>
      </w:r>
      <w:r>
        <w:rPr>
          <w:rFonts w:ascii="Arial" w:hAnsi="Arial" w:cs="Arial"/>
          <w:sz w:val="24"/>
          <w:szCs w:val="24"/>
        </w:rPr>
        <w:t xml:space="preserve"> El “Fondo Capital” se financiará con:</w:t>
      </w:r>
    </w:p>
    <w:p w14:paraId="408ECE63" w14:textId="77777777" w:rsidR="00D879B4" w:rsidRDefault="00D879B4" w:rsidP="004C66A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Los ingresos provenientes del SUCIVE, por los montos anuales necesarios para el repago de un capital de hasta UI 2.500.000.000, más intereses y gastos de estructuración y administración asociados al mecanismo de financiamiento. La  tasa de interés máxima será del  8% anual en UI;</w:t>
      </w:r>
    </w:p>
    <w:p w14:paraId="41906FED" w14:textId="77777777" w:rsidR="00D879B4" w:rsidRDefault="00D879B4" w:rsidP="004C66A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 Otros recursos provenientes de transferencias del Poder Ejecutivo y  de otras entidades públicas;</w:t>
      </w:r>
    </w:p>
    <w:p w14:paraId="5D22A745" w14:textId="77777777" w:rsidR="00D879B4" w:rsidRDefault="00D879B4" w:rsidP="004C66A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 La Intendencia podrá también incorporar al Fondo los ingresos provenientes de los Precios Compensatorios y al Mayor Aprovechamiento (Artículo D. 40 del Digesto Departamental, Volumen IV, Parte Legislativa), modificativos y concordantes, generados a partir de la ejecución de los proyectos de obra pública a financiar por el Fondo Capital. Se trata de ingresos que deben abonar los propietarios de inmuebles beneficiados en su normativa de edificabilidad por los proyectos que se ejecutan.</w:t>
      </w:r>
    </w:p>
    <w:p w14:paraId="1577E98C" w14:textId="77777777" w:rsidR="00D879B4" w:rsidRDefault="00D879B4">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3.3 </w:t>
      </w:r>
      <w:r>
        <w:rPr>
          <w:rFonts w:ascii="Arial" w:hAnsi="Arial" w:cs="Arial"/>
          <w:sz w:val="24"/>
          <w:szCs w:val="24"/>
        </w:rPr>
        <w:t>El plazo de repago de las obligaciones que se asumen, será de 20 años a partir de cada una de las emisiones de deuda que pueda realizar el Fideicomiso que se constituya</w:t>
      </w:r>
      <w:r>
        <w:rPr>
          <w:rFonts w:ascii="Arial" w:hAnsi="Arial" w:cs="Arial"/>
          <w:b/>
          <w:bCs/>
          <w:sz w:val="24"/>
          <w:szCs w:val="24"/>
        </w:rPr>
        <w:t xml:space="preserve">. </w:t>
      </w:r>
      <w:r>
        <w:rPr>
          <w:rFonts w:ascii="Arial" w:hAnsi="Arial" w:cs="Arial"/>
          <w:sz w:val="24"/>
          <w:szCs w:val="24"/>
        </w:rPr>
        <w:t>Al respecto la Intendencia, en respuesta al Oficio de este Tribunal Nº 8676/15, estableció que las obras comenzarán a ejecutarse en el actual período de Gobierno, que las emisiones se irán realizando en la medida que las obras se comiencen a ejecutar y que cada una tendrá un plazo de repago de 20 años.</w:t>
      </w:r>
    </w:p>
    <w:p w14:paraId="34474D6B" w14:textId="00D49675" w:rsidR="00D879B4" w:rsidRDefault="00D879B4" w:rsidP="008A1BFB">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3.4 </w:t>
      </w:r>
      <w:r>
        <w:rPr>
          <w:rFonts w:ascii="Arial" w:hAnsi="Arial" w:cs="Arial"/>
          <w:sz w:val="24"/>
          <w:szCs w:val="24"/>
        </w:rPr>
        <w:t>Se crea un Comité de Seguimiento para controlar el cumplimiento de objetivos y realizar el seguimiento de los planes y obras a ejecutar. Asimismo se estipula la contratación de un Agente Certificador mediante procedimiento competitivo por parte de la Intendencia de Montevideo, con las funciones que se indican.</w:t>
      </w:r>
    </w:p>
    <w:p w14:paraId="2E71C622" w14:textId="769CB0E9" w:rsidR="00D879B4" w:rsidRDefault="00D879B4" w:rsidP="008A1BFB">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3.5 </w:t>
      </w:r>
      <w:r>
        <w:rPr>
          <w:rFonts w:ascii="Arial" w:hAnsi="Arial" w:cs="Arial"/>
          <w:sz w:val="24"/>
          <w:szCs w:val="24"/>
        </w:rPr>
        <w:t>Las emisiones que realice el Fiduciario con garantía en los activos del Fondo Capital podrán ser parciales, abarcando la financiación de una o más obras.</w:t>
      </w:r>
    </w:p>
    <w:p w14:paraId="5DCACC09" w14:textId="743BD381" w:rsidR="00D879B4" w:rsidRDefault="00D879B4" w:rsidP="008A1BFB">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3.6 </w:t>
      </w:r>
      <w:r>
        <w:rPr>
          <w:rFonts w:ascii="Arial" w:hAnsi="Arial" w:cs="Arial"/>
          <w:sz w:val="24"/>
          <w:szCs w:val="24"/>
        </w:rPr>
        <w:t xml:space="preserve">El artículo 10 del Proyecto de Decreto autoriza a la Intendencia a que en </w:t>
      </w:r>
      <w:proofErr w:type="gramStart"/>
      <w:r>
        <w:rPr>
          <w:rFonts w:ascii="Arial" w:hAnsi="Arial" w:cs="Arial"/>
          <w:sz w:val="24"/>
          <w:szCs w:val="24"/>
        </w:rPr>
        <w:t>cada</w:t>
      </w:r>
      <w:proofErr w:type="gramEnd"/>
      <w:r>
        <w:rPr>
          <w:rFonts w:ascii="Arial" w:hAnsi="Arial" w:cs="Arial"/>
          <w:sz w:val="24"/>
          <w:szCs w:val="24"/>
        </w:rPr>
        <w:t xml:space="preserve"> obra proyectada en el Anexo “A”, pueda haber una variación en el costo estimado de hasta un 20%.</w:t>
      </w:r>
    </w:p>
    <w:p w14:paraId="48024C43" w14:textId="77777777" w:rsidR="00D879B4" w:rsidRDefault="00D879B4" w:rsidP="00F15D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cuanto a las sustituciones de obra, incorporaciones o cualquier nuevo proyecto a ser financiado, será remitido con proyecto de obra completo y costos asociados a  la Junta Departamental, la que deberá dar su anuencia por dos tercios de votos del total de sus componentes.</w:t>
      </w:r>
    </w:p>
    <w:p w14:paraId="1B347BC3" w14:textId="69607E92" w:rsidR="00D879B4" w:rsidRDefault="00D879B4" w:rsidP="00F15D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Conforme al Artículo 11 las posibles variaciones en los costos estimados, incorporaciones, modificación o sustitución, en ningún caso podrán significar un aumento del tope del financiamiento establecido en el Artículo 2</w:t>
      </w:r>
      <w:r w:rsidR="00937F8E">
        <w:rPr>
          <w:rFonts w:ascii="Arial" w:hAnsi="Arial" w:cs="Arial"/>
          <w:sz w:val="24"/>
          <w:szCs w:val="24"/>
        </w:rPr>
        <w:t xml:space="preserve"> (Numeral 3.2 de este Informe).</w:t>
      </w:r>
    </w:p>
    <w:p w14:paraId="477C9E03" w14:textId="77777777" w:rsidR="00D879B4" w:rsidRDefault="00D879B4" w:rsidP="008A1BFB">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3.7 </w:t>
      </w:r>
      <w:r>
        <w:rPr>
          <w:rFonts w:ascii="Arial" w:hAnsi="Arial" w:cs="Arial"/>
          <w:sz w:val="24"/>
          <w:szCs w:val="24"/>
        </w:rPr>
        <w:t>En las respuestas recibidas se señala asimismo, a meros efectos indicativos, que el monto anual a transferir al fideicomiso, se estima aproximadamente en UI 250 millones, bajo la hipótesis que la tasa de interés sea del 7% anual en U.I. y que se haya emitido el tope máximo autorizado.</w:t>
      </w:r>
    </w:p>
    <w:p w14:paraId="12C6BF72" w14:textId="77777777" w:rsidR="00D879B4" w:rsidRDefault="00D879B4">
      <w:pPr>
        <w:autoSpaceDE w:val="0"/>
        <w:autoSpaceDN w:val="0"/>
        <w:adjustRightInd w:val="0"/>
        <w:spacing w:after="0" w:line="360" w:lineRule="auto"/>
        <w:rPr>
          <w:rFonts w:ascii="Arial" w:hAnsi="Arial" w:cs="Arial"/>
          <w:b/>
          <w:bCs/>
          <w:sz w:val="24"/>
          <w:szCs w:val="24"/>
        </w:rPr>
      </w:pPr>
    </w:p>
    <w:p w14:paraId="6DAB3088" w14:textId="77777777" w:rsidR="00D879B4" w:rsidRDefault="00D879B4" w:rsidP="00BA771B">
      <w:pPr>
        <w:autoSpaceDE w:val="0"/>
        <w:autoSpaceDN w:val="0"/>
        <w:adjustRightInd w:val="0"/>
        <w:spacing w:after="0" w:line="360" w:lineRule="auto"/>
        <w:ind w:left="2124" w:hanging="2124"/>
        <w:rPr>
          <w:rFonts w:ascii="Arial" w:hAnsi="Arial" w:cs="Arial"/>
          <w:b/>
          <w:bCs/>
          <w:sz w:val="24"/>
          <w:szCs w:val="24"/>
        </w:rPr>
      </w:pPr>
      <w:r>
        <w:rPr>
          <w:rFonts w:ascii="Arial" w:hAnsi="Arial" w:cs="Arial"/>
          <w:b/>
          <w:bCs/>
          <w:sz w:val="24"/>
          <w:szCs w:val="24"/>
        </w:rPr>
        <w:t>4) SITUACIÓN FINANCIERA</w:t>
      </w:r>
    </w:p>
    <w:p w14:paraId="5B71D37B" w14:textId="77777777" w:rsidR="00D879B4" w:rsidRDefault="00D879B4" w:rsidP="00F15D27">
      <w:pPr>
        <w:autoSpaceDE w:val="0"/>
        <w:autoSpaceDN w:val="0"/>
        <w:adjustRightInd w:val="0"/>
        <w:spacing w:line="360" w:lineRule="auto"/>
        <w:jc w:val="both"/>
        <w:rPr>
          <w:rFonts w:ascii="Arial" w:hAnsi="Arial" w:cs="Arial"/>
          <w:sz w:val="24"/>
          <w:szCs w:val="24"/>
        </w:rPr>
      </w:pPr>
      <w:r>
        <w:rPr>
          <w:rFonts w:ascii="Arial" w:hAnsi="Arial" w:cs="Arial"/>
          <w:sz w:val="24"/>
          <w:szCs w:val="24"/>
        </w:rPr>
        <w:t>De acuerdo  a las Rendiciones de Cuentas presentadas por la Intendencia correspondientes a los ejercicios 2011 a 2014, esta presenta una situación financiera que se resume de la siguiente forma (expresada en miles de pesos uruguayos):</w:t>
      </w:r>
    </w:p>
    <w:p w14:paraId="38CAFC1D" w14:textId="77777777" w:rsidR="00D879B4" w:rsidRDefault="00D879B4">
      <w:pPr>
        <w:pStyle w:val="Textoindependiente"/>
        <w:spacing w:line="360" w:lineRule="auto"/>
        <w:ind w:left="360"/>
        <w:rPr>
          <w:rFonts w:ascii="Times New Roman" w:hAnsi="Times New Roman" w:cs="Times New Roman"/>
          <w:b/>
          <w:bCs/>
          <w:lang w:val="es-ES"/>
        </w:rPr>
      </w:pPr>
    </w:p>
    <w:tbl>
      <w:tblPr>
        <w:tblW w:w="6942" w:type="dxa"/>
        <w:tblInd w:w="-68" w:type="dxa"/>
        <w:tblCellMar>
          <w:left w:w="70" w:type="dxa"/>
          <w:right w:w="70" w:type="dxa"/>
        </w:tblCellMar>
        <w:tblLook w:val="0000" w:firstRow="0" w:lastRow="0" w:firstColumn="0" w:lastColumn="0" w:noHBand="0" w:noVBand="0"/>
      </w:tblPr>
      <w:tblGrid>
        <w:gridCol w:w="1440"/>
        <w:gridCol w:w="1760"/>
        <w:gridCol w:w="1815"/>
        <w:gridCol w:w="2377"/>
      </w:tblGrid>
      <w:tr w:rsidR="00D879B4" w14:paraId="4F520457" w14:textId="77777777">
        <w:trPr>
          <w:trHeight w:val="810"/>
        </w:trPr>
        <w:tc>
          <w:tcPr>
            <w:tcW w:w="1440" w:type="dxa"/>
            <w:tcBorders>
              <w:top w:val="single" w:sz="4" w:space="0" w:color="auto"/>
              <w:left w:val="single" w:sz="4" w:space="0" w:color="auto"/>
              <w:bottom w:val="single" w:sz="4" w:space="0" w:color="auto"/>
              <w:right w:val="single" w:sz="4" w:space="0" w:color="auto"/>
            </w:tcBorders>
            <w:noWrap/>
            <w:vAlign w:val="center"/>
          </w:tcPr>
          <w:p w14:paraId="5E36A3A0" w14:textId="77777777" w:rsidR="00D879B4" w:rsidRDefault="00D879B4">
            <w:pPr>
              <w:jc w:val="center"/>
              <w:rPr>
                <w:rFonts w:ascii="Times New Roman" w:hAnsi="Times New Roman" w:cs="Times New Roman"/>
                <w:b/>
                <w:bCs/>
                <w:color w:val="000000"/>
                <w:lang w:val="es-UY" w:eastAsia="es-UY"/>
              </w:rPr>
            </w:pPr>
            <w:r>
              <w:rPr>
                <w:rFonts w:ascii="Times New Roman" w:hAnsi="Times New Roman" w:cs="Times New Roman"/>
                <w:b/>
                <w:bCs/>
                <w:color w:val="000000"/>
                <w:lang w:val="es-UY" w:eastAsia="es-UY"/>
              </w:rPr>
              <w:t>AÑO</w:t>
            </w:r>
          </w:p>
        </w:tc>
        <w:tc>
          <w:tcPr>
            <w:tcW w:w="1760" w:type="dxa"/>
            <w:tcBorders>
              <w:top w:val="single" w:sz="4" w:space="0" w:color="auto"/>
              <w:left w:val="nil"/>
              <w:bottom w:val="single" w:sz="4" w:space="0" w:color="auto"/>
              <w:right w:val="single" w:sz="4" w:space="0" w:color="auto"/>
            </w:tcBorders>
            <w:vAlign w:val="center"/>
          </w:tcPr>
          <w:p w14:paraId="713008B7" w14:textId="77777777" w:rsidR="00D879B4" w:rsidRDefault="00D879B4">
            <w:pPr>
              <w:jc w:val="center"/>
              <w:rPr>
                <w:rFonts w:ascii="Times New Roman" w:hAnsi="Times New Roman" w:cs="Times New Roman"/>
                <w:b/>
                <w:bCs/>
                <w:color w:val="000000"/>
                <w:lang w:val="es-UY" w:eastAsia="es-UY"/>
              </w:rPr>
            </w:pPr>
            <w:r>
              <w:rPr>
                <w:rFonts w:ascii="Times New Roman" w:hAnsi="Times New Roman" w:cs="Times New Roman"/>
                <w:b/>
                <w:bCs/>
                <w:color w:val="000000"/>
                <w:lang w:val="es-UY" w:eastAsia="es-UY"/>
              </w:rPr>
              <w:t>DÉFICIT ACUMULADO</w:t>
            </w:r>
          </w:p>
        </w:tc>
        <w:tc>
          <w:tcPr>
            <w:tcW w:w="1740" w:type="dxa"/>
            <w:tcBorders>
              <w:top w:val="single" w:sz="4" w:space="0" w:color="auto"/>
              <w:left w:val="nil"/>
              <w:bottom w:val="single" w:sz="4" w:space="0" w:color="auto"/>
              <w:right w:val="single" w:sz="4" w:space="0" w:color="auto"/>
            </w:tcBorders>
            <w:noWrap/>
            <w:vAlign w:val="center"/>
          </w:tcPr>
          <w:p w14:paraId="5ACB3B48" w14:textId="77777777" w:rsidR="00D879B4" w:rsidRDefault="00D879B4">
            <w:pPr>
              <w:jc w:val="center"/>
              <w:rPr>
                <w:rFonts w:ascii="Times New Roman" w:hAnsi="Times New Roman" w:cs="Times New Roman"/>
                <w:b/>
                <w:bCs/>
                <w:color w:val="000000"/>
                <w:lang w:val="es-UY" w:eastAsia="es-UY"/>
              </w:rPr>
            </w:pPr>
            <w:r>
              <w:rPr>
                <w:rFonts w:ascii="Times New Roman" w:hAnsi="Times New Roman" w:cs="Times New Roman"/>
                <w:b/>
                <w:bCs/>
                <w:color w:val="000000"/>
                <w:lang w:val="es-UY" w:eastAsia="es-UY"/>
              </w:rPr>
              <w:t>RECAUDACIÓN</w:t>
            </w:r>
          </w:p>
        </w:tc>
        <w:tc>
          <w:tcPr>
            <w:tcW w:w="2002" w:type="dxa"/>
            <w:tcBorders>
              <w:top w:val="single" w:sz="4" w:space="0" w:color="auto"/>
              <w:left w:val="nil"/>
              <w:bottom w:val="single" w:sz="4" w:space="0" w:color="auto"/>
              <w:right w:val="single" w:sz="4" w:space="0" w:color="auto"/>
            </w:tcBorders>
            <w:vAlign w:val="center"/>
          </w:tcPr>
          <w:p w14:paraId="41AE1B16" w14:textId="77777777" w:rsidR="00D879B4" w:rsidRDefault="00D879B4">
            <w:pPr>
              <w:jc w:val="center"/>
              <w:rPr>
                <w:rFonts w:ascii="Times New Roman" w:hAnsi="Times New Roman" w:cs="Times New Roman"/>
                <w:b/>
                <w:bCs/>
                <w:color w:val="000000"/>
                <w:lang w:val="es-UY" w:eastAsia="es-UY"/>
              </w:rPr>
            </w:pPr>
            <w:r>
              <w:rPr>
                <w:rFonts w:ascii="Times New Roman" w:hAnsi="Times New Roman" w:cs="Times New Roman"/>
                <w:b/>
                <w:bCs/>
                <w:color w:val="000000"/>
                <w:lang w:val="es-UY" w:eastAsia="es-UY"/>
              </w:rPr>
              <w:t>DEF.ACUM/RECAUD.</w:t>
            </w:r>
          </w:p>
        </w:tc>
      </w:tr>
      <w:tr w:rsidR="00D879B4" w14:paraId="047E23D5" w14:textId="77777777">
        <w:trPr>
          <w:trHeight w:val="300"/>
        </w:trPr>
        <w:tc>
          <w:tcPr>
            <w:tcW w:w="1440" w:type="dxa"/>
            <w:tcBorders>
              <w:top w:val="nil"/>
              <w:left w:val="single" w:sz="4" w:space="0" w:color="auto"/>
              <w:bottom w:val="single" w:sz="4" w:space="0" w:color="auto"/>
              <w:right w:val="single" w:sz="4" w:space="0" w:color="auto"/>
            </w:tcBorders>
            <w:noWrap/>
            <w:vAlign w:val="bottom"/>
          </w:tcPr>
          <w:p w14:paraId="187D6648"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2011</w:t>
            </w:r>
          </w:p>
        </w:tc>
        <w:tc>
          <w:tcPr>
            <w:tcW w:w="1760" w:type="dxa"/>
            <w:tcBorders>
              <w:top w:val="nil"/>
              <w:left w:val="nil"/>
              <w:bottom w:val="single" w:sz="4" w:space="0" w:color="auto"/>
              <w:right w:val="single" w:sz="4" w:space="0" w:color="auto"/>
            </w:tcBorders>
            <w:noWrap/>
            <w:vAlign w:val="bottom"/>
          </w:tcPr>
          <w:p w14:paraId="1DC9A87B"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1.096.427</w:t>
            </w:r>
          </w:p>
        </w:tc>
        <w:tc>
          <w:tcPr>
            <w:tcW w:w="1740" w:type="dxa"/>
            <w:tcBorders>
              <w:top w:val="nil"/>
              <w:left w:val="nil"/>
              <w:bottom w:val="single" w:sz="4" w:space="0" w:color="auto"/>
              <w:right w:val="single" w:sz="4" w:space="0" w:color="auto"/>
            </w:tcBorders>
            <w:noWrap/>
            <w:vAlign w:val="bottom"/>
          </w:tcPr>
          <w:p w14:paraId="5C5145BB"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9.952.031</w:t>
            </w:r>
          </w:p>
        </w:tc>
        <w:tc>
          <w:tcPr>
            <w:tcW w:w="2002" w:type="dxa"/>
            <w:tcBorders>
              <w:top w:val="nil"/>
              <w:left w:val="nil"/>
              <w:bottom w:val="single" w:sz="4" w:space="0" w:color="auto"/>
              <w:right w:val="single" w:sz="4" w:space="0" w:color="auto"/>
            </w:tcBorders>
            <w:noWrap/>
            <w:vAlign w:val="bottom"/>
          </w:tcPr>
          <w:p w14:paraId="34ED08FA"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11%</w:t>
            </w:r>
          </w:p>
        </w:tc>
      </w:tr>
      <w:tr w:rsidR="00D879B4" w14:paraId="72EA475C" w14:textId="77777777">
        <w:trPr>
          <w:trHeight w:val="300"/>
        </w:trPr>
        <w:tc>
          <w:tcPr>
            <w:tcW w:w="1440" w:type="dxa"/>
            <w:tcBorders>
              <w:top w:val="nil"/>
              <w:left w:val="single" w:sz="4" w:space="0" w:color="auto"/>
              <w:bottom w:val="single" w:sz="4" w:space="0" w:color="auto"/>
              <w:right w:val="single" w:sz="4" w:space="0" w:color="auto"/>
            </w:tcBorders>
            <w:noWrap/>
            <w:vAlign w:val="bottom"/>
          </w:tcPr>
          <w:p w14:paraId="76316104"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2012</w:t>
            </w:r>
          </w:p>
        </w:tc>
        <w:tc>
          <w:tcPr>
            <w:tcW w:w="1760" w:type="dxa"/>
            <w:tcBorders>
              <w:top w:val="nil"/>
              <w:left w:val="nil"/>
              <w:bottom w:val="single" w:sz="4" w:space="0" w:color="auto"/>
              <w:right w:val="single" w:sz="4" w:space="0" w:color="auto"/>
            </w:tcBorders>
            <w:noWrap/>
            <w:vAlign w:val="bottom"/>
          </w:tcPr>
          <w:p w14:paraId="5F63D0F6"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1.645.962</w:t>
            </w:r>
          </w:p>
        </w:tc>
        <w:tc>
          <w:tcPr>
            <w:tcW w:w="1740" w:type="dxa"/>
            <w:tcBorders>
              <w:top w:val="nil"/>
              <w:left w:val="nil"/>
              <w:bottom w:val="single" w:sz="4" w:space="0" w:color="auto"/>
              <w:right w:val="single" w:sz="4" w:space="0" w:color="auto"/>
            </w:tcBorders>
            <w:noWrap/>
            <w:vAlign w:val="bottom"/>
          </w:tcPr>
          <w:p w14:paraId="1354469C"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10.803.799</w:t>
            </w:r>
          </w:p>
        </w:tc>
        <w:tc>
          <w:tcPr>
            <w:tcW w:w="2002" w:type="dxa"/>
            <w:tcBorders>
              <w:top w:val="nil"/>
              <w:left w:val="nil"/>
              <w:bottom w:val="single" w:sz="4" w:space="0" w:color="auto"/>
              <w:right w:val="single" w:sz="4" w:space="0" w:color="auto"/>
            </w:tcBorders>
            <w:noWrap/>
            <w:vAlign w:val="bottom"/>
          </w:tcPr>
          <w:p w14:paraId="23258EF6"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15%</w:t>
            </w:r>
          </w:p>
        </w:tc>
      </w:tr>
      <w:tr w:rsidR="00D879B4" w14:paraId="30D5F85F" w14:textId="77777777">
        <w:trPr>
          <w:trHeight w:val="300"/>
        </w:trPr>
        <w:tc>
          <w:tcPr>
            <w:tcW w:w="1440" w:type="dxa"/>
            <w:tcBorders>
              <w:top w:val="nil"/>
              <w:left w:val="single" w:sz="4" w:space="0" w:color="auto"/>
              <w:bottom w:val="single" w:sz="4" w:space="0" w:color="auto"/>
              <w:right w:val="single" w:sz="4" w:space="0" w:color="auto"/>
            </w:tcBorders>
            <w:noWrap/>
            <w:vAlign w:val="bottom"/>
          </w:tcPr>
          <w:p w14:paraId="20C08604"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2013</w:t>
            </w:r>
          </w:p>
        </w:tc>
        <w:tc>
          <w:tcPr>
            <w:tcW w:w="1760" w:type="dxa"/>
            <w:tcBorders>
              <w:top w:val="nil"/>
              <w:left w:val="nil"/>
              <w:bottom w:val="single" w:sz="4" w:space="0" w:color="auto"/>
              <w:right w:val="single" w:sz="4" w:space="0" w:color="auto"/>
            </w:tcBorders>
            <w:noWrap/>
            <w:vAlign w:val="bottom"/>
          </w:tcPr>
          <w:p w14:paraId="14E20905"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2.324.309</w:t>
            </w:r>
          </w:p>
        </w:tc>
        <w:tc>
          <w:tcPr>
            <w:tcW w:w="1740" w:type="dxa"/>
            <w:tcBorders>
              <w:top w:val="nil"/>
              <w:left w:val="nil"/>
              <w:bottom w:val="single" w:sz="4" w:space="0" w:color="auto"/>
              <w:right w:val="single" w:sz="4" w:space="0" w:color="auto"/>
            </w:tcBorders>
            <w:noWrap/>
            <w:vAlign w:val="bottom"/>
          </w:tcPr>
          <w:p w14:paraId="3E80B5D2"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11.747.458</w:t>
            </w:r>
          </w:p>
        </w:tc>
        <w:tc>
          <w:tcPr>
            <w:tcW w:w="2002" w:type="dxa"/>
            <w:tcBorders>
              <w:top w:val="nil"/>
              <w:left w:val="nil"/>
              <w:bottom w:val="single" w:sz="4" w:space="0" w:color="auto"/>
              <w:right w:val="single" w:sz="4" w:space="0" w:color="auto"/>
            </w:tcBorders>
            <w:noWrap/>
            <w:vAlign w:val="bottom"/>
          </w:tcPr>
          <w:p w14:paraId="6ACC0B2F"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20%</w:t>
            </w:r>
          </w:p>
        </w:tc>
      </w:tr>
      <w:tr w:rsidR="00D879B4" w14:paraId="2ED92619" w14:textId="77777777">
        <w:trPr>
          <w:trHeight w:val="300"/>
        </w:trPr>
        <w:tc>
          <w:tcPr>
            <w:tcW w:w="1440" w:type="dxa"/>
            <w:tcBorders>
              <w:top w:val="nil"/>
              <w:left w:val="single" w:sz="4" w:space="0" w:color="auto"/>
              <w:bottom w:val="single" w:sz="4" w:space="0" w:color="auto"/>
              <w:right w:val="single" w:sz="4" w:space="0" w:color="auto"/>
            </w:tcBorders>
            <w:noWrap/>
            <w:vAlign w:val="bottom"/>
          </w:tcPr>
          <w:p w14:paraId="1BA61660"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2014</w:t>
            </w:r>
          </w:p>
        </w:tc>
        <w:tc>
          <w:tcPr>
            <w:tcW w:w="1760" w:type="dxa"/>
            <w:tcBorders>
              <w:top w:val="nil"/>
              <w:left w:val="nil"/>
              <w:bottom w:val="single" w:sz="4" w:space="0" w:color="auto"/>
              <w:right w:val="single" w:sz="4" w:space="0" w:color="auto"/>
            </w:tcBorders>
            <w:noWrap/>
            <w:vAlign w:val="bottom"/>
          </w:tcPr>
          <w:p w14:paraId="4DB52DC0" w14:textId="77777777" w:rsidR="00D879B4" w:rsidRDefault="00D879B4" w:rsidP="008E35AD">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2.726.619</w:t>
            </w:r>
          </w:p>
        </w:tc>
        <w:tc>
          <w:tcPr>
            <w:tcW w:w="1740" w:type="dxa"/>
            <w:tcBorders>
              <w:top w:val="nil"/>
              <w:left w:val="nil"/>
              <w:bottom w:val="single" w:sz="4" w:space="0" w:color="auto"/>
              <w:right w:val="single" w:sz="4" w:space="0" w:color="auto"/>
            </w:tcBorders>
            <w:noWrap/>
            <w:vAlign w:val="bottom"/>
          </w:tcPr>
          <w:p w14:paraId="3AA90687" w14:textId="77777777" w:rsidR="00D879B4" w:rsidRDefault="00D879B4">
            <w:pPr>
              <w:jc w:val="right"/>
              <w:rPr>
                <w:rFonts w:ascii="Times New Roman" w:hAnsi="Times New Roman" w:cs="Times New Roman"/>
                <w:color w:val="000000"/>
                <w:lang w:val="es-UY" w:eastAsia="es-UY"/>
              </w:rPr>
            </w:pPr>
            <w:r>
              <w:rPr>
                <w:rFonts w:ascii="Times New Roman" w:hAnsi="Times New Roman" w:cs="Times New Roman"/>
                <w:color w:val="000000"/>
                <w:lang w:val="es-UY" w:eastAsia="es-UY"/>
              </w:rPr>
              <w:t>14.327.451</w:t>
            </w:r>
          </w:p>
        </w:tc>
        <w:tc>
          <w:tcPr>
            <w:tcW w:w="2002" w:type="dxa"/>
            <w:tcBorders>
              <w:top w:val="nil"/>
              <w:left w:val="nil"/>
              <w:bottom w:val="single" w:sz="4" w:space="0" w:color="auto"/>
              <w:right w:val="single" w:sz="4" w:space="0" w:color="auto"/>
            </w:tcBorders>
            <w:noWrap/>
            <w:vAlign w:val="bottom"/>
          </w:tcPr>
          <w:p w14:paraId="016C327A" w14:textId="77777777" w:rsidR="00D879B4" w:rsidRDefault="00D879B4">
            <w:pPr>
              <w:jc w:val="center"/>
              <w:rPr>
                <w:rFonts w:ascii="Times New Roman" w:hAnsi="Times New Roman" w:cs="Times New Roman"/>
                <w:color w:val="000000"/>
                <w:lang w:val="es-UY" w:eastAsia="es-UY"/>
              </w:rPr>
            </w:pPr>
            <w:r>
              <w:rPr>
                <w:rFonts w:ascii="Times New Roman" w:hAnsi="Times New Roman" w:cs="Times New Roman"/>
                <w:color w:val="000000"/>
                <w:lang w:val="es-UY" w:eastAsia="es-UY"/>
              </w:rPr>
              <w:t>19%</w:t>
            </w:r>
          </w:p>
        </w:tc>
      </w:tr>
    </w:tbl>
    <w:p w14:paraId="5B975444" w14:textId="77777777" w:rsidR="00D879B4" w:rsidRDefault="00D879B4">
      <w:pPr>
        <w:pStyle w:val="Textoindependiente"/>
        <w:spacing w:line="360" w:lineRule="auto"/>
        <w:ind w:left="360"/>
        <w:rPr>
          <w:rFonts w:ascii="Times New Roman" w:hAnsi="Times New Roman" w:cs="Times New Roman"/>
          <w:b/>
          <w:bCs/>
        </w:rPr>
      </w:pPr>
    </w:p>
    <w:p w14:paraId="5788891C" w14:textId="77777777" w:rsidR="00D879B4" w:rsidRDefault="00D879B4" w:rsidP="00425B74">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Se deja constancia que, respecto a la Rendición de Cuentas correspondiente al ejercicio 2014, el Tribunal aún no emitió opinión, resultando los importes expuestos precedentemente, del documento remitido por la Intendencia.</w:t>
      </w:r>
    </w:p>
    <w:p w14:paraId="2C00D595" w14:textId="77777777" w:rsidR="00D879B4" w:rsidRDefault="00D879B4" w:rsidP="008E35A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De acuerdo a la información que resulta de dicha Rendición y al supuesto, ya referido en el punto 3.7), que realizó la Intendencia, con relación a los montos a reembolsar al Fondo Capital en forma anual, corresponde expresar lo siguiente:</w:t>
      </w:r>
    </w:p>
    <w:p w14:paraId="370E89E0" w14:textId="77777777" w:rsidR="00D879B4" w:rsidRPr="006A7F53" w:rsidRDefault="00D879B4" w:rsidP="006A7F53">
      <w:pPr>
        <w:pStyle w:val="Prrafodelista"/>
        <w:numPr>
          <w:ilvl w:val="0"/>
          <w:numId w:val="2"/>
        </w:numPr>
        <w:autoSpaceDE w:val="0"/>
        <w:autoSpaceDN w:val="0"/>
        <w:adjustRightInd w:val="0"/>
        <w:spacing w:after="0" w:line="360" w:lineRule="auto"/>
        <w:jc w:val="both"/>
        <w:rPr>
          <w:rFonts w:ascii="Arial" w:hAnsi="Arial" w:cs="Arial"/>
          <w:color w:val="000000"/>
          <w:sz w:val="24"/>
          <w:szCs w:val="24"/>
        </w:rPr>
      </w:pPr>
      <w:r w:rsidRPr="006A7F53">
        <w:rPr>
          <w:rFonts w:ascii="Arial" w:hAnsi="Arial" w:cs="Arial"/>
          <w:color w:val="000000"/>
          <w:sz w:val="24"/>
          <w:szCs w:val="24"/>
        </w:rPr>
        <w:t>El porcentaje que representan los aportes anuales al Fondo Capital</w:t>
      </w:r>
      <w:r>
        <w:rPr>
          <w:rFonts w:ascii="Arial" w:hAnsi="Arial" w:cs="Arial"/>
          <w:color w:val="000000"/>
          <w:sz w:val="24"/>
          <w:szCs w:val="24"/>
        </w:rPr>
        <w:t>, tomando en cuenta la cotización de la U.I. al 30/06/2014,</w:t>
      </w:r>
      <w:r w:rsidRPr="006A7F53">
        <w:rPr>
          <w:rFonts w:ascii="Arial" w:hAnsi="Arial" w:cs="Arial"/>
          <w:color w:val="000000"/>
          <w:sz w:val="24"/>
          <w:szCs w:val="24"/>
        </w:rPr>
        <w:t xml:space="preserve"> </w:t>
      </w:r>
      <w:r>
        <w:rPr>
          <w:rFonts w:ascii="Arial" w:hAnsi="Arial" w:cs="Arial"/>
          <w:color w:val="000000"/>
          <w:sz w:val="24"/>
          <w:szCs w:val="24"/>
        </w:rPr>
        <w:t>con</w:t>
      </w:r>
      <w:r w:rsidRPr="006A7F53">
        <w:rPr>
          <w:rFonts w:ascii="Arial" w:hAnsi="Arial" w:cs="Arial"/>
          <w:color w:val="000000"/>
          <w:sz w:val="24"/>
          <w:szCs w:val="24"/>
        </w:rPr>
        <w:t xml:space="preserve"> relación a la recaudación por SUCIVE</w:t>
      </w:r>
      <w:r>
        <w:rPr>
          <w:rFonts w:ascii="Arial" w:hAnsi="Arial" w:cs="Arial"/>
          <w:color w:val="000000"/>
          <w:sz w:val="24"/>
          <w:szCs w:val="24"/>
        </w:rPr>
        <w:t xml:space="preserve"> durante el año 2014, </w:t>
      </w:r>
      <w:r w:rsidRPr="006A7F53">
        <w:rPr>
          <w:rFonts w:ascii="Arial" w:hAnsi="Arial" w:cs="Arial"/>
          <w:color w:val="000000"/>
          <w:sz w:val="24"/>
          <w:szCs w:val="24"/>
        </w:rPr>
        <w:t xml:space="preserve"> es del  3</w:t>
      </w:r>
      <w:r>
        <w:rPr>
          <w:rFonts w:ascii="Arial" w:hAnsi="Arial" w:cs="Arial"/>
          <w:color w:val="000000"/>
          <w:sz w:val="24"/>
          <w:szCs w:val="24"/>
        </w:rPr>
        <w:t>0</w:t>
      </w:r>
      <w:r w:rsidRPr="006A7F53">
        <w:rPr>
          <w:rFonts w:ascii="Arial" w:hAnsi="Arial" w:cs="Arial"/>
          <w:color w:val="000000"/>
          <w:sz w:val="24"/>
          <w:szCs w:val="24"/>
        </w:rPr>
        <w:t>%</w:t>
      </w:r>
      <w:r>
        <w:rPr>
          <w:rFonts w:ascii="Arial" w:hAnsi="Arial" w:cs="Arial"/>
          <w:color w:val="000000"/>
          <w:sz w:val="24"/>
          <w:szCs w:val="24"/>
        </w:rPr>
        <w:t>.</w:t>
      </w:r>
    </w:p>
    <w:p w14:paraId="43CC1A8F" w14:textId="1FE267D8" w:rsidR="00D879B4" w:rsidRPr="006A7F53" w:rsidRDefault="00D879B4" w:rsidP="006A7F53">
      <w:pPr>
        <w:pStyle w:val="Prrafodelista"/>
        <w:numPr>
          <w:ilvl w:val="0"/>
          <w:numId w:val="2"/>
        </w:numPr>
        <w:autoSpaceDE w:val="0"/>
        <w:autoSpaceDN w:val="0"/>
        <w:adjustRightInd w:val="0"/>
        <w:spacing w:after="0" w:line="360" w:lineRule="auto"/>
        <w:jc w:val="both"/>
        <w:rPr>
          <w:rFonts w:ascii="Arial" w:hAnsi="Arial" w:cs="Arial"/>
          <w:color w:val="000000"/>
          <w:sz w:val="24"/>
          <w:szCs w:val="24"/>
        </w:rPr>
      </w:pPr>
      <w:r w:rsidRPr="006A7F53">
        <w:rPr>
          <w:rFonts w:ascii="Arial" w:hAnsi="Arial" w:cs="Arial"/>
          <w:color w:val="000000"/>
          <w:sz w:val="24"/>
          <w:szCs w:val="24"/>
        </w:rPr>
        <w:t xml:space="preserve">La recaudación </w:t>
      </w:r>
      <w:r>
        <w:rPr>
          <w:rFonts w:ascii="Arial" w:hAnsi="Arial" w:cs="Arial"/>
          <w:color w:val="000000"/>
          <w:sz w:val="24"/>
          <w:szCs w:val="24"/>
        </w:rPr>
        <w:t xml:space="preserve">del </w:t>
      </w:r>
      <w:r w:rsidRPr="006A7F53">
        <w:rPr>
          <w:rFonts w:ascii="Arial" w:hAnsi="Arial" w:cs="Arial"/>
          <w:color w:val="000000"/>
          <w:sz w:val="24"/>
          <w:szCs w:val="24"/>
        </w:rPr>
        <w:t>SUCIVE represent</w:t>
      </w:r>
      <w:r>
        <w:rPr>
          <w:rFonts w:ascii="Arial" w:hAnsi="Arial" w:cs="Arial"/>
          <w:color w:val="000000"/>
          <w:sz w:val="24"/>
          <w:szCs w:val="24"/>
        </w:rPr>
        <w:t>ó en el ejercicio 2014</w:t>
      </w:r>
      <w:r w:rsidRPr="006A7F53">
        <w:rPr>
          <w:rFonts w:ascii="Arial" w:hAnsi="Arial" w:cs="Arial"/>
          <w:color w:val="000000"/>
          <w:sz w:val="24"/>
          <w:szCs w:val="24"/>
        </w:rPr>
        <w:t xml:space="preserve"> un 16.60% del</w:t>
      </w:r>
      <w:r w:rsidR="00937F8E">
        <w:rPr>
          <w:rFonts w:ascii="Arial" w:hAnsi="Arial" w:cs="Arial"/>
          <w:color w:val="000000"/>
          <w:sz w:val="24"/>
          <w:szCs w:val="24"/>
        </w:rPr>
        <w:t xml:space="preserve"> total de la recaudación anual.</w:t>
      </w:r>
    </w:p>
    <w:p w14:paraId="0823C508" w14:textId="77777777" w:rsidR="00D879B4" w:rsidRPr="006A7F53" w:rsidRDefault="00D879B4" w:rsidP="006A7F53">
      <w:pPr>
        <w:pStyle w:val="Prrafodelista"/>
        <w:numPr>
          <w:ilvl w:val="0"/>
          <w:numId w:val="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Como consecuencia de lo anterior, e</w:t>
      </w:r>
      <w:r w:rsidRPr="006A7F53">
        <w:rPr>
          <w:rFonts w:ascii="Arial" w:hAnsi="Arial" w:cs="Arial"/>
          <w:color w:val="000000"/>
          <w:sz w:val="24"/>
          <w:szCs w:val="24"/>
        </w:rPr>
        <w:t>l porcentaje de los aportes</w:t>
      </w:r>
      <w:r>
        <w:rPr>
          <w:rFonts w:ascii="Arial" w:hAnsi="Arial" w:cs="Arial"/>
          <w:color w:val="000000"/>
          <w:sz w:val="24"/>
          <w:szCs w:val="24"/>
        </w:rPr>
        <w:t xml:space="preserve"> anuales</w:t>
      </w:r>
      <w:r w:rsidRPr="006A7F53">
        <w:rPr>
          <w:rFonts w:ascii="Arial" w:hAnsi="Arial" w:cs="Arial"/>
          <w:color w:val="000000"/>
          <w:sz w:val="24"/>
          <w:szCs w:val="24"/>
        </w:rPr>
        <w:t xml:space="preserve"> al Fondo Capital sobre el total</w:t>
      </w:r>
      <w:r>
        <w:rPr>
          <w:rFonts w:ascii="Arial" w:hAnsi="Arial" w:cs="Arial"/>
          <w:color w:val="000000"/>
          <w:sz w:val="24"/>
          <w:szCs w:val="24"/>
        </w:rPr>
        <w:t xml:space="preserve"> de la</w:t>
      </w:r>
      <w:r w:rsidRPr="006A7F53">
        <w:rPr>
          <w:rFonts w:ascii="Arial" w:hAnsi="Arial" w:cs="Arial"/>
          <w:color w:val="000000"/>
          <w:sz w:val="24"/>
          <w:szCs w:val="24"/>
        </w:rPr>
        <w:t xml:space="preserve"> recaudación</w:t>
      </w:r>
      <w:r>
        <w:rPr>
          <w:rFonts w:ascii="Arial" w:hAnsi="Arial" w:cs="Arial"/>
          <w:color w:val="000000"/>
          <w:sz w:val="24"/>
          <w:szCs w:val="24"/>
        </w:rPr>
        <w:t xml:space="preserve"> se estima en un</w:t>
      </w:r>
      <w:r w:rsidRPr="006A7F53">
        <w:rPr>
          <w:rFonts w:ascii="Arial" w:hAnsi="Arial" w:cs="Arial"/>
          <w:color w:val="000000"/>
          <w:sz w:val="24"/>
          <w:szCs w:val="24"/>
        </w:rPr>
        <w:t xml:space="preserve"> </w:t>
      </w:r>
      <w:r>
        <w:rPr>
          <w:rFonts w:ascii="Arial" w:hAnsi="Arial" w:cs="Arial"/>
          <w:color w:val="000000"/>
          <w:sz w:val="24"/>
          <w:szCs w:val="24"/>
        </w:rPr>
        <w:t>5</w:t>
      </w:r>
      <w:r w:rsidRPr="006A7F53">
        <w:rPr>
          <w:rFonts w:ascii="Arial" w:hAnsi="Arial" w:cs="Arial"/>
          <w:color w:val="000000"/>
          <w:sz w:val="24"/>
          <w:szCs w:val="24"/>
        </w:rPr>
        <w:t>%</w:t>
      </w:r>
      <w:r>
        <w:rPr>
          <w:rFonts w:ascii="Arial" w:hAnsi="Arial" w:cs="Arial"/>
          <w:color w:val="000000"/>
          <w:sz w:val="24"/>
          <w:szCs w:val="24"/>
        </w:rPr>
        <w:t>.</w:t>
      </w:r>
    </w:p>
    <w:p w14:paraId="5F4A78A7" w14:textId="77777777" w:rsidR="00D879B4" w:rsidRPr="006A7F53" w:rsidRDefault="00D879B4" w:rsidP="006A7F53">
      <w:pPr>
        <w:pStyle w:val="Prrafodelista"/>
        <w:numPr>
          <w:ilvl w:val="0"/>
          <w:numId w:val="2"/>
        </w:numPr>
        <w:autoSpaceDE w:val="0"/>
        <w:autoSpaceDN w:val="0"/>
        <w:adjustRightInd w:val="0"/>
        <w:spacing w:after="0" w:line="360" w:lineRule="auto"/>
        <w:jc w:val="both"/>
        <w:rPr>
          <w:rFonts w:ascii="Arial" w:hAnsi="Arial" w:cs="Arial"/>
          <w:color w:val="000000"/>
          <w:sz w:val="24"/>
          <w:szCs w:val="24"/>
        </w:rPr>
      </w:pPr>
      <w:r w:rsidRPr="006A7F53">
        <w:rPr>
          <w:rFonts w:ascii="Arial" w:hAnsi="Arial" w:cs="Arial"/>
          <w:color w:val="000000"/>
          <w:sz w:val="24"/>
          <w:szCs w:val="24"/>
        </w:rPr>
        <w:t>Para que la ejecución presupuestal</w:t>
      </w:r>
      <w:r>
        <w:rPr>
          <w:rFonts w:ascii="Arial" w:hAnsi="Arial" w:cs="Arial"/>
          <w:color w:val="000000"/>
          <w:sz w:val="24"/>
          <w:szCs w:val="24"/>
        </w:rPr>
        <w:t xml:space="preserve"> de la I</w:t>
      </w:r>
      <w:r w:rsidRPr="006A7F53">
        <w:rPr>
          <w:rFonts w:ascii="Arial" w:hAnsi="Arial" w:cs="Arial"/>
          <w:color w:val="000000"/>
          <w:sz w:val="24"/>
          <w:szCs w:val="24"/>
        </w:rPr>
        <w:t xml:space="preserve">ntendencia no </w:t>
      </w:r>
      <w:r>
        <w:rPr>
          <w:rFonts w:ascii="Arial" w:hAnsi="Arial" w:cs="Arial"/>
          <w:color w:val="000000"/>
          <w:sz w:val="24"/>
          <w:szCs w:val="24"/>
        </w:rPr>
        <w:t>resulte</w:t>
      </w:r>
      <w:r w:rsidRPr="006A7F53">
        <w:rPr>
          <w:rFonts w:ascii="Arial" w:hAnsi="Arial" w:cs="Arial"/>
          <w:color w:val="000000"/>
          <w:sz w:val="24"/>
          <w:szCs w:val="24"/>
        </w:rPr>
        <w:t xml:space="preserve"> deficitaria </w:t>
      </w:r>
      <w:r>
        <w:rPr>
          <w:rFonts w:ascii="Arial" w:hAnsi="Arial" w:cs="Arial"/>
          <w:color w:val="000000"/>
          <w:sz w:val="24"/>
          <w:szCs w:val="24"/>
        </w:rPr>
        <w:t>a partir del ejercicio en que comiencen los aportes, resultaría necesaria una reducción de los egresos, en</w:t>
      </w:r>
      <w:r w:rsidRPr="006A7F53">
        <w:rPr>
          <w:rFonts w:ascii="Arial" w:hAnsi="Arial" w:cs="Arial"/>
          <w:color w:val="000000"/>
          <w:sz w:val="24"/>
          <w:szCs w:val="24"/>
        </w:rPr>
        <w:t xml:space="preserve"> inversiones no previstas en el Fondo Capital </w:t>
      </w:r>
      <w:r>
        <w:rPr>
          <w:rFonts w:ascii="Arial" w:hAnsi="Arial" w:cs="Arial"/>
          <w:color w:val="000000"/>
          <w:sz w:val="24"/>
          <w:szCs w:val="24"/>
        </w:rPr>
        <w:t>u otros rubros, o incremento de los ingresos</w:t>
      </w:r>
      <w:r w:rsidRPr="006A7F53">
        <w:rPr>
          <w:rFonts w:ascii="Arial" w:hAnsi="Arial" w:cs="Arial"/>
          <w:color w:val="000000"/>
          <w:sz w:val="24"/>
          <w:szCs w:val="24"/>
        </w:rPr>
        <w:t xml:space="preserve"> en</w:t>
      </w:r>
      <w:r>
        <w:rPr>
          <w:rFonts w:ascii="Arial" w:hAnsi="Arial" w:cs="Arial"/>
          <w:color w:val="000000"/>
          <w:sz w:val="24"/>
          <w:szCs w:val="24"/>
        </w:rPr>
        <w:t xml:space="preserve"> un monto de</w:t>
      </w:r>
      <w:r w:rsidRPr="006A7F53">
        <w:rPr>
          <w:rFonts w:ascii="Arial" w:hAnsi="Arial" w:cs="Arial"/>
          <w:color w:val="000000"/>
          <w:sz w:val="24"/>
          <w:szCs w:val="24"/>
        </w:rPr>
        <w:t xml:space="preserve"> aproximadamente</w:t>
      </w:r>
      <w:r>
        <w:rPr>
          <w:rFonts w:ascii="Arial" w:hAnsi="Arial" w:cs="Arial"/>
          <w:color w:val="000000"/>
          <w:sz w:val="24"/>
          <w:szCs w:val="24"/>
        </w:rPr>
        <w:t xml:space="preserve"> </w:t>
      </w:r>
      <w:r w:rsidRPr="006A7F53">
        <w:rPr>
          <w:rFonts w:ascii="Arial" w:hAnsi="Arial" w:cs="Arial"/>
          <w:color w:val="000000"/>
          <w:sz w:val="24"/>
          <w:szCs w:val="24"/>
        </w:rPr>
        <w:t xml:space="preserve">$ </w:t>
      </w:r>
      <w:r w:rsidRPr="00AF74D5">
        <w:rPr>
          <w:rFonts w:ascii="Arial" w:hAnsi="Arial" w:cs="Arial"/>
          <w:sz w:val="24"/>
          <w:szCs w:val="24"/>
          <w:shd w:val="clear" w:color="auto" w:fill="FFFFFF" w:themeFill="background1"/>
        </w:rPr>
        <w:t>800:000:000 anuales</w:t>
      </w:r>
      <w:r w:rsidRPr="00AF74D5">
        <w:rPr>
          <w:rFonts w:ascii="Arial" w:hAnsi="Arial" w:cs="Arial"/>
          <w:sz w:val="24"/>
          <w:szCs w:val="24"/>
        </w:rPr>
        <w:t xml:space="preserve">. </w:t>
      </w:r>
      <w:r>
        <w:rPr>
          <w:rFonts w:ascii="Arial" w:hAnsi="Arial" w:cs="Arial"/>
          <w:sz w:val="24"/>
          <w:szCs w:val="24"/>
        </w:rPr>
        <w:t>Este importe</w:t>
      </w:r>
      <w:r w:rsidRPr="00916A9F">
        <w:rPr>
          <w:rFonts w:ascii="Arial" w:hAnsi="Arial" w:cs="Arial"/>
          <w:sz w:val="24"/>
          <w:szCs w:val="24"/>
        </w:rPr>
        <w:t xml:space="preserve"> resulta de la adición </w:t>
      </w:r>
      <w:r>
        <w:rPr>
          <w:rFonts w:ascii="Arial" w:hAnsi="Arial" w:cs="Arial"/>
          <w:sz w:val="24"/>
          <w:szCs w:val="24"/>
        </w:rPr>
        <w:t xml:space="preserve">del monto estimado de </w:t>
      </w:r>
      <w:r w:rsidRPr="00916A9F">
        <w:rPr>
          <w:rFonts w:ascii="Arial" w:hAnsi="Arial" w:cs="Arial"/>
          <w:sz w:val="24"/>
          <w:szCs w:val="24"/>
        </w:rPr>
        <w:t>aporte</w:t>
      </w:r>
      <w:r>
        <w:rPr>
          <w:rFonts w:ascii="Arial" w:hAnsi="Arial" w:cs="Arial"/>
          <w:sz w:val="24"/>
          <w:szCs w:val="24"/>
        </w:rPr>
        <w:t xml:space="preserve"> anual al Fondo de U.I. 250 millones</w:t>
      </w:r>
      <w:r w:rsidRPr="00916A9F">
        <w:rPr>
          <w:rFonts w:ascii="Arial" w:hAnsi="Arial" w:cs="Arial"/>
          <w:sz w:val="24"/>
          <w:szCs w:val="24"/>
        </w:rPr>
        <w:t xml:space="preserve"> y del déficit anual que se pod</w:t>
      </w:r>
      <w:r>
        <w:rPr>
          <w:rFonts w:ascii="Arial" w:hAnsi="Arial" w:cs="Arial"/>
          <w:sz w:val="24"/>
          <w:szCs w:val="24"/>
        </w:rPr>
        <w:t>ría generar si se mantiene</w:t>
      </w:r>
      <w:r w:rsidRPr="00916A9F">
        <w:rPr>
          <w:rFonts w:ascii="Arial" w:hAnsi="Arial" w:cs="Arial"/>
          <w:sz w:val="24"/>
          <w:szCs w:val="24"/>
        </w:rPr>
        <w:t xml:space="preserve"> una estructura de recursos y gastos similar a la del </w:t>
      </w:r>
      <w:r>
        <w:rPr>
          <w:rFonts w:ascii="Arial" w:hAnsi="Arial" w:cs="Arial"/>
          <w:sz w:val="24"/>
          <w:szCs w:val="24"/>
        </w:rPr>
        <w:t>E</w:t>
      </w:r>
      <w:r w:rsidRPr="00916A9F">
        <w:rPr>
          <w:rFonts w:ascii="Arial" w:hAnsi="Arial" w:cs="Arial"/>
          <w:sz w:val="24"/>
          <w:szCs w:val="24"/>
        </w:rPr>
        <w:t>jercicio 2014.</w:t>
      </w:r>
    </w:p>
    <w:p w14:paraId="47039A13" w14:textId="77777777" w:rsidR="00D879B4" w:rsidRPr="00823F24" w:rsidRDefault="00D879B4" w:rsidP="00823F24">
      <w:pPr>
        <w:autoSpaceDE w:val="0"/>
        <w:autoSpaceDN w:val="0"/>
        <w:adjustRightInd w:val="0"/>
        <w:spacing w:after="0" w:line="360" w:lineRule="auto"/>
        <w:jc w:val="both"/>
        <w:rPr>
          <w:rFonts w:ascii="Arial" w:hAnsi="Arial" w:cs="Arial"/>
          <w:color w:val="000000"/>
          <w:sz w:val="24"/>
          <w:szCs w:val="24"/>
        </w:rPr>
      </w:pPr>
      <w:r w:rsidRPr="00823F24">
        <w:rPr>
          <w:rFonts w:ascii="Arial" w:hAnsi="Arial" w:cs="Arial"/>
          <w:color w:val="000000"/>
          <w:sz w:val="24"/>
          <w:szCs w:val="24"/>
        </w:rPr>
        <w:t>Estas consideraciones se basan en el supuesto de que la estructura de gastos e ingresos de la Intendencia se mantendrá constante en los próximos 5 años.</w:t>
      </w:r>
    </w:p>
    <w:p w14:paraId="703AAAF5" w14:textId="35E95ECC" w:rsidR="00D879B4" w:rsidRDefault="00D879B4" w:rsidP="00937F8E">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Asimismo, corresponde señalar que, para financiar el déficit acumulado al 31/12/2014 de $ 2.726.619.000 en la próxima instancia presupuestal, se deberán abatir gastos o incrementar rec</w:t>
      </w:r>
      <w:r w:rsidR="00937F8E">
        <w:rPr>
          <w:rFonts w:ascii="Arial" w:hAnsi="Arial" w:cs="Arial"/>
          <w:color w:val="000000"/>
          <w:sz w:val="24"/>
          <w:szCs w:val="24"/>
        </w:rPr>
        <w:t>ursos por un monto equivalente.</w:t>
      </w:r>
    </w:p>
    <w:p w14:paraId="15BD73F7" w14:textId="77777777" w:rsidR="00D879B4" w:rsidRDefault="00D879B4">
      <w:pPr>
        <w:autoSpaceDE w:val="0"/>
        <w:autoSpaceDN w:val="0"/>
        <w:adjustRightInd w:val="0"/>
        <w:spacing w:after="0" w:line="360" w:lineRule="auto"/>
        <w:rPr>
          <w:rFonts w:ascii="Arial" w:hAnsi="Arial" w:cs="Arial"/>
          <w:b/>
          <w:bCs/>
          <w:sz w:val="24"/>
          <w:szCs w:val="24"/>
        </w:rPr>
      </w:pPr>
    </w:p>
    <w:p w14:paraId="2016810E" w14:textId="77777777" w:rsidR="00D879B4" w:rsidRDefault="00D879B4" w:rsidP="00C07AFA">
      <w:pPr>
        <w:autoSpaceDE w:val="0"/>
        <w:autoSpaceDN w:val="0"/>
        <w:adjustRightInd w:val="0"/>
        <w:spacing w:after="0" w:line="360" w:lineRule="auto"/>
        <w:ind w:left="2124" w:hanging="2124"/>
        <w:rPr>
          <w:rFonts w:ascii="Arial" w:hAnsi="Arial" w:cs="Arial"/>
          <w:b/>
          <w:bCs/>
          <w:sz w:val="24"/>
          <w:szCs w:val="24"/>
        </w:rPr>
      </w:pPr>
      <w:r>
        <w:rPr>
          <w:rFonts w:ascii="Arial" w:hAnsi="Arial" w:cs="Arial"/>
          <w:b/>
          <w:bCs/>
          <w:sz w:val="24"/>
          <w:szCs w:val="24"/>
        </w:rPr>
        <w:t>5) NORMAS Y CRITERIOS APLICABLES</w:t>
      </w:r>
    </w:p>
    <w:p w14:paraId="1A61C404" w14:textId="77777777" w:rsidR="00D879B4" w:rsidRDefault="00D879B4">
      <w:pPr>
        <w:autoSpaceDE w:val="0"/>
        <w:autoSpaceDN w:val="0"/>
        <w:adjustRightInd w:val="0"/>
        <w:spacing w:after="0" w:line="360" w:lineRule="auto"/>
        <w:ind w:left="2124" w:firstLine="708"/>
        <w:rPr>
          <w:rFonts w:ascii="Arial" w:hAnsi="Arial" w:cs="Arial"/>
          <w:b/>
          <w:bCs/>
          <w:sz w:val="24"/>
          <w:szCs w:val="24"/>
        </w:rPr>
      </w:pPr>
    </w:p>
    <w:p w14:paraId="33A97D55" w14:textId="77777777" w:rsidR="00D879B4" w:rsidRDefault="00D879B4" w:rsidP="00C07AFA">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5.1 </w:t>
      </w:r>
      <w:r>
        <w:rPr>
          <w:rFonts w:ascii="Arial" w:hAnsi="Arial" w:cs="Arial"/>
          <w:sz w:val="24"/>
          <w:szCs w:val="24"/>
        </w:rPr>
        <w:t>De conformidad al Artículo 301 inciso 2 de la Constitución de la República, los Gobiernos Departamentales requieren, para contratar préstamos</w:t>
      </w:r>
      <w:proofErr w:type="gramStart"/>
      <w:r>
        <w:rPr>
          <w:rFonts w:ascii="Arial" w:hAnsi="Arial" w:cs="Arial"/>
          <w:sz w:val="24"/>
          <w:szCs w:val="24"/>
        </w:rPr>
        <w:t>, ”</w:t>
      </w:r>
      <w:proofErr w:type="gramEnd"/>
      <w:r>
        <w:rPr>
          <w:rFonts w:ascii="Arial" w:hAnsi="Arial" w:cs="Arial"/>
          <w:sz w:val="24"/>
          <w:szCs w:val="24"/>
        </w:rPr>
        <w:t>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14:paraId="083A0258" w14:textId="77777777" w:rsidR="00D879B4" w:rsidRDefault="00D879B4" w:rsidP="00C07AFA">
      <w:pPr>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5.2</w:t>
      </w:r>
      <w:r>
        <w:rPr>
          <w:rFonts w:ascii="Arial" w:hAnsi="Arial" w:cs="Arial"/>
          <w:spacing w:val="-3"/>
          <w:sz w:val="24"/>
          <w:szCs w:val="24"/>
          <w:lang w:val="es-ES_tradnl"/>
        </w:rPr>
        <w:t xml:space="preserve"> El informe del Tribunal tiene por objeto el control de los aspectos legales de la contratación proyectada, proporcionando asimismo la información que dispone sobre la evolución de la situación financiera con relación a los recursos del Organismo.</w:t>
      </w:r>
    </w:p>
    <w:p w14:paraId="3478A2FD" w14:textId="77777777" w:rsidR="00D879B4" w:rsidRDefault="00D879B4" w:rsidP="00C07AFA">
      <w:pPr>
        <w:autoSpaceDE w:val="0"/>
        <w:autoSpaceDN w:val="0"/>
        <w:adjustRightInd w:val="0"/>
        <w:spacing w:after="0" w:line="360" w:lineRule="auto"/>
        <w:jc w:val="both"/>
        <w:rPr>
          <w:rFonts w:ascii="Arial" w:hAnsi="Arial" w:cs="Arial"/>
          <w:b/>
          <w:bCs/>
          <w:sz w:val="24"/>
          <w:szCs w:val="24"/>
        </w:rPr>
      </w:pPr>
      <w:r>
        <w:rPr>
          <w:rFonts w:ascii="Arial" w:hAnsi="Arial" w:cs="Arial"/>
          <w:spacing w:val="-3"/>
          <w:sz w:val="24"/>
          <w:szCs w:val="24"/>
          <w:lang w:val="es-ES_tradnl"/>
        </w:rPr>
        <w:t>Dicho informe, de acuerdo con la norma precitada, debe ser previo al pronunciamiento de la Junta.</w:t>
      </w:r>
    </w:p>
    <w:p w14:paraId="1311A685" w14:textId="77777777" w:rsidR="00D879B4" w:rsidRDefault="00D879B4">
      <w:pPr>
        <w:autoSpaceDE w:val="0"/>
        <w:autoSpaceDN w:val="0"/>
        <w:adjustRightInd w:val="0"/>
        <w:spacing w:after="0" w:line="360" w:lineRule="auto"/>
        <w:rPr>
          <w:rFonts w:ascii="Arial" w:hAnsi="Arial" w:cs="Arial"/>
          <w:b/>
          <w:bCs/>
          <w:sz w:val="24"/>
          <w:szCs w:val="24"/>
        </w:rPr>
      </w:pPr>
    </w:p>
    <w:p w14:paraId="272DF14B" w14:textId="77777777" w:rsidR="00D879B4" w:rsidRDefault="00D879B4" w:rsidP="00C07AFA">
      <w:pPr>
        <w:autoSpaceDE w:val="0"/>
        <w:autoSpaceDN w:val="0"/>
        <w:adjustRightInd w:val="0"/>
        <w:spacing w:after="0" w:line="360" w:lineRule="auto"/>
        <w:ind w:left="2124" w:hanging="2124"/>
        <w:rPr>
          <w:rFonts w:ascii="Arial" w:hAnsi="Arial" w:cs="Arial"/>
          <w:b/>
          <w:bCs/>
          <w:sz w:val="24"/>
          <w:szCs w:val="24"/>
        </w:rPr>
      </w:pPr>
      <w:r>
        <w:rPr>
          <w:rFonts w:ascii="Arial" w:hAnsi="Arial" w:cs="Arial"/>
          <w:b/>
          <w:bCs/>
          <w:sz w:val="24"/>
          <w:szCs w:val="24"/>
        </w:rPr>
        <w:t>6) CONCLUSIONES</w:t>
      </w:r>
    </w:p>
    <w:p w14:paraId="288E8DD5" w14:textId="77777777" w:rsidR="00D879B4" w:rsidRDefault="00D879B4">
      <w:pPr>
        <w:autoSpaceDE w:val="0"/>
        <w:autoSpaceDN w:val="0"/>
        <w:adjustRightInd w:val="0"/>
        <w:spacing w:after="0" w:line="360" w:lineRule="auto"/>
        <w:rPr>
          <w:rFonts w:ascii="Arial" w:hAnsi="Arial" w:cs="Arial"/>
          <w:b/>
          <w:bCs/>
          <w:sz w:val="24"/>
          <w:szCs w:val="24"/>
        </w:rPr>
      </w:pPr>
    </w:p>
    <w:p w14:paraId="7FE3F812" w14:textId="2D0102DF" w:rsidR="00D879B4" w:rsidRDefault="00D879B4" w:rsidP="00C07AFA">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6.1 </w:t>
      </w:r>
      <w:r>
        <w:rPr>
          <w:rFonts w:ascii="Arial" w:hAnsi="Arial" w:cs="Arial"/>
          <w:sz w:val="24"/>
          <w:szCs w:val="24"/>
        </w:rPr>
        <w:t>Se ha dado cumplimiento a lo dispuesto por el Artículo 301 Inciso 2º de la Constitución de la República al solicitarse el informe que compete a este Tribunal, previamente a la anuencia del Legislativo Departamental y</w:t>
      </w:r>
      <w:r w:rsidR="00937F8E">
        <w:rPr>
          <w:rFonts w:ascii="Arial" w:hAnsi="Arial" w:cs="Arial"/>
          <w:sz w:val="24"/>
          <w:szCs w:val="24"/>
        </w:rPr>
        <w:t xml:space="preserve"> a la suscripción del contrato.</w:t>
      </w:r>
    </w:p>
    <w:p w14:paraId="67B0C69E" w14:textId="6870735F" w:rsidR="00D879B4" w:rsidRDefault="00D879B4" w:rsidP="00DB3DF1">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 xml:space="preserve">6.2 </w:t>
      </w:r>
      <w:r>
        <w:rPr>
          <w:rFonts w:ascii="Arial" w:hAnsi="Arial" w:cs="Arial"/>
          <w:sz w:val="24"/>
          <w:szCs w:val="24"/>
        </w:rPr>
        <w:t>El presente informe se emite en el entendido de que se proyecta exclusivamente un Fideicomiso Financiero y no de Administración que incluya la contra</w:t>
      </w:r>
      <w:r w:rsidR="00D76AFE">
        <w:rPr>
          <w:rFonts w:ascii="Arial" w:hAnsi="Arial" w:cs="Arial"/>
          <w:sz w:val="24"/>
          <w:szCs w:val="24"/>
        </w:rPr>
        <w:t>tación y ejecución de las obras.</w:t>
      </w:r>
    </w:p>
    <w:p w14:paraId="03C093D0" w14:textId="4C9078F6" w:rsidR="00D879B4" w:rsidRDefault="00D879B4" w:rsidP="00DB3DF1">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6.3 </w:t>
      </w:r>
      <w:r>
        <w:rPr>
          <w:rFonts w:ascii="Arial" w:hAnsi="Arial" w:cs="Arial"/>
          <w:sz w:val="24"/>
          <w:szCs w:val="24"/>
        </w:rPr>
        <w:t>Se deberá hacer la previsión presupuestal de fondos para el pago de las obras, así como de los gastos e intereses derivad</w:t>
      </w:r>
      <w:r w:rsidR="00D76AFE">
        <w:rPr>
          <w:rFonts w:ascii="Arial" w:hAnsi="Arial" w:cs="Arial"/>
          <w:sz w:val="24"/>
          <w:szCs w:val="24"/>
        </w:rPr>
        <w:t>os del Fideicomiso proyectado.</w:t>
      </w:r>
    </w:p>
    <w:p w14:paraId="0DF34212" w14:textId="482D097B" w:rsidR="00D879B4" w:rsidRDefault="00D879B4" w:rsidP="00DB3DF1">
      <w:pPr>
        <w:autoSpaceDE w:val="0"/>
        <w:autoSpaceDN w:val="0"/>
        <w:adjustRightInd w:val="0"/>
        <w:spacing w:after="0" w:line="360" w:lineRule="auto"/>
        <w:jc w:val="both"/>
        <w:rPr>
          <w:rFonts w:ascii="Arial" w:hAnsi="Arial" w:cs="Arial"/>
          <w:color w:val="000000"/>
          <w:sz w:val="24"/>
          <w:szCs w:val="24"/>
        </w:rPr>
      </w:pPr>
      <w:r w:rsidRPr="00C27A46">
        <w:rPr>
          <w:rFonts w:ascii="Arial" w:hAnsi="Arial" w:cs="Arial"/>
          <w:b/>
          <w:bCs/>
          <w:sz w:val="24"/>
          <w:szCs w:val="24"/>
        </w:rPr>
        <w:t>6.4</w:t>
      </w:r>
      <w:r>
        <w:rPr>
          <w:rFonts w:ascii="Arial" w:hAnsi="Arial" w:cs="Arial"/>
          <w:color w:val="000000"/>
          <w:sz w:val="24"/>
          <w:szCs w:val="24"/>
        </w:rPr>
        <w:t xml:space="preserve"> En las próximas instancias presupuestales deberán  tomarse en cuenta los aspectos referidos en el punto 4) a los efectos de que los presupuestos que se aprueben no resulten deficitarios (Artículo 225 de la</w:t>
      </w:r>
      <w:r w:rsidR="00937F8E">
        <w:rPr>
          <w:rFonts w:ascii="Arial" w:hAnsi="Arial" w:cs="Arial"/>
          <w:color w:val="000000"/>
          <w:sz w:val="24"/>
          <w:szCs w:val="24"/>
        </w:rPr>
        <w:t xml:space="preserve"> Constitución de</w:t>
      </w:r>
      <w:r w:rsidR="00D76AFE">
        <w:rPr>
          <w:rFonts w:ascii="Arial" w:hAnsi="Arial" w:cs="Arial"/>
          <w:color w:val="000000"/>
          <w:sz w:val="24"/>
          <w:szCs w:val="24"/>
        </w:rPr>
        <w:t xml:space="preserve"> la República).</w:t>
      </w:r>
    </w:p>
    <w:p w14:paraId="036E0086" w14:textId="77777777" w:rsidR="00D879B4" w:rsidRDefault="00D879B4" w:rsidP="00DB3DF1">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6.5 </w:t>
      </w:r>
      <w:r>
        <w:rPr>
          <w:rFonts w:ascii="Arial" w:hAnsi="Arial" w:cs="Arial"/>
          <w:sz w:val="24"/>
          <w:szCs w:val="24"/>
        </w:rPr>
        <w:t xml:space="preserve">Otorgada la anuencia respectiva y </w:t>
      </w:r>
      <w:proofErr w:type="gramStart"/>
      <w:r>
        <w:rPr>
          <w:rFonts w:ascii="Arial" w:hAnsi="Arial" w:cs="Arial"/>
          <w:sz w:val="24"/>
          <w:szCs w:val="24"/>
        </w:rPr>
        <w:t>culminado</w:t>
      </w:r>
      <w:proofErr w:type="gramEnd"/>
      <w:r>
        <w:rPr>
          <w:rFonts w:ascii="Arial" w:hAnsi="Arial" w:cs="Arial"/>
          <w:sz w:val="24"/>
          <w:szCs w:val="24"/>
        </w:rPr>
        <w:t xml:space="preserve"> el procedimiento legal de contratación que corresponda, deberá ser sometido por la Intendencia actuante, junto con el contrato proyectado o suscrito ad referéndum, a la intervención preventiva que compete a este Tribunal.</w:t>
      </w:r>
    </w:p>
    <w:p w14:paraId="568267D7" w14:textId="16A34A39" w:rsidR="00D879B4" w:rsidRPr="00D879B4" w:rsidRDefault="00D879B4" w:rsidP="00D879B4">
      <w:pPr>
        <w:autoSpaceDE w:val="0"/>
        <w:autoSpaceDN w:val="0"/>
        <w:adjustRightInd w:val="0"/>
        <w:spacing w:after="0" w:line="360" w:lineRule="auto"/>
        <w:jc w:val="both"/>
        <w:rPr>
          <w:rFonts w:ascii="LiberationSans-Regular" w:hAnsi="LiberationSans-Regular" w:cs="LiberationSans-Regular"/>
          <w:sz w:val="20"/>
          <w:szCs w:val="20"/>
        </w:rPr>
      </w:pPr>
      <w:proofErr w:type="spellStart"/>
      <w:proofErr w:type="gramStart"/>
      <w:r>
        <w:rPr>
          <w:rFonts w:ascii="Arial" w:hAnsi="Arial" w:cs="Arial"/>
          <w:sz w:val="24"/>
          <w:szCs w:val="24"/>
        </w:rPr>
        <w:t>ag</w:t>
      </w:r>
      <w:proofErr w:type="spellEnd"/>
      <w:proofErr w:type="gramEnd"/>
    </w:p>
    <w:sectPr w:rsidR="00D879B4" w:rsidRPr="00D879B4" w:rsidSect="008A268F">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68245" w14:textId="77777777" w:rsidR="00937F8E" w:rsidRDefault="00937F8E" w:rsidP="00E4263E">
      <w:pPr>
        <w:spacing w:after="0" w:line="240" w:lineRule="auto"/>
      </w:pPr>
      <w:r>
        <w:separator/>
      </w:r>
    </w:p>
  </w:endnote>
  <w:endnote w:type="continuationSeparator" w:id="0">
    <w:p w14:paraId="4551551C" w14:textId="77777777" w:rsidR="00937F8E" w:rsidRDefault="00937F8E" w:rsidP="00E4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iberationSans-Bold">
    <w:altName w:val="Arial"/>
    <w:panose1 w:val="00000000000000000000"/>
    <w:charset w:val="00"/>
    <w:family w:val="auto"/>
    <w:notTrueType/>
    <w:pitch w:val="default"/>
    <w:sig w:usb0="00000003" w:usb1="00000000" w:usb2="00000000" w:usb3="00000000" w:csb0="00000001" w:csb1="00000000"/>
  </w:font>
  <w:font w:name="LiberationSans-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26195"/>
      <w:docPartObj>
        <w:docPartGallery w:val="Page Numbers (Bottom of Page)"/>
        <w:docPartUnique/>
      </w:docPartObj>
    </w:sdtPr>
    <w:sdtContent>
      <w:p w14:paraId="301857C5" w14:textId="77777777" w:rsidR="00937F8E" w:rsidRDefault="00937F8E">
        <w:pPr>
          <w:pStyle w:val="Piedepgina"/>
          <w:jc w:val="center"/>
        </w:pPr>
      </w:p>
      <w:p w14:paraId="242AADFD" w14:textId="30EBEE7E" w:rsidR="00937F8E" w:rsidRDefault="00937F8E">
        <w:pPr>
          <w:pStyle w:val="Piedepgina"/>
          <w:jc w:val="center"/>
        </w:pPr>
        <w:r>
          <w:fldChar w:fldCharType="begin"/>
        </w:r>
        <w:r>
          <w:instrText>PAGE   \* MERGEFORMAT</w:instrText>
        </w:r>
        <w:r>
          <w:fldChar w:fldCharType="separate"/>
        </w:r>
        <w:r w:rsidR="00D76AFE">
          <w:rPr>
            <w:noProof/>
          </w:rPr>
          <w:t>1</w:t>
        </w:r>
        <w:r>
          <w:fldChar w:fldCharType="end"/>
        </w:r>
      </w:p>
    </w:sdtContent>
  </w:sdt>
  <w:p w14:paraId="1F537822" w14:textId="77777777" w:rsidR="00937F8E" w:rsidRDefault="00937F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85ACF" w14:textId="77777777" w:rsidR="00937F8E" w:rsidRDefault="00937F8E" w:rsidP="00E4263E">
      <w:pPr>
        <w:spacing w:after="0" w:line="240" w:lineRule="auto"/>
      </w:pPr>
      <w:r>
        <w:separator/>
      </w:r>
    </w:p>
  </w:footnote>
  <w:footnote w:type="continuationSeparator" w:id="0">
    <w:p w14:paraId="282CE77D" w14:textId="77777777" w:rsidR="00937F8E" w:rsidRDefault="00937F8E" w:rsidP="00E42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B9F"/>
    <w:multiLevelType w:val="hybridMultilevel"/>
    <w:tmpl w:val="5F58404E"/>
    <w:lvl w:ilvl="0" w:tplc="0C0A000F">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2CFE42A1"/>
    <w:multiLevelType w:val="hybridMultilevel"/>
    <w:tmpl w:val="C9E8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75FC16F6"/>
    <w:multiLevelType w:val="hybridMultilevel"/>
    <w:tmpl w:val="FA08ABE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46"/>
    <w:rsid w:val="00030193"/>
    <w:rsid w:val="00046E46"/>
    <w:rsid w:val="00065597"/>
    <w:rsid w:val="000B61E0"/>
    <w:rsid w:val="000E2E6F"/>
    <w:rsid w:val="00144F45"/>
    <w:rsid w:val="001A3329"/>
    <w:rsid w:val="001C6862"/>
    <w:rsid w:val="00204F3D"/>
    <w:rsid w:val="00232745"/>
    <w:rsid w:val="00253499"/>
    <w:rsid w:val="00271DCA"/>
    <w:rsid w:val="00330A22"/>
    <w:rsid w:val="003D02FE"/>
    <w:rsid w:val="003F4243"/>
    <w:rsid w:val="0041558E"/>
    <w:rsid w:val="00425B74"/>
    <w:rsid w:val="00463B27"/>
    <w:rsid w:val="00464E0F"/>
    <w:rsid w:val="004C66A8"/>
    <w:rsid w:val="004E42A0"/>
    <w:rsid w:val="004F6AB6"/>
    <w:rsid w:val="0052409C"/>
    <w:rsid w:val="00592780"/>
    <w:rsid w:val="005C4F2E"/>
    <w:rsid w:val="006A6F35"/>
    <w:rsid w:val="006A7F53"/>
    <w:rsid w:val="00732308"/>
    <w:rsid w:val="00732FCB"/>
    <w:rsid w:val="00763AFC"/>
    <w:rsid w:val="00786171"/>
    <w:rsid w:val="00823F24"/>
    <w:rsid w:val="00886459"/>
    <w:rsid w:val="00891C62"/>
    <w:rsid w:val="00894DBA"/>
    <w:rsid w:val="008A1BFB"/>
    <w:rsid w:val="008A268F"/>
    <w:rsid w:val="008D6858"/>
    <w:rsid w:val="008E0078"/>
    <w:rsid w:val="008E35AD"/>
    <w:rsid w:val="008F23F7"/>
    <w:rsid w:val="00916A9F"/>
    <w:rsid w:val="00937F8E"/>
    <w:rsid w:val="009A59F8"/>
    <w:rsid w:val="009E2F90"/>
    <w:rsid w:val="00AF74D5"/>
    <w:rsid w:val="00B44B40"/>
    <w:rsid w:val="00B53190"/>
    <w:rsid w:val="00B559FD"/>
    <w:rsid w:val="00B643A1"/>
    <w:rsid w:val="00B81092"/>
    <w:rsid w:val="00BA771B"/>
    <w:rsid w:val="00C07AFA"/>
    <w:rsid w:val="00C27A46"/>
    <w:rsid w:val="00C403FF"/>
    <w:rsid w:val="00C66EF7"/>
    <w:rsid w:val="00C909B2"/>
    <w:rsid w:val="00CE55BE"/>
    <w:rsid w:val="00D4775C"/>
    <w:rsid w:val="00D76AFE"/>
    <w:rsid w:val="00D847EF"/>
    <w:rsid w:val="00D879B4"/>
    <w:rsid w:val="00DA160E"/>
    <w:rsid w:val="00DB3DF1"/>
    <w:rsid w:val="00E14B82"/>
    <w:rsid w:val="00E4263E"/>
    <w:rsid w:val="00E637F3"/>
    <w:rsid w:val="00EA2E05"/>
    <w:rsid w:val="00EF0458"/>
    <w:rsid w:val="00F05009"/>
    <w:rsid w:val="00F15D27"/>
    <w:rsid w:val="00F42AB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5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uiPriority w:val="99"/>
    <w:qFormat/>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paragraph" w:styleId="Ttulo2">
    <w:name w:val="heading 2"/>
    <w:basedOn w:val="Normal"/>
    <w:next w:val="Normal"/>
    <w:link w:val="Ttulo2Car"/>
    <w:uiPriority w:val="99"/>
    <w:qFormat/>
    <w:pPr>
      <w:keepNext/>
      <w:widowControl w:val="0"/>
      <w:suppressAutoHyphens/>
      <w:spacing w:after="0" w:line="360" w:lineRule="auto"/>
      <w:ind w:left="1440" w:firstLine="720"/>
      <w:jc w:val="both"/>
      <w:outlineLvl w:val="1"/>
    </w:pPr>
    <w:rPr>
      <w:rFonts w:ascii="Bookman Old Style" w:hAnsi="Bookman Old Style" w:cs="Bookman Old Style"/>
      <w:b/>
      <w:bCs/>
      <w:spacing w:val="-3"/>
      <w:sz w:val="24"/>
      <w:szCs w:val="24"/>
      <w:lang w:val="es-ES_tradnl" w:eastAsia="es-ES"/>
    </w:rPr>
  </w:style>
  <w:style w:type="paragraph" w:styleId="Ttulo7">
    <w:name w:val="heading 7"/>
    <w:basedOn w:val="Normal"/>
    <w:next w:val="Normal"/>
    <w:link w:val="Ttulo7Car"/>
    <w:uiPriority w:val="99"/>
    <w:qFormat/>
    <w:pPr>
      <w:spacing w:before="240" w:after="60" w:line="240" w:lineRule="auto"/>
      <w:outlineLvl w:val="6"/>
    </w:pPr>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rPr>
      <w:rFonts w:ascii="Cambria" w:hAnsi="Cambria" w:cs="Cambria"/>
      <w:b/>
      <w:bCs/>
      <w:i/>
      <w:iCs/>
      <w:sz w:val="28"/>
      <w:szCs w:val="28"/>
      <w:lang w:eastAsia="en-US"/>
    </w:rPr>
  </w:style>
  <w:style w:type="character" w:customStyle="1" w:styleId="Ttulo7Car">
    <w:name w:val="Título 7 Car"/>
    <w:basedOn w:val="Fuentedeprrafopredeter"/>
    <w:link w:val="Ttulo7"/>
    <w:uiPriority w:val="99"/>
    <w:rPr>
      <w:rFonts w:ascii="Times New Roman" w:hAnsi="Times New Roman" w:cs="Times New Roman"/>
      <w:sz w:val="24"/>
      <w:szCs w:val="24"/>
      <w:lang w:eastAsia="en-US"/>
    </w:rPr>
  </w:style>
  <w:style w:type="paragraph" w:styleId="Textoindependiente">
    <w:name w:val="Body Text"/>
    <w:basedOn w:val="Normal"/>
    <w:link w:val="TextoindependienteCar"/>
    <w:uiPriority w:val="99"/>
    <w:pPr>
      <w:widowControl w:val="0"/>
      <w:suppressAutoHyphens/>
      <w:spacing w:after="0" w:line="240" w:lineRule="auto"/>
      <w:jc w:val="both"/>
    </w:pPr>
    <w:rPr>
      <w:rFonts w:ascii="Arial" w:hAnsi="Arial" w:cs="Arial"/>
      <w:spacing w:val="-3"/>
      <w:sz w:val="24"/>
      <w:szCs w:val="24"/>
      <w:lang w:val="es-ES_tradnl" w:eastAsia="es-ES"/>
    </w:rPr>
  </w:style>
  <w:style w:type="character" w:customStyle="1" w:styleId="TextoindependienteCar">
    <w:name w:val="Texto independiente Car"/>
    <w:basedOn w:val="Fuentedeprrafopredeter"/>
    <w:link w:val="Textoindependiente"/>
    <w:uiPriority w:val="99"/>
    <w:rPr>
      <w:rFonts w:ascii="Arial" w:hAnsi="Arial" w:cs="Arial"/>
      <w:snapToGrid w:val="0"/>
      <w:spacing w:val="-3"/>
      <w:sz w:val="20"/>
      <w:szCs w:val="20"/>
      <w:lang w:val="es-ES_tradnl" w:eastAsia="es-ES"/>
    </w:rPr>
  </w:style>
  <w:style w:type="paragraph" w:styleId="Prrafodelista">
    <w:name w:val="List Paragraph"/>
    <w:basedOn w:val="Normal"/>
    <w:uiPriority w:val="34"/>
    <w:qFormat/>
    <w:rsid w:val="006A7F53"/>
    <w:pPr>
      <w:ind w:left="720"/>
      <w:contextualSpacing/>
    </w:pPr>
  </w:style>
  <w:style w:type="paragraph" w:styleId="Encabezado">
    <w:name w:val="header"/>
    <w:basedOn w:val="Normal"/>
    <w:link w:val="EncabezadoCar"/>
    <w:uiPriority w:val="99"/>
    <w:unhideWhenUsed/>
    <w:rsid w:val="00E426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63E"/>
    <w:rPr>
      <w:rFonts w:ascii="Calibri" w:hAnsi="Calibri" w:cs="Calibri"/>
      <w:lang w:eastAsia="en-US"/>
    </w:rPr>
  </w:style>
  <w:style w:type="paragraph" w:styleId="Piedepgina">
    <w:name w:val="footer"/>
    <w:basedOn w:val="Normal"/>
    <w:link w:val="PiedepginaCar"/>
    <w:uiPriority w:val="99"/>
    <w:unhideWhenUsed/>
    <w:rsid w:val="00E426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63E"/>
    <w:rPr>
      <w:rFonts w:ascii="Calibri" w:hAnsi="Calibri" w:cs="Calibri"/>
      <w:lang w:eastAsia="en-US"/>
    </w:rPr>
  </w:style>
  <w:style w:type="paragraph" w:styleId="Textodeglobo">
    <w:name w:val="Balloon Text"/>
    <w:basedOn w:val="Normal"/>
    <w:link w:val="TextodegloboCar"/>
    <w:uiPriority w:val="99"/>
    <w:semiHidden/>
    <w:unhideWhenUsed/>
    <w:rsid w:val="001A33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3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uiPriority w:val="99"/>
    <w:qFormat/>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paragraph" w:styleId="Ttulo2">
    <w:name w:val="heading 2"/>
    <w:basedOn w:val="Normal"/>
    <w:next w:val="Normal"/>
    <w:link w:val="Ttulo2Car"/>
    <w:uiPriority w:val="99"/>
    <w:qFormat/>
    <w:pPr>
      <w:keepNext/>
      <w:widowControl w:val="0"/>
      <w:suppressAutoHyphens/>
      <w:spacing w:after="0" w:line="360" w:lineRule="auto"/>
      <w:ind w:left="1440" w:firstLine="720"/>
      <w:jc w:val="both"/>
      <w:outlineLvl w:val="1"/>
    </w:pPr>
    <w:rPr>
      <w:rFonts w:ascii="Bookman Old Style" w:hAnsi="Bookman Old Style" w:cs="Bookman Old Style"/>
      <w:b/>
      <w:bCs/>
      <w:spacing w:val="-3"/>
      <w:sz w:val="24"/>
      <w:szCs w:val="24"/>
      <w:lang w:val="es-ES_tradnl" w:eastAsia="es-ES"/>
    </w:rPr>
  </w:style>
  <w:style w:type="paragraph" w:styleId="Ttulo7">
    <w:name w:val="heading 7"/>
    <w:basedOn w:val="Normal"/>
    <w:next w:val="Normal"/>
    <w:link w:val="Ttulo7Car"/>
    <w:uiPriority w:val="99"/>
    <w:qFormat/>
    <w:pPr>
      <w:spacing w:before="240" w:after="60" w:line="240" w:lineRule="auto"/>
      <w:outlineLvl w:val="6"/>
    </w:pPr>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rPr>
      <w:rFonts w:ascii="Cambria" w:hAnsi="Cambria" w:cs="Cambria"/>
      <w:b/>
      <w:bCs/>
      <w:i/>
      <w:iCs/>
      <w:sz w:val="28"/>
      <w:szCs w:val="28"/>
      <w:lang w:eastAsia="en-US"/>
    </w:rPr>
  </w:style>
  <w:style w:type="character" w:customStyle="1" w:styleId="Ttulo7Car">
    <w:name w:val="Título 7 Car"/>
    <w:basedOn w:val="Fuentedeprrafopredeter"/>
    <w:link w:val="Ttulo7"/>
    <w:uiPriority w:val="99"/>
    <w:rPr>
      <w:rFonts w:ascii="Times New Roman" w:hAnsi="Times New Roman" w:cs="Times New Roman"/>
      <w:sz w:val="24"/>
      <w:szCs w:val="24"/>
      <w:lang w:eastAsia="en-US"/>
    </w:rPr>
  </w:style>
  <w:style w:type="paragraph" w:styleId="Textoindependiente">
    <w:name w:val="Body Text"/>
    <w:basedOn w:val="Normal"/>
    <w:link w:val="TextoindependienteCar"/>
    <w:uiPriority w:val="99"/>
    <w:pPr>
      <w:widowControl w:val="0"/>
      <w:suppressAutoHyphens/>
      <w:spacing w:after="0" w:line="240" w:lineRule="auto"/>
      <w:jc w:val="both"/>
    </w:pPr>
    <w:rPr>
      <w:rFonts w:ascii="Arial" w:hAnsi="Arial" w:cs="Arial"/>
      <w:spacing w:val="-3"/>
      <w:sz w:val="24"/>
      <w:szCs w:val="24"/>
      <w:lang w:val="es-ES_tradnl" w:eastAsia="es-ES"/>
    </w:rPr>
  </w:style>
  <w:style w:type="character" w:customStyle="1" w:styleId="TextoindependienteCar">
    <w:name w:val="Texto independiente Car"/>
    <w:basedOn w:val="Fuentedeprrafopredeter"/>
    <w:link w:val="Textoindependiente"/>
    <w:uiPriority w:val="99"/>
    <w:rPr>
      <w:rFonts w:ascii="Arial" w:hAnsi="Arial" w:cs="Arial"/>
      <w:snapToGrid w:val="0"/>
      <w:spacing w:val="-3"/>
      <w:sz w:val="20"/>
      <w:szCs w:val="20"/>
      <w:lang w:val="es-ES_tradnl" w:eastAsia="es-ES"/>
    </w:rPr>
  </w:style>
  <w:style w:type="paragraph" w:styleId="Prrafodelista">
    <w:name w:val="List Paragraph"/>
    <w:basedOn w:val="Normal"/>
    <w:uiPriority w:val="34"/>
    <w:qFormat/>
    <w:rsid w:val="006A7F53"/>
    <w:pPr>
      <w:ind w:left="720"/>
      <w:contextualSpacing/>
    </w:pPr>
  </w:style>
  <w:style w:type="paragraph" w:styleId="Encabezado">
    <w:name w:val="header"/>
    <w:basedOn w:val="Normal"/>
    <w:link w:val="EncabezadoCar"/>
    <w:uiPriority w:val="99"/>
    <w:unhideWhenUsed/>
    <w:rsid w:val="00E426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63E"/>
    <w:rPr>
      <w:rFonts w:ascii="Calibri" w:hAnsi="Calibri" w:cs="Calibri"/>
      <w:lang w:eastAsia="en-US"/>
    </w:rPr>
  </w:style>
  <w:style w:type="paragraph" w:styleId="Piedepgina">
    <w:name w:val="footer"/>
    <w:basedOn w:val="Normal"/>
    <w:link w:val="PiedepginaCar"/>
    <w:uiPriority w:val="99"/>
    <w:unhideWhenUsed/>
    <w:rsid w:val="00E426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63E"/>
    <w:rPr>
      <w:rFonts w:ascii="Calibri" w:hAnsi="Calibri" w:cs="Calibri"/>
      <w:lang w:eastAsia="en-US"/>
    </w:rPr>
  </w:style>
  <w:style w:type="paragraph" w:styleId="Textodeglobo">
    <w:name w:val="Balloon Text"/>
    <w:basedOn w:val="Normal"/>
    <w:link w:val="TextodegloboCar"/>
    <w:uiPriority w:val="99"/>
    <w:semiHidden/>
    <w:unhideWhenUsed/>
    <w:rsid w:val="001A33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3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32C3B-EC3B-4214-B65B-2AD1892C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1610</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CARPETA N° 2015-17-1-0007436            Montevideo, 1  de diciembre de 2015</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2015-17-1-0007436            Montevideo, 1  de diciembre de 2015</dc:title>
  <dc:creator>Tribunal1</dc:creator>
  <cp:lastModifiedBy> </cp:lastModifiedBy>
  <cp:revision>26</cp:revision>
  <cp:lastPrinted>2015-12-15T12:19:00Z</cp:lastPrinted>
  <dcterms:created xsi:type="dcterms:W3CDTF">2015-12-16T17:03:00Z</dcterms:created>
  <dcterms:modified xsi:type="dcterms:W3CDTF">2016-01-14T17:48:00Z</dcterms:modified>
</cp:coreProperties>
</file>