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5E9" w:rsidRPr="006106EA" w:rsidRDefault="00AB75E9">
      <w:pPr>
        <w:tabs>
          <w:tab w:val="center" w:pos="4253"/>
        </w:tabs>
        <w:suppressAutoHyphens/>
        <w:jc w:val="center"/>
        <w:rPr>
          <w:rFonts w:cs="Arial"/>
          <w:b/>
          <w:lang w:val="es-ES_tradnl"/>
        </w:rPr>
      </w:pPr>
      <w:bookmarkStart w:id="0" w:name="_GoBack"/>
      <w:bookmarkEnd w:id="0"/>
      <w:r w:rsidRPr="006106EA">
        <w:rPr>
          <w:rFonts w:cs="Arial"/>
          <w:b/>
          <w:lang w:val="es-ES_tradnl"/>
        </w:rPr>
        <w:t>RESOLUCION ADOPTADA POR EL</w:t>
      </w:r>
    </w:p>
    <w:p w:rsidR="00AB75E9" w:rsidRPr="006106EA" w:rsidRDefault="00AB75E9">
      <w:pPr>
        <w:tabs>
          <w:tab w:val="left" w:pos="-720"/>
        </w:tabs>
        <w:suppressAutoHyphens/>
        <w:jc w:val="center"/>
        <w:rPr>
          <w:rFonts w:cs="Arial"/>
          <w:b/>
          <w:lang w:val="es-ES_tradnl"/>
        </w:rPr>
      </w:pPr>
    </w:p>
    <w:p w:rsidR="00AB75E9" w:rsidRPr="006106EA" w:rsidRDefault="00AB75E9">
      <w:pPr>
        <w:tabs>
          <w:tab w:val="center" w:pos="4253"/>
        </w:tabs>
        <w:suppressAutoHyphens/>
        <w:jc w:val="center"/>
        <w:rPr>
          <w:rFonts w:cs="Arial"/>
          <w:b/>
          <w:lang w:val="es-ES_tradnl"/>
        </w:rPr>
      </w:pPr>
      <w:r w:rsidRPr="006106EA">
        <w:rPr>
          <w:rFonts w:cs="Arial"/>
          <w:b/>
          <w:lang w:val="es-ES_tradnl"/>
        </w:rPr>
        <w:t>TRIBUNAL DE CUENTAS</w:t>
      </w:r>
    </w:p>
    <w:p w:rsidR="00AB75E9" w:rsidRPr="006106EA" w:rsidRDefault="00AB75E9">
      <w:pPr>
        <w:tabs>
          <w:tab w:val="left" w:pos="-720"/>
        </w:tabs>
        <w:suppressAutoHyphens/>
        <w:jc w:val="center"/>
        <w:rPr>
          <w:rFonts w:cs="Arial"/>
          <w:b/>
          <w:lang w:val="es-ES_tradnl"/>
        </w:rPr>
      </w:pPr>
    </w:p>
    <w:p w:rsidR="00AB75E9" w:rsidRPr="006106EA" w:rsidRDefault="00AB75E9">
      <w:pPr>
        <w:tabs>
          <w:tab w:val="center" w:pos="4253"/>
        </w:tabs>
        <w:suppressAutoHyphens/>
        <w:jc w:val="center"/>
        <w:rPr>
          <w:rFonts w:cs="Arial"/>
          <w:b/>
          <w:lang w:val="es-ES_tradnl"/>
        </w:rPr>
      </w:pPr>
      <w:r w:rsidRPr="006106EA">
        <w:rPr>
          <w:rFonts w:cs="Arial"/>
          <w:b/>
          <w:lang w:val="es-ES_tradnl"/>
        </w:rPr>
        <w:t>EN SESION DE FECHA 16 DE DICIEMBRE DE 2015</w:t>
      </w:r>
    </w:p>
    <w:p w:rsidR="00AB75E9" w:rsidRPr="006106EA" w:rsidRDefault="00AB75E9">
      <w:pPr>
        <w:tabs>
          <w:tab w:val="center" w:pos="4253"/>
        </w:tabs>
        <w:suppressAutoHyphens/>
        <w:jc w:val="center"/>
        <w:rPr>
          <w:rFonts w:cs="Arial"/>
          <w:b/>
          <w:lang w:val="es-ES_tradnl"/>
        </w:rPr>
      </w:pPr>
    </w:p>
    <w:p w:rsidR="00AB75E9" w:rsidRPr="006106EA" w:rsidRDefault="00AB75E9">
      <w:pPr>
        <w:tabs>
          <w:tab w:val="center" w:pos="4253"/>
        </w:tabs>
        <w:suppressAutoHyphens/>
        <w:jc w:val="center"/>
        <w:rPr>
          <w:rFonts w:cs="Arial"/>
          <w:b/>
          <w:lang w:val="es-UY"/>
        </w:rPr>
      </w:pPr>
      <w:r w:rsidRPr="006106EA">
        <w:rPr>
          <w:rFonts w:cs="Arial"/>
          <w:b/>
          <w:lang w:val="es-UY"/>
        </w:rPr>
        <w:t xml:space="preserve">(E. E. Nº 2015-17-1-0003811, </w:t>
      </w:r>
      <w:proofErr w:type="spellStart"/>
      <w:r w:rsidRPr="006106EA">
        <w:rPr>
          <w:rFonts w:cs="Arial"/>
          <w:b/>
          <w:lang w:val="es-UY"/>
        </w:rPr>
        <w:t>Ent</w:t>
      </w:r>
      <w:proofErr w:type="spellEnd"/>
      <w:r w:rsidRPr="006106EA">
        <w:rPr>
          <w:rFonts w:cs="Arial"/>
          <w:b/>
          <w:lang w:val="es-UY"/>
        </w:rPr>
        <w:t>. N° 3106/15)</w:t>
      </w:r>
    </w:p>
    <w:p w:rsidR="00AB75E9" w:rsidRPr="00915AAB" w:rsidRDefault="00AB75E9">
      <w:pPr>
        <w:tabs>
          <w:tab w:val="center" w:pos="4253"/>
        </w:tabs>
        <w:suppressAutoHyphens/>
        <w:jc w:val="center"/>
        <w:rPr>
          <w:spacing w:val="-3"/>
          <w:lang w:val="es-UY"/>
        </w:rPr>
      </w:pPr>
    </w:p>
    <w:p w:rsidR="00AB75E9" w:rsidRPr="00AB75E9" w:rsidRDefault="00AB75E9" w:rsidP="00AB75E9">
      <w:pPr>
        <w:spacing w:line="360" w:lineRule="auto"/>
        <w:jc w:val="center"/>
        <w:rPr>
          <w:rFonts w:cs="Arial"/>
          <w:b/>
        </w:rPr>
      </w:pPr>
    </w:p>
    <w:p w:rsidR="00AB75E9" w:rsidRDefault="00AB75E9" w:rsidP="00AB75E9">
      <w:pPr>
        <w:spacing w:line="360" w:lineRule="auto"/>
        <w:ind w:firstLine="851"/>
        <w:jc w:val="both"/>
        <w:rPr>
          <w:rFonts w:cs="Arial"/>
        </w:rPr>
      </w:pPr>
      <w:r w:rsidRPr="00AB75E9">
        <w:rPr>
          <w:rFonts w:cs="Arial"/>
          <w:b/>
        </w:rPr>
        <w:t>VISTO:</w:t>
      </w:r>
      <w:r w:rsidRPr="00AB75E9">
        <w:rPr>
          <w:rFonts w:cs="Arial"/>
        </w:rPr>
        <w:t xml:space="preserve"> la Rendición de Cuentas y Balance de Ejecución Presupuestal de la Intendencia de Cerro Largo</w:t>
      </w:r>
      <w:r>
        <w:rPr>
          <w:rFonts w:cs="Arial"/>
        </w:rPr>
        <w:t xml:space="preserve"> correspondiente al E</w:t>
      </w:r>
      <w:r w:rsidRPr="00AB75E9">
        <w:rPr>
          <w:rFonts w:cs="Arial"/>
        </w:rPr>
        <w:t>jercicio 2014;</w:t>
      </w:r>
    </w:p>
    <w:p w:rsidR="00AB75E9" w:rsidRPr="00AB75E9" w:rsidRDefault="00AB75E9" w:rsidP="00AB75E9">
      <w:pPr>
        <w:spacing w:line="360" w:lineRule="auto"/>
        <w:ind w:firstLine="851"/>
        <w:jc w:val="both"/>
        <w:rPr>
          <w:rFonts w:cs="Arial"/>
        </w:rPr>
      </w:pPr>
      <w:r w:rsidRPr="00AB75E9">
        <w:rPr>
          <w:rFonts w:cs="Arial"/>
          <w:b/>
        </w:rPr>
        <w:t>RESULTANDO:</w:t>
      </w:r>
      <w:r w:rsidRPr="00AB75E9">
        <w:rPr>
          <w:rFonts w:cs="Arial"/>
        </w:rPr>
        <w:t xml:space="preserve"> 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AB75E9" w:rsidRPr="00AB75E9" w:rsidRDefault="00AB75E9" w:rsidP="00AB75E9">
      <w:pPr>
        <w:spacing w:line="360" w:lineRule="auto"/>
        <w:ind w:firstLine="851"/>
        <w:jc w:val="both"/>
        <w:rPr>
          <w:rFonts w:cs="Arial"/>
        </w:rPr>
      </w:pPr>
      <w:r w:rsidRPr="00AB75E9">
        <w:rPr>
          <w:rFonts w:cs="Arial"/>
          <w:b/>
        </w:rPr>
        <w:t>CONSIDERANDO:</w:t>
      </w:r>
      <w:r w:rsidRPr="00AB75E9">
        <w:rPr>
          <w:rFonts w:cs="Arial"/>
        </w:rPr>
        <w:t xml:space="preserve"> que las conclusiones y evidencias obtenidas son las que se expresan en el Informe de Auditoría, que incluye Dictamen e Informe a la Administración;</w:t>
      </w:r>
    </w:p>
    <w:p w:rsidR="00AB75E9" w:rsidRPr="00AB75E9" w:rsidRDefault="00AB75E9" w:rsidP="00AB75E9">
      <w:pPr>
        <w:spacing w:line="360" w:lineRule="auto"/>
        <w:ind w:firstLine="851"/>
        <w:jc w:val="both"/>
        <w:rPr>
          <w:rFonts w:cs="Arial"/>
        </w:rPr>
      </w:pPr>
      <w:r w:rsidRPr="00AB75E9">
        <w:rPr>
          <w:rFonts w:cs="Arial"/>
          <w:b/>
        </w:rPr>
        <w:t>ATENTO:</w:t>
      </w:r>
      <w:r w:rsidRPr="00AB75E9">
        <w:rPr>
          <w:rFonts w:cs="Arial"/>
        </w:rPr>
        <w:t xml:space="preserve"> a lo dispuesto por el Art</w:t>
      </w:r>
      <w:r>
        <w:rPr>
          <w:rFonts w:cs="Arial"/>
        </w:rPr>
        <w:t>ículo</w:t>
      </w:r>
      <w:r w:rsidRPr="00AB75E9">
        <w:rPr>
          <w:rFonts w:cs="Arial"/>
        </w:rPr>
        <w:t xml:space="preserve"> 211 Li</w:t>
      </w:r>
      <w:r>
        <w:rPr>
          <w:rFonts w:cs="Arial"/>
        </w:rPr>
        <w:t>teral</w:t>
      </w:r>
      <w:r w:rsidRPr="00AB75E9">
        <w:rPr>
          <w:rFonts w:cs="Arial"/>
        </w:rPr>
        <w:t xml:space="preserve"> C) de la Constitución de la República;</w:t>
      </w:r>
    </w:p>
    <w:p w:rsidR="00AB75E9" w:rsidRPr="00AB75E9" w:rsidRDefault="00AB75E9" w:rsidP="00AB75E9">
      <w:pPr>
        <w:spacing w:line="360" w:lineRule="auto"/>
        <w:jc w:val="center"/>
        <w:rPr>
          <w:rFonts w:cs="Arial"/>
          <w:b/>
        </w:rPr>
      </w:pPr>
      <w:r w:rsidRPr="00AB75E9">
        <w:rPr>
          <w:rFonts w:cs="Arial"/>
          <w:b/>
        </w:rPr>
        <w:t>EL TRIBUNAL ACUERDA</w:t>
      </w:r>
    </w:p>
    <w:p w:rsidR="00AB75E9" w:rsidRPr="00AB75E9" w:rsidRDefault="00AB75E9" w:rsidP="00AB75E9">
      <w:pPr>
        <w:spacing w:line="360" w:lineRule="auto"/>
        <w:ind w:left="284" w:hanging="284"/>
        <w:jc w:val="both"/>
        <w:rPr>
          <w:rFonts w:cs="Arial"/>
        </w:rPr>
      </w:pPr>
      <w:r w:rsidRPr="00AB75E9">
        <w:rPr>
          <w:rFonts w:cs="Arial"/>
          <w:b/>
        </w:rPr>
        <w:t xml:space="preserve">1) </w:t>
      </w:r>
      <w:r w:rsidRPr="00AB75E9">
        <w:rPr>
          <w:rFonts w:cs="Arial"/>
        </w:rPr>
        <w:t>Expedirse respecto a la Rendición de Cuentas y Balance de Ejecución Presupuestal de la Intendencia de Cerro Largo cor</w:t>
      </w:r>
      <w:r>
        <w:rPr>
          <w:rFonts w:cs="Arial"/>
        </w:rPr>
        <w:t>respondiente al E</w:t>
      </w:r>
      <w:r w:rsidRPr="00AB75E9">
        <w:rPr>
          <w:rFonts w:cs="Arial"/>
        </w:rPr>
        <w:t>jercicio 2014, en los términos del Info</w:t>
      </w:r>
      <w:r>
        <w:rPr>
          <w:rFonts w:cs="Arial"/>
        </w:rPr>
        <w:t>rme de Auditoría que se adjunta;</w:t>
      </w:r>
    </w:p>
    <w:p w:rsidR="00AB75E9" w:rsidRPr="00AB75E9" w:rsidRDefault="00AB75E9" w:rsidP="00AB75E9">
      <w:pPr>
        <w:spacing w:line="360" w:lineRule="auto"/>
        <w:ind w:left="284" w:hanging="284"/>
        <w:jc w:val="both"/>
        <w:rPr>
          <w:rFonts w:cs="Arial"/>
        </w:rPr>
      </w:pPr>
      <w:r w:rsidRPr="00AB75E9">
        <w:rPr>
          <w:rFonts w:cs="Arial"/>
          <w:b/>
        </w:rPr>
        <w:t xml:space="preserve">2)  </w:t>
      </w:r>
      <w:r w:rsidRPr="00AB75E9">
        <w:rPr>
          <w:rFonts w:cs="Arial"/>
        </w:rPr>
        <w:t>Comunicar la presente Resolución a la Junta Departamental e Intendencia de Cerro Largo</w:t>
      </w:r>
      <w:r>
        <w:rPr>
          <w:rFonts w:cs="Arial"/>
        </w:rPr>
        <w:t>;</w:t>
      </w:r>
    </w:p>
    <w:p w:rsidR="00AB75E9" w:rsidRDefault="00AB75E9" w:rsidP="00AB75E9">
      <w:pPr>
        <w:spacing w:line="360" w:lineRule="auto"/>
        <w:jc w:val="both"/>
        <w:rPr>
          <w:rFonts w:cs="Arial"/>
        </w:rPr>
      </w:pPr>
      <w:r w:rsidRPr="00AB75E9">
        <w:rPr>
          <w:rFonts w:cs="Arial"/>
          <w:b/>
        </w:rPr>
        <w:t>3)</w:t>
      </w:r>
      <w:r w:rsidRPr="00AB75E9">
        <w:rPr>
          <w:rFonts w:cs="Arial"/>
        </w:rPr>
        <w:t xml:space="preserve">  Dar cuenta a la Asamblea General.</w:t>
      </w:r>
    </w:p>
    <w:p w:rsidR="00AB75E9" w:rsidRDefault="00AB75E9" w:rsidP="00AB75E9">
      <w:pPr>
        <w:spacing w:line="360" w:lineRule="auto"/>
        <w:jc w:val="both"/>
        <w:rPr>
          <w:rFonts w:cs="Arial"/>
        </w:rPr>
      </w:pPr>
    </w:p>
    <w:p w:rsidR="00915AAB" w:rsidRDefault="00915AAB" w:rsidP="00AB75E9">
      <w:pPr>
        <w:spacing w:line="360" w:lineRule="auto"/>
        <w:jc w:val="both"/>
        <w:rPr>
          <w:rFonts w:cs="Arial"/>
        </w:rPr>
      </w:pPr>
    </w:p>
    <w:p w:rsidR="00915AAB" w:rsidRDefault="00915AAB" w:rsidP="00AB75E9">
      <w:pPr>
        <w:spacing w:line="360" w:lineRule="auto"/>
        <w:jc w:val="both"/>
        <w:rPr>
          <w:rFonts w:cs="Arial"/>
        </w:rPr>
      </w:pPr>
    </w:p>
    <w:p w:rsidR="00915AAB" w:rsidRDefault="00915AAB" w:rsidP="00AB75E9">
      <w:pPr>
        <w:spacing w:line="360" w:lineRule="auto"/>
        <w:jc w:val="both"/>
        <w:rPr>
          <w:rFonts w:cs="Arial"/>
        </w:rPr>
      </w:pPr>
    </w:p>
    <w:p w:rsidR="00915AAB" w:rsidRDefault="00915AAB" w:rsidP="006106EA">
      <w:pPr>
        <w:pStyle w:val="Ttulo1"/>
        <w:rPr>
          <w:rFonts w:cs="Arial"/>
        </w:rPr>
      </w:pPr>
      <w:bookmarkStart w:id="1" w:name="_Toc270003803"/>
      <w:bookmarkStart w:id="2" w:name="_Toc273464794"/>
      <w:bookmarkStart w:id="3" w:name="_Toc404767919"/>
      <w:r>
        <w:rPr>
          <w:rFonts w:cs="Arial"/>
        </w:rPr>
        <w:t>DICTAMEN</w:t>
      </w:r>
      <w:bookmarkEnd w:id="1"/>
      <w:bookmarkEnd w:id="2"/>
      <w:bookmarkEnd w:id="3"/>
    </w:p>
    <w:p w:rsidR="00915AAB" w:rsidRPr="00B20D9A" w:rsidRDefault="00915AAB" w:rsidP="006106EA">
      <w:pPr>
        <w:jc w:val="both"/>
      </w:pPr>
    </w:p>
    <w:p w:rsidR="00915AAB" w:rsidRDefault="00915AAB" w:rsidP="006106EA">
      <w:pPr>
        <w:spacing w:line="360" w:lineRule="auto"/>
        <w:jc w:val="both"/>
        <w:rPr>
          <w:rFonts w:cs="Arial"/>
          <w:lang w:val="es-MX"/>
        </w:rPr>
      </w:pPr>
      <w:r>
        <w:rPr>
          <w:rFonts w:cs="Arial"/>
          <w:lang w:val="es-MX"/>
        </w:rPr>
        <w:t>El Tribunal de Cuentas ha examinado la Rendición de Cuentas y el Balance de Ejecución Presupuestal de la Intendencia de Cerro Largo que comprenden los siguientes estados: de Ejecución Presupuestal con relación a los Recursos y a los Créditos, Resultado del Ejercicio, Resultados Acumulados y otros estados complementarios, correspondientes al Ejercicio finalizado al 31/12/2014.</w:t>
      </w:r>
    </w:p>
    <w:p w:rsidR="00915AAB" w:rsidRDefault="00915AAB" w:rsidP="006106EA">
      <w:pPr>
        <w:spacing w:line="360" w:lineRule="auto"/>
        <w:jc w:val="both"/>
        <w:rPr>
          <w:bCs/>
        </w:rPr>
      </w:pPr>
      <w:r>
        <w:rPr>
          <w:rFonts w:cs="Arial"/>
          <w:lang w:val="es-MX"/>
        </w:rPr>
        <w:t>También se presentan, en caso de corresponder, los incumplimientos legales constatados en el curso de la auditoría efectuada.</w:t>
      </w:r>
    </w:p>
    <w:p w:rsidR="00915AAB" w:rsidRDefault="00915AAB" w:rsidP="006106EA">
      <w:pPr>
        <w:pStyle w:val="Subttulo"/>
        <w:rPr>
          <w:rFonts w:ascii="Arial" w:hAnsi="Arial"/>
          <w:bCs/>
        </w:rPr>
      </w:pPr>
    </w:p>
    <w:p w:rsidR="00915AAB" w:rsidRDefault="00915AAB" w:rsidP="006106EA">
      <w:pPr>
        <w:pStyle w:val="Subttulo"/>
        <w:rPr>
          <w:rFonts w:ascii="Arial" w:hAnsi="Arial"/>
          <w:bCs/>
        </w:rPr>
      </w:pPr>
      <w:r>
        <w:rPr>
          <w:rFonts w:ascii="Arial" w:hAnsi="Arial"/>
          <w:bCs/>
        </w:rPr>
        <w:t>Responsabilidad de la Intendencia de Cerro Largo</w:t>
      </w:r>
    </w:p>
    <w:p w:rsidR="00915AAB" w:rsidRDefault="00915AAB" w:rsidP="006106EA">
      <w:pPr>
        <w:spacing w:line="360" w:lineRule="auto"/>
        <w:jc w:val="both"/>
        <w:rPr>
          <w:bCs/>
        </w:rPr>
      </w:pPr>
      <w:r>
        <w:rPr>
          <w:bCs/>
        </w:rPr>
        <w:t>La Intendencia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estos estados que estén libres de errores significativos, ya sea debido a fraude o error, y seleccionar y aplicar políticas contables apropiadas.</w:t>
      </w:r>
    </w:p>
    <w:p w:rsidR="00915AAB" w:rsidRDefault="00915AAB" w:rsidP="006106EA">
      <w:pPr>
        <w:spacing w:line="360" w:lineRule="auto"/>
        <w:jc w:val="both"/>
        <w:rPr>
          <w:b/>
        </w:rPr>
      </w:pPr>
    </w:p>
    <w:p w:rsidR="00915AAB" w:rsidRDefault="00915AAB" w:rsidP="006106EA">
      <w:pPr>
        <w:spacing w:line="360" w:lineRule="auto"/>
        <w:jc w:val="both"/>
        <w:rPr>
          <w:rFonts w:cs="Arial"/>
          <w:b/>
        </w:rPr>
      </w:pPr>
      <w:r>
        <w:rPr>
          <w:b/>
        </w:rPr>
        <w:t>Responsabilidad del auditor</w:t>
      </w:r>
    </w:p>
    <w:p w:rsidR="00915AAB" w:rsidRDefault="00915AAB" w:rsidP="006106EA">
      <w:pPr>
        <w:spacing w:line="360" w:lineRule="auto"/>
        <w:jc w:val="both"/>
      </w:pPr>
      <w:r>
        <w:t>La responsabilidad del Tribunal de Cuentas es expresar una opinión sobre dichos estados de ejecución presupuestal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w:t>
      </w:r>
    </w:p>
    <w:p w:rsidR="00915AAB" w:rsidRDefault="00915AAB" w:rsidP="006106EA">
      <w:pPr>
        <w:spacing w:line="360" w:lineRule="auto"/>
        <w:jc w:val="both"/>
      </w:pPr>
      <w: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915AAB" w:rsidRDefault="00915AAB" w:rsidP="006106EA">
      <w:pPr>
        <w:spacing w:line="360" w:lineRule="auto"/>
        <w:jc w:val="both"/>
      </w:pPr>
    </w:p>
    <w:p w:rsidR="00915AAB" w:rsidRDefault="00915AAB" w:rsidP="006106EA">
      <w:pPr>
        <w:spacing w:line="360" w:lineRule="auto"/>
        <w:jc w:val="both"/>
      </w:pPr>
      <w:r>
        <w:t>Se considera que la evidencia de auditoría obtenida brinda una base suficiente y apropiada para sustentar la opinión.</w:t>
      </w:r>
    </w:p>
    <w:p w:rsidR="00915AAB" w:rsidRDefault="00915AAB" w:rsidP="006106EA">
      <w:pPr>
        <w:spacing w:line="360" w:lineRule="auto"/>
        <w:jc w:val="both"/>
        <w:rPr>
          <w:highlight w:val="yellow"/>
        </w:rPr>
      </w:pPr>
    </w:p>
    <w:p w:rsidR="00915AAB" w:rsidRDefault="00915AAB" w:rsidP="006106EA">
      <w:pPr>
        <w:spacing w:line="360" w:lineRule="auto"/>
        <w:jc w:val="both"/>
        <w:rPr>
          <w:rFonts w:cs="Arial"/>
        </w:rPr>
      </w:pPr>
      <w:r>
        <w:rPr>
          <w:rFonts w:cs="Arial"/>
          <w:b/>
          <w:bCs/>
        </w:rPr>
        <w:t>Opinión</w:t>
      </w:r>
    </w:p>
    <w:p w:rsidR="00915AAB" w:rsidRDefault="00915AAB" w:rsidP="006106EA">
      <w:pPr>
        <w:spacing w:line="360" w:lineRule="auto"/>
        <w:jc w:val="both"/>
        <w:rPr>
          <w:rFonts w:cs="Arial"/>
        </w:rPr>
      </w:pPr>
      <w:r>
        <w:t>En opinión del Tribunal de Cuentas, el Balance de Ejecución Presupuestal  mencionado presenta razonablemente, en todos sus aspectos importantes, la ejecución presupuestal en relación a los recursos y a los créditos, el resultado del Ejercicio y el resultado acumulado al 31 de diciembre de 2014 de acuerdo con las normas establecidas en el TOCAF y la Resolución de este Tribunal de fecha 28/01/04.</w:t>
      </w:r>
    </w:p>
    <w:p w:rsidR="00915AAB" w:rsidRDefault="00915AAB" w:rsidP="006106EA">
      <w:pPr>
        <w:spacing w:line="360" w:lineRule="auto"/>
        <w:jc w:val="both"/>
      </w:pPr>
      <w:r>
        <w:t>En relación al cumplimiento de las normas vigentes, en el curso de la auditoría realizada, se ha constatado que:</w:t>
      </w:r>
    </w:p>
    <w:p w:rsidR="00915AAB" w:rsidRDefault="00915AAB" w:rsidP="006106EA">
      <w:pPr>
        <w:spacing w:line="360" w:lineRule="auto"/>
        <w:jc w:val="both"/>
        <w:rPr>
          <w:rFonts w:cs="Arial"/>
          <w:b/>
          <w:bCs/>
        </w:rPr>
      </w:pPr>
      <w:r>
        <w:rPr>
          <w:rFonts w:cs="Arial"/>
          <w:b/>
          <w:color w:val="000000"/>
        </w:rPr>
        <w:t>1</w:t>
      </w:r>
      <w:r>
        <w:rPr>
          <w:rFonts w:cs="Arial"/>
          <w:b/>
          <w:bCs/>
        </w:rPr>
        <w:t xml:space="preserve">. </w:t>
      </w:r>
      <w:r w:rsidRPr="00DD5BC9">
        <w:rPr>
          <w:rFonts w:cs="Arial"/>
          <w:b/>
          <w:bCs/>
        </w:rPr>
        <w:t>Artículo 211 Literal B) de la Constitución de la República y Artículo 87 del TOCAF</w:t>
      </w:r>
      <w:r w:rsidRPr="00DD5BC9">
        <w:rPr>
          <w:rFonts w:cs="Arial"/>
          <w:bCs/>
        </w:rPr>
        <w:t xml:space="preserve">: En la Tesorería de la Intendencia se efectuaron pagos que no contaban con la intervención preventiva del Tribunal de Cuentas o del Contador Delegado en su caso. En particular, no se remiten a intervención los </w:t>
      </w:r>
      <w:proofErr w:type="spellStart"/>
      <w:r w:rsidRPr="00DD5BC9">
        <w:rPr>
          <w:rFonts w:cs="Arial"/>
          <w:bCs/>
        </w:rPr>
        <w:t>planillados</w:t>
      </w:r>
      <w:proofErr w:type="spellEnd"/>
      <w:r w:rsidRPr="00DD5BC9">
        <w:rPr>
          <w:rFonts w:cs="Arial"/>
          <w:bCs/>
        </w:rPr>
        <w:t xml:space="preserve"> de haberes de los </w:t>
      </w:r>
      <w:r w:rsidRPr="005B4DFA">
        <w:rPr>
          <w:rFonts w:cs="Arial"/>
          <w:bCs/>
        </w:rPr>
        <w:t>funcionarios.</w:t>
      </w:r>
    </w:p>
    <w:p w:rsidR="00915AAB" w:rsidRDefault="00915AAB" w:rsidP="006106EA">
      <w:pPr>
        <w:spacing w:line="360" w:lineRule="auto"/>
        <w:jc w:val="both"/>
        <w:rPr>
          <w:rFonts w:cs="Arial"/>
          <w:color w:val="000000"/>
        </w:rPr>
      </w:pPr>
      <w:r>
        <w:rPr>
          <w:rFonts w:cs="Arial"/>
          <w:b/>
          <w:color w:val="000000"/>
        </w:rPr>
        <w:t xml:space="preserve">2. Artículo </w:t>
      </w:r>
      <w:r w:rsidRPr="002B6649">
        <w:rPr>
          <w:rFonts w:cs="Arial"/>
          <w:b/>
          <w:color w:val="000000"/>
        </w:rPr>
        <w:t>225 de</w:t>
      </w:r>
      <w:r>
        <w:rPr>
          <w:rFonts w:cs="Arial"/>
          <w:b/>
          <w:color w:val="000000"/>
        </w:rPr>
        <w:t xml:space="preserve"> la Constitución de la  República: </w:t>
      </w:r>
      <w:r w:rsidRPr="00174A78">
        <w:rPr>
          <w:rFonts w:cs="Arial"/>
          <w:color w:val="000000"/>
        </w:rPr>
        <w:t>No han sido</w:t>
      </w:r>
      <w:r>
        <w:rPr>
          <w:rFonts w:cs="Arial"/>
          <w:b/>
          <w:color w:val="000000"/>
        </w:rPr>
        <w:t xml:space="preserve"> </w:t>
      </w:r>
      <w:r w:rsidRPr="00174A78">
        <w:rPr>
          <w:rFonts w:cs="Arial"/>
          <w:color w:val="000000"/>
        </w:rPr>
        <w:t>subsanadas las observaciones formuladas por este Tribunal al Presupuesto</w:t>
      </w:r>
      <w:r>
        <w:rPr>
          <w:rFonts w:cs="Arial"/>
          <w:color w:val="000000"/>
        </w:rPr>
        <w:t xml:space="preserve"> Quinquenal 2011-2015, contenidas en los párrafos 2.2) a 2.5); 3.2); 3.4); 4.3) a 4.7); 4.9) y 4.10) según Resolución del Tribunal en Sesión de fecha 04/05/11. No fueron aceptadas por la Junta Departamental, la que remitió las discrepancias a la Asamblea General, siguiendo el trámite previsto en el Artículo</w:t>
      </w:r>
      <w:r w:rsidRPr="002B6649">
        <w:rPr>
          <w:rFonts w:cs="Arial"/>
          <w:color w:val="000000"/>
        </w:rPr>
        <w:t xml:space="preserve"> 225</w:t>
      </w:r>
      <w:r>
        <w:rPr>
          <w:rFonts w:cs="Arial"/>
          <w:color w:val="000000"/>
        </w:rPr>
        <w:t xml:space="preserve"> de la Constitución de la República. Habiendo transcurrido el plazo sin que la Asamblea General se expidiera, el Presupuesto quedó definitivamente sancionado.</w:t>
      </w:r>
    </w:p>
    <w:p w:rsidR="00915AAB" w:rsidRPr="0066550B" w:rsidRDefault="00915AAB" w:rsidP="006106EA">
      <w:pPr>
        <w:tabs>
          <w:tab w:val="left" w:pos="544"/>
          <w:tab w:val="left" w:pos="790"/>
        </w:tabs>
        <w:spacing w:line="360" w:lineRule="auto"/>
        <w:jc w:val="both"/>
        <w:rPr>
          <w:rFonts w:cs="Arial"/>
          <w:color w:val="FF0000"/>
        </w:rPr>
      </w:pPr>
      <w:r>
        <w:rPr>
          <w:rFonts w:cs="Arial"/>
          <w:b/>
          <w:bCs/>
        </w:rPr>
        <w:t>3. Artículo 297 N</w:t>
      </w:r>
      <w:r w:rsidRPr="005B4DFA">
        <w:rPr>
          <w:rFonts w:cs="Arial"/>
          <w:b/>
          <w:bCs/>
        </w:rPr>
        <w:t xml:space="preserve">umeral 1 de la Constitución de la República: </w:t>
      </w:r>
      <w:r w:rsidRPr="005B4DFA">
        <w:rPr>
          <w:rFonts w:cs="Arial"/>
        </w:rPr>
        <w:t>Se aplicaron bonificaciones a la Contribución Inmobiliaria Rural, lo que excede la potestad tributaria del Gobierno Departamental por cuanto el citado impuesto tiene origen legal y carácter nacional, siendo competencia del legislador nacional el establecimiento de las mismas.</w:t>
      </w:r>
    </w:p>
    <w:p w:rsidR="00915AAB" w:rsidRDefault="00915AAB" w:rsidP="006106EA">
      <w:pPr>
        <w:spacing w:line="360" w:lineRule="auto"/>
        <w:jc w:val="both"/>
        <w:rPr>
          <w:snapToGrid w:val="0"/>
        </w:rPr>
      </w:pPr>
      <w:r>
        <w:rPr>
          <w:rFonts w:cs="Arial"/>
          <w:b/>
        </w:rPr>
        <w:t xml:space="preserve">4. Artículo 124 de la </w:t>
      </w:r>
      <w:r w:rsidRPr="00DD5BC9">
        <w:rPr>
          <w:b/>
          <w:snapToGrid w:val="0"/>
        </w:rPr>
        <w:t xml:space="preserve">Ley </w:t>
      </w:r>
      <w:r>
        <w:rPr>
          <w:b/>
          <w:snapToGrid w:val="0"/>
        </w:rPr>
        <w:t>Nº</w:t>
      </w:r>
      <w:r w:rsidRPr="00DD5BC9">
        <w:rPr>
          <w:b/>
          <w:snapToGrid w:val="0"/>
        </w:rPr>
        <w:t xml:space="preserve">17.738: </w:t>
      </w:r>
      <w:r w:rsidRPr="00DD5BC9">
        <w:rPr>
          <w:snapToGrid w:val="0"/>
        </w:rPr>
        <w:t>Al momento de realizar el pago a</w:t>
      </w:r>
      <w:r w:rsidRPr="00DD5BC9">
        <w:rPr>
          <w:b/>
          <w:snapToGrid w:val="0"/>
        </w:rPr>
        <w:t xml:space="preserve"> </w:t>
      </w:r>
      <w:r w:rsidRPr="00DD5BC9">
        <w:rPr>
          <w:snapToGrid w:val="0"/>
        </w:rPr>
        <w:t>los</w:t>
      </w:r>
      <w:r w:rsidRPr="00DD5BC9">
        <w:rPr>
          <w:b/>
          <w:snapToGrid w:val="0"/>
        </w:rPr>
        <w:t xml:space="preserve"> </w:t>
      </w:r>
      <w:r w:rsidRPr="00DD5BC9">
        <w:rPr>
          <w:snapToGrid w:val="0"/>
        </w:rPr>
        <w:t>profesionales que no se encuentran en régimen de dependencia en la Intendencia, no se exige la presentación de los certificados de estar al día con la Caja de Jubilaciones y Pensiones de Profesionales Universitarios. Además, se detectó el pago de haberes a funcionarios que no estaban al día con la misma.</w:t>
      </w:r>
    </w:p>
    <w:p w:rsidR="00915AAB" w:rsidRPr="00C30966" w:rsidRDefault="00915AAB" w:rsidP="006106EA">
      <w:pPr>
        <w:spacing w:line="360" w:lineRule="auto"/>
        <w:jc w:val="both"/>
        <w:rPr>
          <w:snapToGrid w:val="0"/>
          <w:color w:val="FF0000"/>
          <w:kern w:val="18"/>
          <w:szCs w:val="20"/>
          <w:lang w:val="es-ES_tradnl"/>
        </w:rPr>
      </w:pPr>
      <w:r>
        <w:rPr>
          <w:b/>
          <w:bCs/>
        </w:rPr>
        <w:t xml:space="preserve">5. Artículo 12 numeral 3 y Artículo </w:t>
      </w:r>
      <w:r w:rsidRPr="00D56C4F">
        <w:rPr>
          <w:b/>
          <w:bCs/>
        </w:rPr>
        <w:t>15</w:t>
      </w:r>
      <w:r>
        <w:rPr>
          <w:b/>
          <w:bCs/>
        </w:rPr>
        <w:t xml:space="preserve"> de la Ley Nº 18.567: </w:t>
      </w:r>
      <w:r w:rsidRPr="002343A9">
        <w:rPr>
          <w:kern w:val="18"/>
          <w:lang w:val="es-ES_tradnl"/>
        </w:rPr>
        <w:t>E</w:t>
      </w:r>
      <w:r>
        <w:rPr>
          <w:kern w:val="18"/>
          <w:lang w:val="es-ES_tradnl"/>
        </w:rPr>
        <w:t>n estos Artículos se es</w:t>
      </w:r>
      <w:r w:rsidRPr="002343A9">
        <w:rPr>
          <w:kern w:val="18"/>
          <w:lang w:val="es-ES_tradnl"/>
        </w:rPr>
        <w:t>tablece</w:t>
      </w:r>
      <w:r>
        <w:rPr>
          <w:kern w:val="18"/>
          <w:lang w:val="es-ES_tradnl"/>
        </w:rPr>
        <w:t>n</w:t>
      </w:r>
      <w:r w:rsidRPr="002343A9">
        <w:rPr>
          <w:kern w:val="18"/>
          <w:lang w:val="es-ES_tradnl"/>
        </w:rPr>
        <w:t xml:space="preserve"> las competencias y atribuciones que corresponden a los Municipios</w:t>
      </w:r>
      <w:r>
        <w:rPr>
          <w:kern w:val="18"/>
          <w:lang w:val="es-ES_tradnl"/>
        </w:rPr>
        <w:t>,</w:t>
      </w:r>
      <w:r w:rsidRPr="002343A9">
        <w:rPr>
          <w:kern w:val="18"/>
          <w:lang w:val="es-ES_tradnl"/>
        </w:rPr>
        <w:t xml:space="preserve"> en particular</w:t>
      </w:r>
      <w:r>
        <w:rPr>
          <w:kern w:val="18"/>
          <w:lang w:val="es-ES_tradnl"/>
        </w:rPr>
        <w:t>,</w:t>
      </w:r>
      <w:r w:rsidRPr="002343A9">
        <w:rPr>
          <w:kern w:val="18"/>
          <w:lang w:val="es-ES_tradnl"/>
        </w:rPr>
        <w:t xml:space="preserve"> en lo referente a ordenar gastos o inversiones de conformidad con lo establecido en el Presupuesto Quinquenal y se </w:t>
      </w:r>
      <w:r w:rsidRPr="002343A9">
        <w:rPr>
          <w:rFonts w:cs="Arial"/>
          <w:color w:val="000000"/>
          <w:kern w:val="18"/>
          <w:lang w:val="es-ES_tradnl"/>
        </w:rPr>
        <w:t>determinan las</w:t>
      </w:r>
      <w:r w:rsidRPr="002343A9">
        <w:rPr>
          <w:kern w:val="18"/>
          <w:lang w:val="es-ES_tradnl"/>
        </w:rPr>
        <w:t xml:space="preserve"> atribuciones de los Concejales. </w:t>
      </w:r>
      <w:r>
        <w:rPr>
          <w:kern w:val="18"/>
          <w:lang w:val="es-ES_tradnl"/>
        </w:rPr>
        <w:t>En el</w:t>
      </w:r>
      <w:r w:rsidRPr="002343A9">
        <w:rPr>
          <w:snapToGrid w:val="0"/>
          <w:kern w:val="18"/>
          <w:szCs w:val="20"/>
          <w:lang w:val="es-ES_tradnl"/>
        </w:rPr>
        <w:t xml:space="preserve"> Municipio de Fraile Muerto </w:t>
      </w:r>
      <w:r>
        <w:rPr>
          <w:snapToGrid w:val="0"/>
          <w:kern w:val="18"/>
          <w:szCs w:val="20"/>
          <w:lang w:val="es-ES_tradnl"/>
        </w:rPr>
        <w:t xml:space="preserve">se ordenan y reiteran los </w:t>
      </w:r>
      <w:r w:rsidRPr="002343A9">
        <w:rPr>
          <w:snapToGrid w:val="0"/>
          <w:kern w:val="18"/>
          <w:szCs w:val="20"/>
          <w:lang w:val="es-ES_tradnl"/>
        </w:rPr>
        <w:t xml:space="preserve">gastos por </w:t>
      </w:r>
      <w:r>
        <w:rPr>
          <w:snapToGrid w:val="0"/>
          <w:kern w:val="18"/>
          <w:szCs w:val="20"/>
          <w:lang w:val="es-ES_tradnl"/>
        </w:rPr>
        <w:t xml:space="preserve">parte de los </w:t>
      </w:r>
      <w:r w:rsidRPr="002343A9">
        <w:rPr>
          <w:snapToGrid w:val="0"/>
          <w:kern w:val="18"/>
          <w:szCs w:val="20"/>
          <w:lang w:val="es-ES_tradnl"/>
        </w:rPr>
        <w:t>Ordenadores de la Intendencia.</w:t>
      </w:r>
    </w:p>
    <w:p w:rsidR="00915AAB" w:rsidRPr="004C1BFD" w:rsidRDefault="00915AAB" w:rsidP="006106EA">
      <w:pPr>
        <w:spacing w:line="360" w:lineRule="auto"/>
        <w:jc w:val="both"/>
        <w:rPr>
          <w:rFonts w:cs="Arial"/>
          <w:b/>
          <w:bCs/>
          <w:color w:val="FF0000"/>
        </w:rPr>
      </w:pPr>
      <w:r>
        <w:rPr>
          <w:rFonts w:cs="Arial"/>
          <w:b/>
          <w:bCs/>
          <w:color w:val="000000"/>
        </w:rPr>
        <w:t>6</w:t>
      </w:r>
      <w:r w:rsidRPr="00DD5BC9">
        <w:rPr>
          <w:rFonts w:cs="Arial"/>
          <w:b/>
          <w:bCs/>
          <w:color w:val="000000"/>
        </w:rPr>
        <w:t xml:space="preserve">. </w:t>
      </w:r>
      <w:r>
        <w:rPr>
          <w:rFonts w:cs="Arial"/>
          <w:b/>
          <w:bCs/>
          <w:color w:val="000000"/>
        </w:rPr>
        <w:t xml:space="preserve">Artículo 13 numeral 18 de la </w:t>
      </w:r>
      <w:r w:rsidRPr="00DD5BC9">
        <w:rPr>
          <w:rFonts w:cs="Arial"/>
          <w:b/>
          <w:bCs/>
          <w:color w:val="000000"/>
        </w:rPr>
        <w:t xml:space="preserve">Ley Nº 18.567: </w:t>
      </w:r>
      <w:r w:rsidRPr="00DD5BC9">
        <w:rPr>
          <w:rFonts w:cs="Arial"/>
          <w:bCs/>
          <w:color w:val="000000"/>
        </w:rPr>
        <w:t>Los</w:t>
      </w:r>
      <w:r w:rsidRPr="00DD5BC9">
        <w:rPr>
          <w:rFonts w:cs="Arial"/>
          <w:b/>
          <w:bCs/>
          <w:color w:val="000000"/>
        </w:rPr>
        <w:t xml:space="preserve"> </w:t>
      </w:r>
      <w:r w:rsidRPr="00DD5BC9">
        <w:rPr>
          <w:rFonts w:cs="Arial"/>
          <w:bCs/>
          <w:color w:val="000000"/>
        </w:rPr>
        <w:t>Municipios de Río Branco y Fraile Muerto no presentaron las Rendiciones de Cuentas anuales ante el Gobierno Departamental.</w:t>
      </w:r>
    </w:p>
    <w:p w:rsidR="00915AAB" w:rsidRPr="00044D39" w:rsidRDefault="00915AAB" w:rsidP="006106EA">
      <w:pPr>
        <w:spacing w:line="360" w:lineRule="auto"/>
        <w:jc w:val="both"/>
        <w:rPr>
          <w:bCs/>
          <w:color w:val="FF0000"/>
        </w:rPr>
      </w:pPr>
      <w:r>
        <w:rPr>
          <w:b/>
          <w:bCs/>
        </w:rPr>
        <w:t>7</w:t>
      </w:r>
      <w:r w:rsidRPr="00DD5BC9">
        <w:rPr>
          <w:b/>
          <w:bCs/>
        </w:rPr>
        <w:t xml:space="preserve">. </w:t>
      </w:r>
      <w:r>
        <w:rPr>
          <w:b/>
          <w:bCs/>
        </w:rPr>
        <w:t xml:space="preserve">Artículo 32 de la </w:t>
      </w:r>
      <w:r w:rsidRPr="00DD5BC9">
        <w:rPr>
          <w:b/>
          <w:bCs/>
        </w:rPr>
        <w:t xml:space="preserve">Ley Nº 11.923: </w:t>
      </w:r>
      <w:r w:rsidRPr="00DD5BC9">
        <w:t xml:space="preserve">No se siguen procedimientos a efectos de verificar que los funcionarios dependientes no perciban </w:t>
      </w:r>
      <w:r w:rsidR="006106EA">
        <w:t>otro ingreso de origen público.</w:t>
      </w:r>
    </w:p>
    <w:p w:rsidR="00915AAB" w:rsidRDefault="00915AAB" w:rsidP="006106EA">
      <w:pPr>
        <w:spacing w:line="360" w:lineRule="auto"/>
        <w:jc w:val="both"/>
      </w:pPr>
      <w:r>
        <w:rPr>
          <w:b/>
          <w:bCs/>
        </w:rPr>
        <w:t>8</w:t>
      </w:r>
      <w:r w:rsidRPr="00DD5BC9">
        <w:rPr>
          <w:b/>
          <w:bCs/>
        </w:rPr>
        <w:t>.</w:t>
      </w:r>
      <w:r w:rsidRPr="00DD5BC9">
        <w:rPr>
          <w:bCs/>
        </w:rPr>
        <w:t xml:space="preserve"> </w:t>
      </w:r>
      <w:r w:rsidRPr="00DD5BC9">
        <w:rPr>
          <w:b/>
        </w:rPr>
        <w:t xml:space="preserve">Artículos 4, 5 y 11 del TOCAF: </w:t>
      </w:r>
      <w:r w:rsidRPr="00DD5BC9">
        <w:t>No se deposita íntegramente la recaudación tal como lo establece la normativa, efectuándose pagos con los ingresos provenientes de la misma.</w:t>
      </w:r>
    </w:p>
    <w:p w:rsidR="00915AAB" w:rsidRDefault="00915AAB" w:rsidP="006106EA">
      <w:pPr>
        <w:spacing w:line="360" w:lineRule="auto"/>
        <w:jc w:val="both"/>
        <w:rPr>
          <w:rFonts w:cs="Arial"/>
          <w:lang w:val="es-MX"/>
        </w:rPr>
      </w:pPr>
      <w:r>
        <w:rPr>
          <w:b/>
        </w:rPr>
        <w:t>9</w:t>
      </w:r>
      <w:r w:rsidRPr="00DD5BC9">
        <w:rPr>
          <w:b/>
        </w:rPr>
        <w:t xml:space="preserve">. Artículos 14 y 21 del TOCAF: </w:t>
      </w:r>
      <w:r w:rsidRPr="00DD5BC9">
        <w:rPr>
          <w:rFonts w:cs="Arial"/>
          <w:bCs/>
        </w:rPr>
        <w:t xml:space="preserve">Se detectaron gastos y pagos efectuados en la Tesorería de la Intendencia de Cerro Largo </w:t>
      </w:r>
      <w:r w:rsidRPr="00DD5BC9">
        <w:rPr>
          <w:rFonts w:cs="Arial"/>
          <w:lang w:val="es-MX"/>
        </w:rPr>
        <w:t>que no contaban con la documentación correspondie</w:t>
      </w:r>
      <w:r>
        <w:rPr>
          <w:rFonts w:cs="Arial"/>
          <w:lang w:val="es-MX"/>
        </w:rPr>
        <w:t>nte ni con la autorización del O</w:t>
      </w:r>
      <w:r w:rsidR="006106EA">
        <w:rPr>
          <w:rFonts w:cs="Arial"/>
          <w:lang w:val="es-MX"/>
        </w:rPr>
        <w:t>rdenador competente.</w:t>
      </w:r>
    </w:p>
    <w:p w:rsidR="00915AAB" w:rsidRDefault="00915AAB" w:rsidP="006106EA">
      <w:pPr>
        <w:pStyle w:val="Textoindependiente2"/>
        <w:tabs>
          <w:tab w:val="left" w:pos="6645"/>
        </w:tabs>
        <w:jc w:val="both"/>
        <w:rPr>
          <w:rFonts w:ascii="Arial" w:hAnsi="Arial" w:cs="Arial"/>
          <w:bCs/>
        </w:rPr>
      </w:pPr>
      <w:bookmarkStart w:id="4" w:name="_Toc363740308"/>
      <w:r w:rsidRPr="00DD5BC9">
        <w:rPr>
          <w:rFonts w:ascii="Arial" w:hAnsi="Arial" w:cs="Arial"/>
          <w:b/>
          <w:bCs/>
        </w:rPr>
        <w:t>1</w:t>
      </w:r>
      <w:r>
        <w:rPr>
          <w:rFonts w:ascii="Arial" w:hAnsi="Arial" w:cs="Arial"/>
          <w:b/>
          <w:bCs/>
        </w:rPr>
        <w:t>0</w:t>
      </w:r>
      <w:r w:rsidRPr="00DD5BC9">
        <w:rPr>
          <w:rFonts w:ascii="Arial" w:hAnsi="Arial" w:cs="Arial"/>
          <w:b/>
          <w:bCs/>
        </w:rPr>
        <w:t xml:space="preserve">. </w:t>
      </w:r>
      <w:r w:rsidRPr="00DD5BC9">
        <w:rPr>
          <w:rFonts w:ascii="Arial" w:hAnsi="Arial" w:cs="Arial"/>
          <w:b/>
        </w:rPr>
        <w:t>Artículos 33 y 43 del TOCAF</w:t>
      </w:r>
      <w:r w:rsidRPr="00DD5BC9">
        <w:rPr>
          <w:rFonts w:ascii="Arial" w:hAnsi="Arial" w:cs="Arial"/>
        </w:rPr>
        <w:t>: Se realizaron compras de artículos de un mismo ramo en forma fraccionada sin dejar constancia de sus fundamentos por lo que no se tuvieron en cuenta las nece</w:t>
      </w:r>
      <w:r>
        <w:rPr>
          <w:rFonts w:ascii="Arial" w:hAnsi="Arial" w:cs="Arial"/>
        </w:rPr>
        <w:t>sidades previstas para todo el E</w:t>
      </w:r>
      <w:r w:rsidRPr="00DD5BC9">
        <w:rPr>
          <w:rFonts w:ascii="Arial" w:hAnsi="Arial" w:cs="Arial"/>
        </w:rPr>
        <w:t>jercicio de ese tipo de artículos. A</w:t>
      </w:r>
      <w:r>
        <w:rPr>
          <w:rFonts w:ascii="Arial" w:hAnsi="Arial" w:cs="Arial"/>
        </w:rPr>
        <w:t>l igual que en E</w:t>
      </w:r>
      <w:r w:rsidRPr="00DD5BC9">
        <w:rPr>
          <w:rFonts w:ascii="Arial" w:hAnsi="Arial" w:cs="Arial"/>
        </w:rPr>
        <w:t xml:space="preserve">jercicios anteriores, se verificaron </w:t>
      </w:r>
      <w:r w:rsidRPr="00DD5BC9">
        <w:rPr>
          <w:rFonts w:ascii="Arial" w:hAnsi="Arial" w:cs="Arial"/>
          <w:bCs/>
        </w:rPr>
        <w:t xml:space="preserve">pagos por un importe de $ 53:395.255 realizados a diversas Organizaciones no Gubernamentales, </w:t>
      </w:r>
      <w:r>
        <w:rPr>
          <w:rFonts w:ascii="Arial" w:hAnsi="Arial" w:cs="Arial"/>
          <w:bCs/>
        </w:rPr>
        <w:t xml:space="preserve">sin aplicar </w:t>
      </w:r>
      <w:r w:rsidRPr="00DD5BC9">
        <w:rPr>
          <w:rFonts w:ascii="Arial" w:hAnsi="Arial" w:cs="Arial"/>
          <w:bCs/>
        </w:rPr>
        <w:t>los procedimientos de contratación que hubieran correspondido.</w:t>
      </w:r>
    </w:p>
    <w:p w:rsidR="00915AAB" w:rsidRPr="00E14AD3" w:rsidRDefault="00915AAB" w:rsidP="00E6301F">
      <w:pPr>
        <w:pStyle w:val="Textoindependiente"/>
      </w:pPr>
      <w:bookmarkStart w:id="5" w:name="_Toc363740309"/>
      <w:bookmarkEnd w:id="4"/>
      <w:r w:rsidRPr="003D43A9">
        <w:rPr>
          <w:b/>
        </w:rPr>
        <w:t>1</w:t>
      </w:r>
      <w:r>
        <w:rPr>
          <w:b/>
        </w:rPr>
        <w:t>1</w:t>
      </w:r>
      <w:r w:rsidRPr="00DD5BC9">
        <w:rPr>
          <w:b/>
        </w:rPr>
        <w:t>. Artículo 40 del TOCAF</w:t>
      </w:r>
      <w:r w:rsidRPr="00DD5BC9">
        <w:t>: No se solicita el informe técnico en oportunidad de los arrendamientos de inmuebles.</w:t>
      </w:r>
      <w:bookmarkEnd w:id="5"/>
    </w:p>
    <w:p w:rsidR="00915AAB" w:rsidRPr="002A3287" w:rsidRDefault="00915AAB" w:rsidP="00E6301F">
      <w:pPr>
        <w:pStyle w:val="Textoindependiente"/>
        <w:rPr>
          <w:color w:val="FF0000"/>
        </w:rPr>
      </w:pPr>
      <w:r w:rsidRPr="003D43A9">
        <w:rPr>
          <w:b/>
        </w:rPr>
        <w:t>1</w:t>
      </w:r>
      <w:r>
        <w:rPr>
          <w:b/>
        </w:rPr>
        <w:t>2</w:t>
      </w:r>
      <w:r w:rsidRPr="003D43A9">
        <w:rPr>
          <w:b/>
        </w:rPr>
        <w:t>. Artículo 48 Literal C</w:t>
      </w:r>
      <w:r>
        <w:rPr>
          <w:b/>
        </w:rPr>
        <w:t>)</w:t>
      </w:r>
      <w:r w:rsidRPr="003D43A9">
        <w:rPr>
          <w:b/>
        </w:rPr>
        <w:t xml:space="preserve"> del TOCAF</w:t>
      </w:r>
      <w:r w:rsidRPr="00102B05">
        <w:t>:</w:t>
      </w:r>
      <w:r>
        <w:t xml:space="preserve"> </w:t>
      </w:r>
      <w:r w:rsidRPr="004B7B16">
        <w:t>No se establecen los factores de ponderación para evaluar las of</w:t>
      </w:r>
      <w:r>
        <w:t>ertas en los procedimientos de L</w:t>
      </w:r>
      <w:r w:rsidRPr="004B7B16">
        <w:t>icitación.</w:t>
      </w:r>
    </w:p>
    <w:p w:rsidR="00915AAB" w:rsidRDefault="00915AAB" w:rsidP="006106EA">
      <w:pPr>
        <w:spacing w:line="360" w:lineRule="auto"/>
        <w:jc w:val="both"/>
        <w:rPr>
          <w:rFonts w:cs="Arial"/>
        </w:rPr>
      </w:pPr>
      <w:r w:rsidRPr="000D042A">
        <w:rPr>
          <w:b/>
        </w:rPr>
        <w:t>1</w:t>
      </w:r>
      <w:r>
        <w:rPr>
          <w:b/>
        </w:rPr>
        <w:t>3.</w:t>
      </w:r>
      <w:r w:rsidRPr="000D042A">
        <w:rPr>
          <w:b/>
        </w:rPr>
        <w:t xml:space="preserve"> Artículo</w:t>
      </w:r>
      <w:r>
        <w:rPr>
          <w:b/>
        </w:rPr>
        <w:t xml:space="preserve">s Nos. 50, 51 y 52 </w:t>
      </w:r>
      <w:r w:rsidRPr="000D042A">
        <w:rPr>
          <w:b/>
        </w:rPr>
        <w:t>del TOCAF</w:t>
      </w:r>
      <w:r>
        <w:rPr>
          <w:b/>
        </w:rPr>
        <w:t>:</w:t>
      </w:r>
      <w:r w:rsidRPr="000D042A">
        <w:rPr>
          <w:b/>
        </w:rPr>
        <w:t xml:space="preserve"> </w:t>
      </w:r>
      <w:r>
        <w:rPr>
          <w:rFonts w:cs="Arial"/>
        </w:rPr>
        <w:t>No se publicaron en el sitio web de compras estatales las licit</w:t>
      </w:r>
      <w:r w:rsidR="00F06FEE">
        <w:rPr>
          <w:rFonts w:cs="Arial"/>
        </w:rPr>
        <w:t>aciones públicas ni abreviadas.</w:t>
      </w:r>
    </w:p>
    <w:p w:rsidR="00915AAB" w:rsidRDefault="00915AAB" w:rsidP="006106EA">
      <w:pPr>
        <w:spacing w:line="360" w:lineRule="auto"/>
        <w:jc w:val="both"/>
        <w:rPr>
          <w:rFonts w:cs="Arial"/>
        </w:rPr>
      </w:pPr>
      <w:r w:rsidRPr="00CA4D85">
        <w:rPr>
          <w:b/>
        </w:rPr>
        <w:t xml:space="preserve">14. </w:t>
      </w:r>
      <w:r>
        <w:rPr>
          <w:rFonts w:cs="Arial"/>
          <w:b/>
        </w:rPr>
        <w:t>Artículo 86 del TOCAF</w:t>
      </w:r>
      <w:r w:rsidRPr="00CA4D85">
        <w:rPr>
          <w:rFonts w:cs="Arial"/>
          <w:b/>
        </w:rPr>
        <w:t>:</w:t>
      </w:r>
      <w:r>
        <w:rPr>
          <w:rFonts w:cs="Arial"/>
        </w:rPr>
        <w:t xml:space="preserve"> La Intendencia utilizó transitoriamente fondos de cuentas sin previo acuerdo con el Organismo que administra los mismos.</w:t>
      </w:r>
    </w:p>
    <w:p w:rsidR="00915AAB" w:rsidRDefault="00915AAB" w:rsidP="006106EA">
      <w:pPr>
        <w:spacing w:line="360" w:lineRule="auto"/>
        <w:jc w:val="both"/>
      </w:pPr>
      <w:r>
        <w:rPr>
          <w:b/>
          <w:bCs/>
        </w:rPr>
        <w:t>15</w:t>
      </w:r>
      <w:r w:rsidRPr="005B4DFA">
        <w:rPr>
          <w:b/>
          <w:bCs/>
        </w:rPr>
        <w:t xml:space="preserve">. </w:t>
      </w:r>
      <w:r w:rsidRPr="005B4DFA">
        <w:rPr>
          <w:b/>
        </w:rPr>
        <w:t>Artículos 90 y 154 del TOCAF:</w:t>
      </w:r>
      <w:r>
        <w:t xml:space="preserve"> Al igual que en E</w:t>
      </w:r>
      <w:r w:rsidRPr="005B4DFA">
        <w:t>jercicios anteriores la Intendencia no contrató seguros de caución de fidelidad para los funcionarios encargados del manejo de fondos o valores.</w:t>
      </w:r>
    </w:p>
    <w:p w:rsidR="00915AAB" w:rsidRPr="000D3593" w:rsidRDefault="00915AAB" w:rsidP="00E6301F">
      <w:pPr>
        <w:pStyle w:val="Textoindependiente"/>
        <w:rPr>
          <w:color w:val="000000"/>
        </w:rPr>
      </w:pPr>
      <w:bookmarkStart w:id="6" w:name="_Toc363740310"/>
      <w:r w:rsidRPr="003D43A9">
        <w:rPr>
          <w:b/>
          <w:color w:val="000000"/>
        </w:rPr>
        <w:t>1</w:t>
      </w:r>
      <w:r>
        <w:rPr>
          <w:b/>
          <w:color w:val="000000"/>
        </w:rPr>
        <w:t>6</w:t>
      </w:r>
      <w:r w:rsidRPr="003D43A9">
        <w:rPr>
          <w:b/>
          <w:color w:val="000000"/>
        </w:rPr>
        <w:t xml:space="preserve">. </w:t>
      </w:r>
      <w:r w:rsidRPr="003D43A9">
        <w:rPr>
          <w:b/>
        </w:rPr>
        <w:t xml:space="preserve">Artículo 94 del TOCAF y Ordenanza </w:t>
      </w:r>
      <w:r>
        <w:rPr>
          <w:b/>
        </w:rPr>
        <w:t xml:space="preserve">Nº </w:t>
      </w:r>
      <w:r w:rsidRPr="003D43A9">
        <w:rPr>
          <w:b/>
        </w:rPr>
        <w:t>81 de este Tribunal</w:t>
      </w:r>
      <w:r>
        <w:t xml:space="preserve">: </w:t>
      </w:r>
      <w:r w:rsidRPr="000D3593">
        <w:t>No se ha implementado por la Intendencia un sistema de contabilidad patrimonial que permita cumplir con lo establecido por dichas normas</w:t>
      </w:r>
      <w:bookmarkEnd w:id="6"/>
      <w:r w:rsidRPr="000D3593">
        <w:t>.</w:t>
      </w:r>
    </w:p>
    <w:p w:rsidR="00915AAB" w:rsidRDefault="00915AAB" w:rsidP="006106EA">
      <w:pPr>
        <w:spacing w:line="360" w:lineRule="auto"/>
        <w:jc w:val="both"/>
      </w:pPr>
      <w:bookmarkStart w:id="7" w:name="_Toc363740311"/>
      <w:r w:rsidRPr="00DD5BC9">
        <w:rPr>
          <w:b/>
        </w:rPr>
        <w:t>1</w:t>
      </w:r>
      <w:r>
        <w:rPr>
          <w:b/>
        </w:rPr>
        <w:t>7.</w:t>
      </w:r>
      <w:r w:rsidRPr="00DD5BC9">
        <w:t xml:space="preserve"> </w:t>
      </w:r>
      <w:r w:rsidRPr="00DD5BC9">
        <w:rPr>
          <w:b/>
        </w:rPr>
        <w:t>Artículo</w:t>
      </w:r>
      <w:r w:rsidRPr="00DD5BC9">
        <w:t xml:space="preserve"> </w:t>
      </w:r>
      <w:r w:rsidRPr="00DD5BC9">
        <w:rPr>
          <w:b/>
        </w:rPr>
        <w:t>97</w:t>
      </w:r>
      <w:r w:rsidRPr="00DD5BC9">
        <w:t xml:space="preserve"> </w:t>
      </w:r>
      <w:r w:rsidRPr="00DD5BC9">
        <w:rPr>
          <w:b/>
        </w:rPr>
        <w:t>del</w:t>
      </w:r>
      <w:r w:rsidRPr="00DD5BC9">
        <w:t xml:space="preserve"> </w:t>
      </w:r>
      <w:r w:rsidRPr="00DD5BC9">
        <w:rPr>
          <w:b/>
        </w:rPr>
        <w:t>TOCAF:</w:t>
      </w:r>
      <w:r w:rsidRPr="00DD5BC9">
        <w:t xml:space="preserve"> El sistema contable deberá registrar como mínimo las existencias y movimientos de sus activos especialmente los que integran el patrimonio de la Intendencia. Al igual que en ejercicios anteriores la Intendencia no mantiene un registro permanente, actualizado y valuado de </w:t>
      </w:r>
      <w:r>
        <w:t xml:space="preserve">sus </w:t>
      </w:r>
      <w:r w:rsidRPr="00DD5BC9">
        <w:t>bienes de uso</w:t>
      </w:r>
      <w:r w:rsidRPr="00DD5BC9">
        <w:rPr>
          <w:color w:val="FF0000"/>
        </w:rPr>
        <w:t>.</w:t>
      </w:r>
      <w:bookmarkEnd w:id="7"/>
    </w:p>
    <w:p w:rsidR="00915AAB" w:rsidRDefault="00915AAB" w:rsidP="006106EA">
      <w:pPr>
        <w:tabs>
          <w:tab w:val="left" w:pos="5567"/>
        </w:tabs>
        <w:spacing w:line="360" w:lineRule="auto"/>
        <w:jc w:val="both"/>
      </w:pPr>
      <w:r>
        <w:rPr>
          <w:b/>
          <w:snapToGrid w:val="0"/>
        </w:rPr>
        <w:t>18</w:t>
      </w:r>
      <w:r w:rsidRPr="00DD5BC9">
        <w:rPr>
          <w:b/>
          <w:snapToGrid w:val="0"/>
        </w:rPr>
        <w:t>.</w:t>
      </w:r>
      <w:r w:rsidRPr="00DD5BC9">
        <w:rPr>
          <w:b/>
          <w:bCs/>
        </w:rPr>
        <w:t xml:space="preserve"> Artículo 128 </w:t>
      </w:r>
      <w:r>
        <w:rPr>
          <w:b/>
          <w:bCs/>
        </w:rPr>
        <w:t>n</w:t>
      </w:r>
      <w:r w:rsidRPr="00DD5BC9">
        <w:rPr>
          <w:b/>
          <w:bCs/>
        </w:rPr>
        <w:t xml:space="preserve">umeral 1 del TOCAF: </w:t>
      </w:r>
      <w:r w:rsidRPr="00DD5BC9">
        <w:rPr>
          <w:bCs/>
        </w:rPr>
        <w:t>La Intendencia no present</w:t>
      </w:r>
      <w:r>
        <w:rPr>
          <w:bCs/>
        </w:rPr>
        <w:t>ó</w:t>
      </w:r>
      <w:r w:rsidRPr="00DD5BC9">
        <w:rPr>
          <w:bCs/>
        </w:rPr>
        <w:t xml:space="preserve"> el Estado </w:t>
      </w:r>
      <w:r w:rsidRPr="00DD5BC9">
        <w:t>demostrativo del grado de cumplimiento de los</w:t>
      </w:r>
      <w:r w:rsidR="00F06FEE">
        <w:t xml:space="preserve"> objetivos y metas programadas.</w:t>
      </w:r>
    </w:p>
    <w:p w:rsidR="00915AAB" w:rsidRPr="004F03C4" w:rsidRDefault="00915AAB" w:rsidP="006106EA">
      <w:pPr>
        <w:tabs>
          <w:tab w:val="left" w:pos="480"/>
          <w:tab w:val="left" w:pos="600"/>
          <w:tab w:val="left" w:pos="1560"/>
        </w:tabs>
        <w:spacing w:line="360" w:lineRule="auto"/>
        <w:jc w:val="both"/>
        <w:rPr>
          <w:rFonts w:cs="Arial"/>
        </w:rPr>
      </w:pPr>
      <w:r>
        <w:rPr>
          <w:b/>
          <w:snapToGrid w:val="0"/>
        </w:rPr>
        <w:t>19.</w:t>
      </w:r>
      <w:r>
        <w:rPr>
          <w:b/>
          <w:bCs/>
        </w:rPr>
        <w:t xml:space="preserve"> Artículo 132 del TOCAF: </w:t>
      </w:r>
      <w:r w:rsidRPr="00903BFE">
        <w:rPr>
          <w:bCs/>
        </w:rPr>
        <w:t>S</w:t>
      </w:r>
      <w:r w:rsidRPr="001A06C8">
        <w:rPr>
          <w:rFonts w:cs="Arial"/>
        </w:rPr>
        <w:t>e adelantaron fondos por un valor de $ 63.500 que no fueron rendidos en plazo</w:t>
      </w:r>
      <w:r>
        <w:rPr>
          <w:rFonts w:cs="Arial"/>
        </w:rPr>
        <w:t>.</w:t>
      </w:r>
      <w:r w:rsidRPr="001A06C8">
        <w:rPr>
          <w:rFonts w:cs="Arial"/>
        </w:rPr>
        <w:t xml:space="preserve"> Además, se constató que se adelanta</w:t>
      </w:r>
      <w:r>
        <w:rPr>
          <w:rFonts w:cs="Arial"/>
        </w:rPr>
        <w:t>ro</w:t>
      </w:r>
      <w:r w:rsidRPr="001A06C8">
        <w:rPr>
          <w:rFonts w:cs="Arial"/>
        </w:rPr>
        <w:t>n fondos cuando los funcionarios ten</w:t>
      </w:r>
      <w:r>
        <w:rPr>
          <w:rFonts w:cs="Arial"/>
        </w:rPr>
        <w:t>ían</w:t>
      </w:r>
      <w:r w:rsidRPr="001A06C8">
        <w:rPr>
          <w:rFonts w:cs="Arial"/>
        </w:rPr>
        <w:t xml:space="preserve"> partidas pendientes de rendición.</w:t>
      </w:r>
    </w:p>
    <w:p w:rsidR="00915AAB" w:rsidRDefault="00915AAB" w:rsidP="006106EA">
      <w:pPr>
        <w:tabs>
          <w:tab w:val="left" w:pos="1560"/>
        </w:tabs>
        <w:spacing w:line="360" w:lineRule="auto"/>
        <w:jc w:val="both"/>
        <w:rPr>
          <w:rFonts w:cs="Arial"/>
          <w:color w:val="000000"/>
        </w:rPr>
      </w:pPr>
      <w:r w:rsidRPr="0018309A">
        <w:rPr>
          <w:b/>
          <w:snapToGrid w:val="0"/>
        </w:rPr>
        <w:t>2</w:t>
      </w:r>
      <w:r>
        <w:rPr>
          <w:b/>
          <w:snapToGrid w:val="0"/>
        </w:rPr>
        <w:t>0</w:t>
      </w:r>
      <w:r w:rsidRPr="0018309A">
        <w:rPr>
          <w:b/>
          <w:snapToGrid w:val="0"/>
        </w:rPr>
        <w:t>.</w:t>
      </w:r>
      <w:r w:rsidRPr="0018309A">
        <w:rPr>
          <w:b/>
          <w:bCs/>
        </w:rPr>
        <w:t xml:space="preserve"> </w:t>
      </w:r>
      <w:r w:rsidRPr="0018309A">
        <w:rPr>
          <w:rFonts w:cs="Arial"/>
          <w:b/>
          <w:bCs/>
          <w:color w:val="000000"/>
        </w:rPr>
        <w:t xml:space="preserve">Convenio Nº 30 de la OIT y Ordenanza </w:t>
      </w:r>
      <w:r>
        <w:rPr>
          <w:rFonts w:cs="Arial"/>
          <w:b/>
          <w:bCs/>
          <w:color w:val="000000"/>
        </w:rPr>
        <w:t xml:space="preserve">N º </w:t>
      </w:r>
      <w:r w:rsidRPr="0018309A">
        <w:rPr>
          <w:rFonts w:cs="Arial"/>
          <w:b/>
          <w:bCs/>
          <w:color w:val="000000"/>
        </w:rPr>
        <w:t xml:space="preserve">61 del Tribunal de Cuentas: </w:t>
      </w:r>
      <w:r w:rsidRPr="0018309A">
        <w:rPr>
          <w:rFonts w:cs="Arial"/>
          <w:color w:val="000000"/>
        </w:rPr>
        <w:t>No se dio cumplimiento a esta norma debido a que, en algunos casos, las horas extras su</w:t>
      </w:r>
      <w:r w:rsidRPr="0018309A">
        <w:rPr>
          <w:rFonts w:cs="Arial"/>
          <w:color w:val="000000"/>
        </w:rPr>
        <w:softHyphen/>
        <w:t>peraron el límite establecido.</w:t>
      </w:r>
    </w:p>
    <w:p w:rsidR="00915AAB" w:rsidRDefault="00915AAB" w:rsidP="006106EA">
      <w:pPr>
        <w:tabs>
          <w:tab w:val="left" w:pos="1560"/>
        </w:tabs>
        <w:spacing w:line="360" w:lineRule="auto"/>
        <w:jc w:val="both"/>
        <w:rPr>
          <w:rFonts w:cs="Arial"/>
          <w:color w:val="000000"/>
        </w:rPr>
      </w:pPr>
      <w:r>
        <w:rPr>
          <w:rFonts w:cs="Arial"/>
          <w:b/>
          <w:color w:val="000000"/>
        </w:rPr>
        <w:t xml:space="preserve">21. Ordenanza Nº 77 del Tribunal de Cuentas: </w:t>
      </w:r>
      <w:r>
        <w:rPr>
          <w:rFonts w:cs="Arial"/>
          <w:color w:val="000000"/>
        </w:rPr>
        <w:t xml:space="preserve">La Intendencia no presenta copia certificada del Informe de Contador Público como lo establece el Instructivo del Tribunal de Cuentas de 28/01/2004 en oportunidad de percibir fondos </w:t>
      </w:r>
      <w:proofErr w:type="spellStart"/>
      <w:r>
        <w:rPr>
          <w:rFonts w:cs="Arial"/>
          <w:color w:val="000000"/>
        </w:rPr>
        <w:t>extrapresupuestales</w:t>
      </w:r>
      <w:proofErr w:type="spellEnd"/>
      <w:r>
        <w:rPr>
          <w:rFonts w:cs="Arial"/>
          <w:color w:val="000000"/>
        </w:rPr>
        <w:t xml:space="preserve"> con destino específico.</w:t>
      </w:r>
    </w:p>
    <w:p w:rsidR="00915AAB" w:rsidRDefault="00915AAB" w:rsidP="006106EA">
      <w:pPr>
        <w:tabs>
          <w:tab w:val="left" w:pos="1560"/>
        </w:tabs>
        <w:spacing w:line="360" w:lineRule="auto"/>
        <w:jc w:val="both"/>
        <w:rPr>
          <w:rFonts w:cs="Arial"/>
        </w:rPr>
      </w:pPr>
      <w:r>
        <w:rPr>
          <w:rFonts w:cs="Arial"/>
          <w:b/>
          <w:color w:val="000000"/>
        </w:rPr>
        <w:t xml:space="preserve">22. Decreto Nº 48/11 de la Junta Departamental: </w:t>
      </w:r>
      <w:r>
        <w:rPr>
          <w:rFonts w:cs="Arial"/>
          <w:bCs/>
          <w:color w:val="000000"/>
        </w:rPr>
        <w:t>No se publicaron los Decretos y reglamentaciones en la página web de la Intendencia.</w:t>
      </w:r>
    </w:p>
    <w:p w:rsidR="00915AAB" w:rsidRPr="0066550B" w:rsidRDefault="00915AAB" w:rsidP="006106EA">
      <w:pPr>
        <w:pStyle w:val="Sangra2detindependiente"/>
        <w:tabs>
          <w:tab w:val="left" w:pos="1560"/>
          <w:tab w:val="left" w:pos="3064"/>
        </w:tabs>
        <w:ind w:left="0"/>
        <w:rPr>
          <w:color w:val="FF0000"/>
        </w:rPr>
      </w:pPr>
      <w:r>
        <w:rPr>
          <w:b/>
        </w:rPr>
        <w:t xml:space="preserve">23. </w:t>
      </w:r>
      <w:r w:rsidRPr="009A04B5">
        <w:rPr>
          <w:b/>
        </w:rPr>
        <w:t xml:space="preserve">Artículo 4 Decreto 13/2010 de la Junta Departamental: </w:t>
      </w:r>
      <w:r w:rsidRPr="009A04B5">
        <w:t>No se cumplió con la norma que establece que el atraso de tres cuotas consecutivas en el pago de los convenios celebrados entre la Comuna y los contribuyentes determina que los mismos perderán automáticamente el derecho al beneficio de “congelamiento de deudas”.</w:t>
      </w:r>
    </w:p>
    <w:p w:rsidR="00915AAB" w:rsidRDefault="00915AAB" w:rsidP="006106EA">
      <w:pPr>
        <w:pStyle w:val="Sangra2detindependiente"/>
        <w:tabs>
          <w:tab w:val="left" w:pos="1560"/>
          <w:tab w:val="left" w:pos="3064"/>
        </w:tabs>
        <w:ind w:left="0"/>
      </w:pPr>
      <w:r>
        <w:rPr>
          <w:b/>
        </w:rPr>
        <w:t xml:space="preserve">24. Instructivo del Tribunal de Cuentas de fecha 28/01/2004: </w:t>
      </w:r>
      <w:r>
        <w:t>N</w:t>
      </w:r>
      <w:r w:rsidRPr="001D2316">
        <w:t>o se presenta el Estado Nº 5</w:t>
      </w:r>
      <w:r>
        <w:t xml:space="preserve"> donde se muestran los “</w:t>
      </w:r>
      <w:r w:rsidRPr="001D2316">
        <w:t>Recursos con destino específico</w:t>
      </w:r>
      <w:r>
        <w:t>”</w:t>
      </w:r>
      <w:r w:rsidRPr="001D2316">
        <w:t>.</w:t>
      </w:r>
      <w:r>
        <w:t xml:space="preserve"> Además, el Estado Nº 12 “Fondos indisponibles” no presenta la antigüedad de los saldos a verter al 31/12/14 como lo establece el Instructivo del Tri</w:t>
      </w:r>
      <w:r w:rsidR="00F06FEE">
        <w:t>bunal de Cuentas de 28/01/2004.</w:t>
      </w:r>
    </w:p>
    <w:p w:rsidR="00915AAB" w:rsidRDefault="00915AAB" w:rsidP="006106EA">
      <w:pPr>
        <w:pStyle w:val="Sangra2detindependiente"/>
        <w:tabs>
          <w:tab w:val="left" w:pos="1560"/>
          <w:tab w:val="left" w:pos="3064"/>
        </w:tabs>
        <w:ind w:left="0"/>
      </w:pPr>
    </w:p>
    <w:p w:rsidR="00915AAB" w:rsidRDefault="00915AAB" w:rsidP="006106EA">
      <w:pPr>
        <w:tabs>
          <w:tab w:val="left" w:pos="1560"/>
          <w:tab w:val="center" w:pos="4252"/>
        </w:tabs>
        <w:spacing w:line="360" w:lineRule="auto"/>
        <w:jc w:val="both"/>
      </w:pPr>
      <w:r>
        <w:t>Asimismo, durante el Ejercicio se observaron gastos por incumplir con lo establecido por el Artículo 15 del TOCAF, los que fueron reiterados por el Ordenador competente.</w:t>
      </w:r>
    </w:p>
    <w:p w:rsidR="00915AAB" w:rsidRDefault="00915AAB" w:rsidP="006106EA">
      <w:pPr>
        <w:tabs>
          <w:tab w:val="left" w:pos="1560"/>
          <w:tab w:val="center" w:pos="4252"/>
        </w:tabs>
        <w:spacing w:line="360" w:lineRule="auto"/>
        <w:jc w:val="right"/>
        <w:rPr>
          <w:rFonts w:cs="Arial"/>
        </w:rPr>
      </w:pPr>
      <w:r>
        <w:rPr>
          <w:rFonts w:cs="Arial"/>
        </w:rPr>
        <w:t>Mont</w:t>
      </w:r>
      <w:r w:rsidR="00F06FEE">
        <w:rPr>
          <w:rFonts w:cs="Arial"/>
        </w:rPr>
        <w:t>evideo, 27 de noviembre de 2015</w:t>
      </w:r>
    </w:p>
    <w:p w:rsidR="00915AAB" w:rsidRDefault="00915AAB" w:rsidP="006106EA">
      <w:pPr>
        <w:tabs>
          <w:tab w:val="left" w:pos="1560"/>
          <w:tab w:val="center" w:pos="4252"/>
        </w:tabs>
        <w:spacing w:line="360" w:lineRule="auto"/>
        <w:jc w:val="right"/>
        <w:rPr>
          <w:rFonts w:cs="Arial"/>
        </w:rPr>
      </w:pPr>
    </w:p>
    <w:p w:rsidR="00915AAB" w:rsidRDefault="00915AAB" w:rsidP="006106EA">
      <w:pPr>
        <w:tabs>
          <w:tab w:val="left" w:pos="1560"/>
          <w:tab w:val="center" w:pos="4252"/>
        </w:tabs>
        <w:spacing w:line="360" w:lineRule="auto"/>
        <w:jc w:val="right"/>
        <w:rPr>
          <w:rFonts w:cs="Arial"/>
        </w:rPr>
      </w:pPr>
    </w:p>
    <w:p w:rsidR="00915AAB" w:rsidRDefault="00915AAB" w:rsidP="006106EA">
      <w:pPr>
        <w:tabs>
          <w:tab w:val="left" w:pos="1560"/>
          <w:tab w:val="center" w:pos="4252"/>
        </w:tabs>
        <w:spacing w:line="360" w:lineRule="auto"/>
        <w:jc w:val="right"/>
        <w:rPr>
          <w:rFonts w:cs="Arial"/>
        </w:rPr>
      </w:pPr>
    </w:p>
    <w:p w:rsidR="00915AAB" w:rsidRDefault="00915AAB" w:rsidP="006106EA">
      <w:pPr>
        <w:pStyle w:val="Ttulo1"/>
        <w:rPr>
          <w:rFonts w:cs="Arial"/>
        </w:rPr>
      </w:pPr>
      <w:bookmarkStart w:id="8" w:name="_Toc37740563"/>
      <w:bookmarkStart w:id="9" w:name="_Toc37740817"/>
      <w:bookmarkStart w:id="10" w:name="_Toc273464796"/>
      <w:bookmarkStart w:id="11" w:name="_Toc404767921"/>
      <w:r>
        <w:rPr>
          <w:rFonts w:cs="Arial"/>
        </w:rPr>
        <w:t>INFORME A LA ADMINISTRACIÓN</w:t>
      </w:r>
      <w:bookmarkEnd w:id="8"/>
      <w:bookmarkEnd w:id="9"/>
      <w:bookmarkEnd w:id="10"/>
      <w:bookmarkEnd w:id="11"/>
    </w:p>
    <w:p w:rsidR="00915AAB" w:rsidRPr="00F6024E" w:rsidRDefault="00915AAB" w:rsidP="006106EA">
      <w:pPr>
        <w:jc w:val="both"/>
      </w:pPr>
    </w:p>
    <w:p w:rsidR="00915AAB" w:rsidRDefault="00915AAB" w:rsidP="006106EA">
      <w:pPr>
        <w:pStyle w:val="Textoindependiente2"/>
        <w:jc w:val="both"/>
        <w:rPr>
          <w:rFonts w:ascii="Arial" w:hAnsi="Arial" w:cs="Arial"/>
        </w:rPr>
      </w:pPr>
      <w:r>
        <w:rPr>
          <w:rFonts w:ascii="Arial" w:hAnsi="Arial"/>
          <w:lang w:val="es-ES_tradnl"/>
        </w:rPr>
        <w:t>El Tribunal de Cuentas ha examinado la Rendición de Cuentas y Balance de</w:t>
      </w:r>
      <w:r>
        <w:rPr>
          <w:rFonts w:ascii="Arial" w:hAnsi="Arial" w:cs="Arial"/>
        </w:rPr>
        <w:t xml:space="preserve"> Ejecución Presupuestal correspondiente al Ejercicio 2014 y ha emitido su correspondiente Dictamen.</w:t>
      </w:r>
    </w:p>
    <w:p w:rsidR="00915AAB" w:rsidRDefault="00915AAB" w:rsidP="006106EA">
      <w:pPr>
        <w:pStyle w:val="Textoindependiente2"/>
        <w:jc w:val="both"/>
        <w:rPr>
          <w:rFonts w:ascii="Arial" w:hAnsi="Arial" w:cs="Arial"/>
        </w:rPr>
      </w:pPr>
      <w:r>
        <w:rPr>
          <w:rFonts w:ascii="Arial" w:hAnsi="Arial" w:cs="Arial"/>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915AAB" w:rsidRDefault="00915AAB" w:rsidP="006106EA">
      <w:pPr>
        <w:pStyle w:val="Ttulo2"/>
        <w:ind w:left="720" w:hanging="720"/>
        <w:jc w:val="both"/>
      </w:pPr>
      <w:bookmarkStart w:id="12" w:name="_Toc273464797"/>
      <w:bookmarkStart w:id="13" w:name="_Toc404767922"/>
    </w:p>
    <w:p w:rsidR="00915AAB" w:rsidRDefault="00915AAB" w:rsidP="006106EA">
      <w:pPr>
        <w:pStyle w:val="Ttulo2"/>
        <w:ind w:left="720" w:hanging="720"/>
        <w:jc w:val="both"/>
      </w:pPr>
      <w:r>
        <w:t>1 Constataciones que no afectan la opinión de los estados contables</w:t>
      </w:r>
      <w:bookmarkEnd w:id="12"/>
      <w:bookmarkEnd w:id="13"/>
    </w:p>
    <w:p w:rsidR="00915AAB" w:rsidRDefault="00915AAB" w:rsidP="006106EA">
      <w:pPr>
        <w:pStyle w:val="Ttulo2"/>
        <w:ind w:left="720" w:hanging="720"/>
        <w:jc w:val="both"/>
      </w:pPr>
      <w:bookmarkStart w:id="14" w:name="_Toc404767923"/>
      <w:r>
        <w:t>1.1 Juicios contra la Intendencia</w:t>
      </w:r>
      <w:bookmarkEnd w:id="14"/>
    </w:p>
    <w:p w:rsidR="00915AAB" w:rsidRPr="003E3060" w:rsidRDefault="00915AAB" w:rsidP="00E6301F">
      <w:pPr>
        <w:pStyle w:val="Textoindependiente"/>
      </w:pPr>
      <w:r w:rsidRPr="003E3060">
        <w:t>No se presentan los importes de la totalidad de los juicios en trámite contra la Intendencia</w:t>
      </w:r>
      <w:r>
        <w:t>.  Só</w:t>
      </w:r>
      <w:r w:rsidRPr="003E3060">
        <w:t>lo se incluyen importes reclamados por un monto de $ 30.000 y U$S 120.000. El Resultado Acumulado puede estar sujeto a modificaciones por las posibles erogaciones que puedan resultar de los mismos.</w:t>
      </w:r>
    </w:p>
    <w:p w:rsidR="00915AAB" w:rsidRDefault="00915AAB" w:rsidP="00E6301F">
      <w:pPr>
        <w:pStyle w:val="Textoindependiente"/>
      </w:pPr>
    </w:p>
    <w:p w:rsidR="00915AAB" w:rsidRDefault="00915AAB" w:rsidP="006106EA">
      <w:pPr>
        <w:pStyle w:val="Ttulo2"/>
        <w:jc w:val="both"/>
      </w:pPr>
      <w:bookmarkStart w:id="15" w:name="_Toc404767924"/>
      <w:bookmarkStart w:id="16" w:name="_Toc273464803"/>
      <w:r>
        <w:t>1.2 Disponibilidades</w:t>
      </w:r>
      <w:bookmarkEnd w:id="15"/>
    </w:p>
    <w:p w:rsidR="00915AAB" w:rsidRDefault="00915AAB" w:rsidP="006106EA">
      <w:pPr>
        <w:spacing w:line="360" w:lineRule="auto"/>
        <w:jc w:val="both"/>
        <w:rPr>
          <w:rFonts w:cs="Arial"/>
          <w:bCs/>
        </w:rPr>
      </w:pPr>
      <w:r>
        <w:rPr>
          <w:rFonts w:cs="Arial"/>
          <w:bCs/>
        </w:rPr>
        <w:t>La Intendencia mantiene dentro de las Disponibilidades un valor de $ 775.501 en concepto de garantías, no pudiendo discriminar que parte de las mismas constitu</w:t>
      </w:r>
      <w:r w:rsidR="00F06FEE">
        <w:rPr>
          <w:rFonts w:cs="Arial"/>
          <w:bCs/>
        </w:rPr>
        <w:t>yen ingresos por este concepto.</w:t>
      </w:r>
    </w:p>
    <w:p w:rsidR="00915AAB" w:rsidRDefault="00915AAB" w:rsidP="006106EA">
      <w:pPr>
        <w:pStyle w:val="Sangra2detindependiente"/>
        <w:tabs>
          <w:tab w:val="left" w:pos="3064"/>
        </w:tabs>
        <w:ind w:left="0"/>
      </w:pPr>
      <w:r>
        <w:t>No existe un registro de garantías por fiel cumplimiento de contrato o mantenimiento de oferta. La devolución de las mismas se efectúa una vez que el interesado realiza el reclamo.</w:t>
      </w:r>
    </w:p>
    <w:p w:rsidR="00F06FEE" w:rsidRDefault="00F06FEE" w:rsidP="006106EA">
      <w:pPr>
        <w:pStyle w:val="Sangra2detindependiente"/>
        <w:tabs>
          <w:tab w:val="left" w:pos="3064"/>
        </w:tabs>
        <w:ind w:left="0"/>
      </w:pPr>
    </w:p>
    <w:p w:rsidR="00915AAB" w:rsidRPr="00D31784" w:rsidRDefault="00915AAB" w:rsidP="006106EA">
      <w:pPr>
        <w:pStyle w:val="Ttulo2"/>
        <w:ind w:left="720" w:hanging="720"/>
        <w:jc w:val="both"/>
        <w:rPr>
          <w:szCs w:val="20"/>
        </w:rPr>
      </w:pPr>
      <w:bookmarkStart w:id="17" w:name="_Toc404767925"/>
      <w:r w:rsidRPr="00D31784">
        <w:rPr>
          <w:szCs w:val="20"/>
        </w:rPr>
        <w:t>1.3 Asignaciones Presupuestales</w:t>
      </w:r>
      <w:bookmarkEnd w:id="17"/>
    </w:p>
    <w:p w:rsidR="00915AAB" w:rsidRPr="00D31784" w:rsidRDefault="00915AAB" w:rsidP="006106EA">
      <w:pPr>
        <w:pStyle w:val="Ttulo2"/>
        <w:ind w:left="720" w:hanging="720"/>
        <w:jc w:val="both"/>
        <w:rPr>
          <w:szCs w:val="20"/>
        </w:rPr>
      </w:pPr>
      <w:r w:rsidRPr="00D31784">
        <w:rPr>
          <w:szCs w:val="20"/>
        </w:rPr>
        <w:t>Retribuciones personales</w:t>
      </w:r>
    </w:p>
    <w:p w:rsidR="00915AAB" w:rsidRPr="003919C5" w:rsidRDefault="00915AAB" w:rsidP="00E6301F">
      <w:pPr>
        <w:pStyle w:val="Textoindependiente"/>
      </w:pPr>
      <w:r w:rsidRPr="003919C5">
        <w:t xml:space="preserve">Las dotaciones establecidas en el Presupuesto 2011-2015 no fueron suficientes para hacer frente a las remuneraciones correspondientes. Esto obedeció a que las </w:t>
      </w:r>
      <w:r>
        <w:t xml:space="preserve">mismas </w:t>
      </w:r>
      <w:r w:rsidRPr="003919C5">
        <w:t xml:space="preserve">se indexan por el índice de precios al consumo y las retribuciones se incrementan anualmente por el índice que resulte mayor entre el índice de precios al consumo o el índice medio de salarios. En este </w:t>
      </w:r>
      <w:r>
        <w:t>E</w:t>
      </w:r>
      <w:r w:rsidRPr="003919C5">
        <w:t>jercicio se aplicó el índice medio de salarios.</w:t>
      </w:r>
    </w:p>
    <w:p w:rsidR="00915AAB" w:rsidRDefault="00915AAB" w:rsidP="006106EA">
      <w:pPr>
        <w:pStyle w:val="Sangra2detindependiente"/>
        <w:tabs>
          <w:tab w:val="left" w:pos="960"/>
        </w:tabs>
        <w:ind w:left="0"/>
        <w:rPr>
          <w:lang w:val="es-MX"/>
        </w:rPr>
      </w:pPr>
      <w:r>
        <w:rPr>
          <w:lang w:val="es-MX"/>
        </w:rPr>
        <w:t xml:space="preserve">Al respecto cabe precisar que, en oportunidad de dictaminar sobre el referido Presupuesto, el Tribunal señaló que en el caso de que el índice medio de salarios fuera superior al Índice de Precios al Consumo, las dotaciones establecidas podrían no ser suficientes para hacer frente a las remuneraciones, </w:t>
      </w:r>
      <w:r w:rsidRPr="00FA32C7">
        <w:rPr>
          <w:lang w:val="es-MX"/>
        </w:rPr>
        <w:t>hecho</w:t>
      </w:r>
      <w:r>
        <w:rPr>
          <w:lang w:val="es-MX"/>
        </w:rPr>
        <w:t xml:space="preserve"> que aconteció en el Ejercicio 2014.</w:t>
      </w:r>
    </w:p>
    <w:p w:rsidR="00915AAB" w:rsidRDefault="00915AAB" w:rsidP="006106EA">
      <w:pPr>
        <w:pStyle w:val="Sangra2detindependiente"/>
        <w:tabs>
          <w:tab w:val="left" w:pos="960"/>
        </w:tabs>
        <w:ind w:left="0"/>
        <w:rPr>
          <w:lang w:val="es-MX"/>
        </w:rPr>
      </w:pPr>
      <w:r w:rsidRPr="003919C5">
        <w:rPr>
          <w:lang w:val="es-MX"/>
        </w:rPr>
        <w:t xml:space="preserve">Asimismo, se constató que </w:t>
      </w:r>
      <w:r>
        <w:rPr>
          <w:lang w:val="es-MX"/>
        </w:rPr>
        <w:t>en el E</w:t>
      </w:r>
      <w:r w:rsidRPr="003919C5">
        <w:rPr>
          <w:lang w:val="es-MX"/>
        </w:rPr>
        <w:t xml:space="preserve">jercicio 2014 la evolución del </w:t>
      </w:r>
      <w:proofErr w:type="spellStart"/>
      <w:r>
        <w:rPr>
          <w:lang w:val="es-MX"/>
        </w:rPr>
        <w:t>I</w:t>
      </w:r>
      <w:r w:rsidRPr="003919C5">
        <w:rPr>
          <w:lang w:val="es-MX"/>
        </w:rPr>
        <w:t>ndice</w:t>
      </w:r>
      <w:proofErr w:type="spellEnd"/>
      <w:r w:rsidRPr="003919C5">
        <w:rPr>
          <w:lang w:val="es-MX"/>
        </w:rPr>
        <w:t xml:space="preserve"> de </w:t>
      </w:r>
      <w:r>
        <w:rPr>
          <w:lang w:val="es-MX"/>
        </w:rPr>
        <w:t>P</w:t>
      </w:r>
      <w:r w:rsidRPr="003919C5">
        <w:rPr>
          <w:lang w:val="es-MX"/>
        </w:rPr>
        <w:t xml:space="preserve">recios al </w:t>
      </w:r>
      <w:r>
        <w:rPr>
          <w:lang w:val="es-MX"/>
        </w:rPr>
        <w:t>C</w:t>
      </w:r>
      <w:r w:rsidRPr="003919C5">
        <w:rPr>
          <w:lang w:val="es-MX"/>
        </w:rPr>
        <w:t xml:space="preserve">onsumo fue de 8.52%, mientras que el </w:t>
      </w:r>
      <w:proofErr w:type="spellStart"/>
      <w:r>
        <w:rPr>
          <w:lang w:val="es-MX"/>
        </w:rPr>
        <w:t>I</w:t>
      </w:r>
      <w:r w:rsidRPr="003919C5">
        <w:rPr>
          <w:lang w:val="es-MX"/>
        </w:rPr>
        <w:t>ndice</w:t>
      </w:r>
      <w:proofErr w:type="spellEnd"/>
      <w:r w:rsidRPr="003919C5">
        <w:rPr>
          <w:lang w:val="es-MX"/>
        </w:rPr>
        <w:t xml:space="preserve"> </w:t>
      </w:r>
      <w:r>
        <w:rPr>
          <w:lang w:val="es-MX"/>
        </w:rPr>
        <w:t>M</w:t>
      </w:r>
      <w:r w:rsidRPr="003919C5">
        <w:rPr>
          <w:lang w:val="es-MX"/>
        </w:rPr>
        <w:t xml:space="preserve">edio de Salarios ascendió a 12.12%, ajustándose el sueldo de todos los funcionarios por el mayor índice, a excepción del sueldo del Sr. Intendente que lo fija la Junta Departamental y que ajusta por </w:t>
      </w:r>
      <w:r>
        <w:rPr>
          <w:lang w:val="es-MX"/>
        </w:rPr>
        <w:t>el Í</w:t>
      </w:r>
      <w:r w:rsidRPr="003919C5">
        <w:rPr>
          <w:lang w:val="es-MX"/>
        </w:rPr>
        <w:t xml:space="preserve">ndice de </w:t>
      </w:r>
      <w:r>
        <w:rPr>
          <w:lang w:val="es-MX"/>
        </w:rPr>
        <w:t>P</w:t>
      </w:r>
      <w:r w:rsidRPr="003919C5">
        <w:rPr>
          <w:lang w:val="es-MX"/>
        </w:rPr>
        <w:t xml:space="preserve">recios al </w:t>
      </w:r>
      <w:r>
        <w:rPr>
          <w:lang w:val="es-MX"/>
        </w:rPr>
        <w:t>C</w:t>
      </w:r>
      <w:r w:rsidRPr="003919C5">
        <w:rPr>
          <w:lang w:val="es-MX"/>
        </w:rPr>
        <w:t>onsumo, es decir el menor.</w:t>
      </w:r>
    </w:p>
    <w:p w:rsidR="00915AAB" w:rsidRDefault="00915AAB" w:rsidP="006106EA">
      <w:pPr>
        <w:pStyle w:val="Sangra2detindependiente"/>
        <w:tabs>
          <w:tab w:val="left" w:pos="960"/>
        </w:tabs>
        <w:ind w:left="0"/>
        <w:rPr>
          <w:b/>
          <w:lang w:val="es-MX"/>
        </w:rPr>
      </w:pPr>
    </w:p>
    <w:p w:rsidR="00915AAB" w:rsidRPr="008C3407" w:rsidRDefault="00915AAB" w:rsidP="006106EA">
      <w:pPr>
        <w:pStyle w:val="Sangra2detindependiente"/>
        <w:tabs>
          <w:tab w:val="left" w:pos="960"/>
        </w:tabs>
        <w:ind w:left="0"/>
        <w:rPr>
          <w:b/>
          <w:lang w:val="es-MX"/>
        </w:rPr>
      </w:pPr>
      <w:r>
        <w:rPr>
          <w:b/>
          <w:lang w:val="es-MX"/>
        </w:rPr>
        <w:t>Gastos de Funcionamiento - Transferencias</w:t>
      </w:r>
    </w:p>
    <w:p w:rsidR="00915AAB" w:rsidRPr="007C28FD" w:rsidRDefault="00915AAB" w:rsidP="006106EA">
      <w:pPr>
        <w:pStyle w:val="Sangra2detindependiente"/>
        <w:tabs>
          <w:tab w:val="left" w:pos="3064"/>
        </w:tabs>
        <w:ind w:left="0"/>
      </w:pPr>
      <w:r>
        <w:rPr>
          <w:lang w:val="es-MX"/>
        </w:rPr>
        <w:t xml:space="preserve">Se </w:t>
      </w:r>
      <w:r>
        <w:t>constató una desviación respecto a los montos presupuestados de 28.39% en más. Dichos gastos fueron observados oportunamente por el Contador Delegado.</w:t>
      </w:r>
    </w:p>
    <w:p w:rsidR="00915AAB" w:rsidRDefault="00915AAB" w:rsidP="006106EA">
      <w:pPr>
        <w:pStyle w:val="Sangra2detindependiente"/>
        <w:tabs>
          <w:tab w:val="left" w:pos="960"/>
        </w:tabs>
        <w:ind w:left="0"/>
        <w:rPr>
          <w:lang w:val="es-MX"/>
        </w:rPr>
      </w:pPr>
    </w:p>
    <w:p w:rsidR="00915AAB" w:rsidRDefault="00915AAB" w:rsidP="006106EA">
      <w:pPr>
        <w:pStyle w:val="Sangra2detindependiente"/>
        <w:tabs>
          <w:tab w:val="left" w:pos="960"/>
        </w:tabs>
        <w:ind w:left="0"/>
        <w:rPr>
          <w:rFonts w:cs="Arial"/>
          <w:b/>
          <w:color w:val="000000"/>
        </w:rPr>
      </w:pPr>
      <w:r w:rsidRPr="00A40EB2">
        <w:rPr>
          <w:b/>
          <w:lang w:val="es-MX"/>
        </w:rPr>
        <w:t xml:space="preserve">1.4 </w:t>
      </w:r>
      <w:r w:rsidRPr="00A40EB2">
        <w:rPr>
          <w:rFonts w:cs="Arial"/>
          <w:b/>
          <w:color w:val="000000"/>
        </w:rPr>
        <w:t>Partidas Conciliatorias</w:t>
      </w:r>
    </w:p>
    <w:p w:rsidR="00915AAB" w:rsidRDefault="00915AAB" w:rsidP="006106EA">
      <w:pPr>
        <w:pStyle w:val="Sangra2detindependiente"/>
        <w:ind w:left="0"/>
        <w:rPr>
          <w:lang w:val="es-MX"/>
        </w:rPr>
      </w:pPr>
      <w:r>
        <w:rPr>
          <w:lang w:val="es-MX"/>
        </w:rPr>
        <w:t xml:space="preserve">Se contabilizó en el Ejercicio 2014 una partida conciliatoria por un valor de        $ 2:907.714 que estaba pendiente de registro por no contar con la documentación </w:t>
      </w:r>
      <w:proofErr w:type="spellStart"/>
      <w:r>
        <w:rPr>
          <w:lang w:val="es-MX"/>
        </w:rPr>
        <w:t>respaldante</w:t>
      </w:r>
      <w:proofErr w:type="spellEnd"/>
      <w:r>
        <w:rPr>
          <w:lang w:val="es-MX"/>
        </w:rPr>
        <w:t xml:space="preserve">. Dicha partida se originó en el Ejercicio 2012 y está relacionada con la compra de dos retroexcavadoras en remate de la Firma Pagés </w:t>
      </w:r>
      <w:proofErr w:type="spellStart"/>
      <w:r>
        <w:rPr>
          <w:lang w:val="es-MX"/>
        </w:rPr>
        <w:t>Mañay</w:t>
      </w:r>
      <w:proofErr w:type="spellEnd"/>
      <w:r>
        <w:rPr>
          <w:lang w:val="es-MX"/>
        </w:rPr>
        <w:t xml:space="preserve"> Negocios Rurales existiendo diferencias con la do</w:t>
      </w:r>
      <w:r w:rsidR="00F06FEE">
        <w:rPr>
          <w:lang w:val="es-MX"/>
        </w:rPr>
        <w:t>cumentación presentada.</w:t>
      </w:r>
    </w:p>
    <w:p w:rsidR="00915AAB" w:rsidRDefault="00915AAB" w:rsidP="006106EA">
      <w:pPr>
        <w:pStyle w:val="Sangra2detindependiente"/>
        <w:ind w:left="0"/>
        <w:rPr>
          <w:lang w:val="es-MX"/>
        </w:rPr>
      </w:pPr>
      <w:r>
        <w:rPr>
          <w:lang w:val="es-MX"/>
        </w:rPr>
        <w:t>Al respecto este Tribunal dictó Resolución en Sesión de fecha 16/09/2015 (Expediente 2015-17-0000418) quedando en espera de la comunicación de las actuaciones respectivas por parte de la Intendencia.</w:t>
      </w:r>
    </w:p>
    <w:p w:rsidR="00915AAB" w:rsidRPr="00A40EB2" w:rsidRDefault="00915AAB" w:rsidP="006106EA">
      <w:pPr>
        <w:pStyle w:val="Sangra2detindependiente"/>
        <w:tabs>
          <w:tab w:val="left" w:pos="960"/>
        </w:tabs>
        <w:ind w:left="0"/>
        <w:rPr>
          <w:b/>
          <w:lang w:val="es-MX"/>
        </w:rPr>
      </w:pPr>
    </w:p>
    <w:p w:rsidR="00915AAB" w:rsidRPr="00D31784" w:rsidRDefault="00915AAB" w:rsidP="006106EA">
      <w:pPr>
        <w:pStyle w:val="Ttulo2"/>
        <w:ind w:left="720" w:hanging="720"/>
        <w:jc w:val="both"/>
        <w:rPr>
          <w:szCs w:val="20"/>
          <w:lang w:val="es-MX"/>
        </w:rPr>
      </w:pPr>
      <w:bookmarkStart w:id="18" w:name="_Toc404767927"/>
      <w:r w:rsidRPr="00D31784">
        <w:rPr>
          <w:szCs w:val="20"/>
          <w:lang w:val="es-MX"/>
        </w:rPr>
        <w:t xml:space="preserve">2. </w:t>
      </w:r>
      <w:bookmarkStart w:id="19" w:name="_Toc404767930"/>
      <w:bookmarkEnd w:id="18"/>
      <w:r>
        <w:rPr>
          <w:szCs w:val="20"/>
          <w:lang w:val="es-MX"/>
        </w:rPr>
        <w:t xml:space="preserve"> </w:t>
      </w:r>
      <w:r w:rsidRPr="00D31784">
        <w:rPr>
          <w:szCs w:val="20"/>
          <w:lang w:val="es-MX"/>
        </w:rPr>
        <w:t>Debilidades de</w:t>
      </w:r>
      <w:r>
        <w:rPr>
          <w:szCs w:val="20"/>
          <w:lang w:val="es-MX"/>
        </w:rPr>
        <w:t>l</w:t>
      </w:r>
      <w:r w:rsidRPr="00D31784">
        <w:rPr>
          <w:szCs w:val="20"/>
          <w:lang w:val="es-MX"/>
        </w:rPr>
        <w:t xml:space="preserve"> Control Interno</w:t>
      </w:r>
      <w:bookmarkEnd w:id="19"/>
    </w:p>
    <w:p w:rsidR="00915AAB" w:rsidRPr="00D31784" w:rsidRDefault="00915AAB" w:rsidP="006106EA">
      <w:pPr>
        <w:pStyle w:val="Ttulo2"/>
        <w:jc w:val="both"/>
        <w:rPr>
          <w:szCs w:val="20"/>
          <w:lang w:val="es-MX"/>
        </w:rPr>
      </w:pPr>
      <w:bookmarkStart w:id="20" w:name="_Toc404767931"/>
      <w:r w:rsidRPr="00D31784">
        <w:rPr>
          <w:szCs w:val="20"/>
          <w:lang w:val="es-MX"/>
        </w:rPr>
        <w:t xml:space="preserve">2.1 </w:t>
      </w:r>
      <w:r>
        <w:rPr>
          <w:szCs w:val="20"/>
          <w:lang w:val="es-MX"/>
        </w:rPr>
        <w:t xml:space="preserve"> </w:t>
      </w:r>
      <w:r w:rsidRPr="00D31784">
        <w:rPr>
          <w:szCs w:val="20"/>
          <w:lang w:val="es-MX"/>
        </w:rPr>
        <w:t>Respecto a recursos o manejo de fondos</w:t>
      </w:r>
      <w:bookmarkEnd w:id="20"/>
    </w:p>
    <w:p w:rsidR="00915AAB" w:rsidRDefault="00915AAB" w:rsidP="00E6301F">
      <w:pPr>
        <w:pStyle w:val="Textoindependiente"/>
      </w:pPr>
      <w:r>
        <w:rPr>
          <w:b/>
        </w:rPr>
        <w:t>2</w:t>
      </w:r>
      <w:r w:rsidRPr="00B30238">
        <w:rPr>
          <w:b/>
        </w:rPr>
        <w:t>.1.1</w:t>
      </w:r>
      <w:r w:rsidRPr="00505E39">
        <w:t xml:space="preserve"> </w:t>
      </w:r>
      <w:r>
        <w:t>En la Tesorería n</w:t>
      </w:r>
      <w:r w:rsidRPr="00505E39">
        <w:t>o existen condiciones de seguridad adecuadas</w:t>
      </w:r>
      <w:r>
        <w:t xml:space="preserve"> para el manejo de fondos.</w:t>
      </w:r>
    </w:p>
    <w:p w:rsidR="00915AAB" w:rsidRPr="00505E39" w:rsidRDefault="00915AAB" w:rsidP="00E6301F">
      <w:pPr>
        <w:pStyle w:val="Textoindependiente"/>
      </w:pPr>
      <w:r>
        <w:rPr>
          <w:b/>
        </w:rPr>
        <w:t>2</w:t>
      </w:r>
      <w:r w:rsidRPr="00B30238">
        <w:rPr>
          <w:b/>
        </w:rPr>
        <w:t>.1.2</w:t>
      </w:r>
      <w:r w:rsidRPr="00505E39">
        <w:t xml:space="preserve"> </w:t>
      </w:r>
      <w:r>
        <w:t>L</w:t>
      </w:r>
      <w:r w:rsidRPr="00505E39">
        <w:t xml:space="preserve">os registros correspondientes a gastos abonados con fondo fijo son llevados en forma conjunta con los fondos de </w:t>
      </w:r>
      <w:r>
        <w:t>C</w:t>
      </w:r>
      <w:r w:rsidRPr="00505E39">
        <w:t>aja.</w:t>
      </w:r>
    </w:p>
    <w:p w:rsidR="00915AAB" w:rsidRPr="001F03D7" w:rsidRDefault="00915AAB" w:rsidP="006106EA">
      <w:pPr>
        <w:pStyle w:val="Ttulo2"/>
        <w:jc w:val="both"/>
        <w:rPr>
          <w:b w:val="0"/>
        </w:rPr>
      </w:pPr>
      <w:r w:rsidRPr="001F03D7">
        <w:t>2.1.3</w:t>
      </w:r>
      <w:r w:rsidRPr="00505E39">
        <w:t xml:space="preserve"> </w:t>
      </w:r>
      <w:r w:rsidRPr="001F03D7">
        <w:rPr>
          <w:b w:val="0"/>
        </w:rPr>
        <w:t>A la fecha no ha concluido l</w:t>
      </w:r>
      <w:r>
        <w:rPr>
          <w:b w:val="0"/>
        </w:rPr>
        <w:t>a investigación iniciada en el E</w:t>
      </w:r>
      <w:r w:rsidRPr="001F03D7">
        <w:rPr>
          <w:b w:val="0"/>
        </w:rPr>
        <w:t xml:space="preserve">jercicio 2011 referente a diferencias de </w:t>
      </w:r>
      <w:r>
        <w:rPr>
          <w:b w:val="0"/>
        </w:rPr>
        <w:t>C</w:t>
      </w:r>
      <w:r w:rsidRPr="001F03D7">
        <w:rPr>
          <w:b w:val="0"/>
        </w:rPr>
        <w:t xml:space="preserve">aja en menos por un valor de $ 100.000 que fuera constatada oportunamente </w:t>
      </w:r>
      <w:r w:rsidR="00F06FEE">
        <w:rPr>
          <w:b w:val="0"/>
        </w:rPr>
        <w:t>en un procedimiento de control.</w:t>
      </w:r>
    </w:p>
    <w:p w:rsidR="00915AAB" w:rsidRPr="00BF6927" w:rsidRDefault="00915AAB" w:rsidP="006106EA">
      <w:pPr>
        <w:pStyle w:val="Ttulo2"/>
        <w:jc w:val="both"/>
      </w:pPr>
      <w:bookmarkStart w:id="21" w:name="_Toc404767932"/>
      <w:r w:rsidRPr="00BF6927">
        <w:t xml:space="preserve">2.2 </w:t>
      </w:r>
      <w:r>
        <w:t xml:space="preserve"> </w:t>
      </w:r>
      <w:r w:rsidRPr="00BF6927">
        <w:t>Respecto a retribuciones personales</w:t>
      </w:r>
      <w:bookmarkEnd w:id="21"/>
    </w:p>
    <w:p w:rsidR="00915AAB" w:rsidRPr="008637C4" w:rsidRDefault="00915AAB" w:rsidP="00E6301F">
      <w:pPr>
        <w:pStyle w:val="Textoindependiente"/>
        <w:rPr>
          <w:b/>
        </w:rPr>
      </w:pPr>
      <w:r w:rsidRPr="001F03D7">
        <w:rPr>
          <w:b/>
        </w:rPr>
        <w:t xml:space="preserve">2.2.1 </w:t>
      </w:r>
      <w:r w:rsidRPr="001F03D7">
        <w:t xml:space="preserve">Al igual que en otros </w:t>
      </w:r>
      <w:r>
        <w:t>E</w:t>
      </w:r>
      <w:r w:rsidRPr="001F03D7">
        <w:t xml:space="preserve">jercicios, no existe una adecuada separación de funciones, realizándose en la </w:t>
      </w:r>
      <w:r>
        <w:t>O</w:t>
      </w:r>
      <w:r w:rsidRPr="001F03D7">
        <w:t xml:space="preserve">ficina de Personal las funciones de control del personal y liquidación de </w:t>
      </w:r>
      <w:r>
        <w:t>sus haberes.</w:t>
      </w:r>
    </w:p>
    <w:p w:rsidR="00915AAB" w:rsidRPr="00321FEB" w:rsidRDefault="00915AAB" w:rsidP="00E6301F">
      <w:pPr>
        <w:pStyle w:val="Textoindependiente"/>
      </w:pPr>
      <w:r w:rsidRPr="00321FEB">
        <w:rPr>
          <w:b/>
        </w:rPr>
        <w:t>2.2.2</w:t>
      </w:r>
      <w:r w:rsidRPr="00321FEB">
        <w:t xml:space="preserve"> No existe un compendio actualizado de la normativa vigente sobre viáticos, horas extras, compensaciones, etc.</w:t>
      </w:r>
    </w:p>
    <w:p w:rsidR="00915AAB" w:rsidRDefault="00915AAB" w:rsidP="00E6301F">
      <w:pPr>
        <w:pStyle w:val="Textoindependiente"/>
      </w:pPr>
    </w:p>
    <w:p w:rsidR="00915AAB" w:rsidRPr="00E55E4C" w:rsidRDefault="00915AAB" w:rsidP="00E6301F">
      <w:pPr>
        <w:pStyle w:val="Textoindependiente"/>
        <w:rPr>
          <w:b/>
        </w:rPr>
      </w:pPr>
      <w:bookmarkStart w:id="22" w:name="_Toc404767933"/>
      <w:r w:rsidRPr="00E55E4C">
        <w:rPr>
          <w:b/>
        </w:rPr>
        <w:t>2.3  Respecto al sistema de compras</w:t>
      </w:r>
      <w:bookmarkEnd w:id="22"/>
    </w:p>
    <w:p w:rsidR="00915AAB" w:rsidRDefault="00915AAB" w:rsidP="00E6301F">
      <w:pPr>
        <w:pStyle w:val="Textoindependiente"/>
      </w:pPr>
    </w:p>
    <w:p w:rsidR="00915AAB" w:rsidRDefault="00915AAB" w:rsidP="00E6301F">
      <w:pPr>
        <w:pStyle w:val="Textoindependiente"/>
      </w:pPr>
      <w:r w:rsidRPr="004E4369">
        <w:rPr>
          <w:b/>
        </w:rPr>
        <w:t xml:space="preserve">2.3.1 </w:t>
      </w:r>
      <w:r w:rsidRPr="004E4369">
        <w:t>No se solicitan, en todos los casos, al menos tres precios al realizar</w:t>
      </w:r>
      <w:r>
        <w:t xml:space="preserve"> gastos inferiores al monto de la Licitación Abreviada, no contemplándose el principio de buena administración.</w:t>
      </w:r>
    </w:p>
    <w:p w:rsidR="00915AAB" w:rsidRDefault="00915AAB" w:rsidP="006106EA">
      <w:pPr>
        <w:pStyle w:val="Sangra2detindependiente"/>
        <w:tabs>
          <w:tab w:val="left" w:pos="3064"/>
        </w:tabs>
        <w:ind w:left="0"/>
      </w:pPr>
      <w:r>
        <w:rPr>
          <w:b/>
        </w:rPr>
        <w:t>2.3.2</w:t>
      </w:r>
      <w:r>
        <w:t xml:space="preserve"> Si bien la Intendencia cuenta con el Departamento de Proveeduría, el mismo no funciona adecuadamente debido a que la mercadería adquirida al proveedor, sigue siendo entregada directamente por este último a la dependencia que la solicitó, no existiendo un control previo por parte de dicho Departamento.</w:t>
      </w:r>
    </w:p>
    <w:p w:rsidR="00915AAB" w:rsidRDefault="00915AAB" w:rsidP="006106EA">
      <w:pPr>
        <w:pStyle w:val="Sangra2detindependiente"/>
        <w:tabs>
          <w:tab w:val="left" w:pos="3064"/>
        </w:tabs>
        <w:ind w:left="0"/>
        <w:rPr>
          <w:rFonts w:cs="Arial"/>
          <w:color w:val="000000"/>
          <w:szCs w:val="24"/>
        </w:rPr>
      </w:pPr>
      <w:r>
        <w:rPr>
          <w:b/>
          <w:bCs/>
        </w:rPr>
        <w:t xml:space="preserve">2.3.3 </w:t>
      </w:r>
      <w:r>
        <w:rPr>
          <w:rFonts w:cs="Arial"/>
          <w:color w:val="000000"/>
          <w:szCs w:val="24"/>
        </w:rPr>
        <w:t xml:space="preserve">No se realiza una </w:t>
      </w:r>
      <w:proofErr w:type="spellStart"/>
      <w:r>
        <w:rPr>
          <w:rFonts w:cs="Arial"/>
          <w:color w:val="000000"/>
          <w:szCs w:val="24"/>
        </w:rPr>
        <w:t>circularización</w:t>
      </w:r>
      <w:proofErr w:type="spellEnd"/>
      <w:r>
        <w:rPr>
          <w:rFonts w:cs="Arial"/>
          <w:color w:val="000000"/>
          <w:szCs w:val="24"/>
        </w:rPr>
        <w:t xml:space="preserve"> de los saldos de las deudas a proveedores como procedimiento de control interno.</w:t>
      </w:r>
    </w:p>
    <w:p w:rsidR="00915AAB" w:rsidRPr="00505E39" w:rsidRDefault="00915AAB" w:rsidP="00E6301F">
      <w:pPr>
        <w:pStyle w:val="Textoindependiente"/>
      </w:pPr>
      <w:r>
        <w:rPr>
          <w:b/>
        </w:rPr>
        <w:t>2</w:t>
      </w:r>
      <w:r w:rsidRPr="00B30238">
        <w:rPr>
          <w:b/>
        </w:rPr>
        <w:t>.3.4</w:t>
      </w:r>
      <w:r w:rsidRPr="00505E39">
        <w:t xml:space="preserve"> No existen manuales de procedimientos tendientes a definir tareas y responsabilidades de los funcionarios en todas las áreas.</w:t>
      </w:r>
    </w:p>
    <w:p w:rsidR="00915AAB" w:rsidRDefault="00915AAB" w:rsidP="006106EA">
      <w:pPr>
        <w:pStyle w:val="Ttulo2"/>
        <w:jc w:val="both"/>
      </w:pPr>
      <w:bookmarkStart w:id="23" w:name="_Toc404767934"/>
      <w:bookmarkStart w:id="24" w:name="_Toc51488268"/>
    </w:p>
    <w:p w:rsidR="00915AAB" w:rsidRDefault="00915AAB" w:rsidP="006106EA">
      <w:pPr>
        <w:pStyle w:val="Ttulo2"/>
        <w:jc w:val="both"/>
      </w:pPr>
      <w:r>
        <w:t>3. Recomendaciones</w:t>
      </w:r>
      <w:bookmarkEnd w:id="23"/>
    </w:p>
    <w:p w:rsidR="00915AAB" w:rsidRPr="001F03D7" w:rsidRDefault="00915AAB" w:rsidP="006106EA">
      <w:pPr>
        <w:pStyle w:val="Sangra2detindependiente"/>
        <w:tabs>
          <w:tab w:val="left" w:pos="3064"/>
        </w:tabs>
        <w:ind w:left="0"/>
        <w:rPr>
          <w:rFonts w:cs="Arial"/>
          <w:b/>
          <w:color w:val="000000"/>
          <w:szCs w:val="24"/>
        </w:rPr>
      </w:pPr>
      <w:bookmarkStart w:id="25" w:name="_Toc404767935"/>
      <w:r w:rsidRPr="001F03D7">
        <w:rPr>
          <w:rFonts w:cs="Arial"/>
          <w:b/>
          <w:color w:val="000000"/>
          <w:szCs w:val="24"/>
        </w:rPr>
        <w:t>3</w:t>
      </w:r>
      <w:r>
        <w:rPr>
          <w:rFonts w:cs="Arial"/>
          <w:b/>
          <w:color w:val="000000"/>
          <w:szCs w:val="24"/>
        </w:rPr>
        <w:t>.1 Recomendaciones de E</w:t>
      </w:r>
      <w:r w:rsidRPr="001F03D7">
        <w:rPr>
          <w:rFonts w:cs="Arial"/>
          <w:b/>
          <w:color w:val="000000"/>
          <w:szCs w:val="24"/>
        </w:rPr>
        <w:t>jercicios anteriores cumplidas</w:t>
      </w:r>
      <w:bookmarkStart w:id="26" w:name="_Toc146969720"/>
      <w:bookmarkEnd w:id="25"/>
    </w:p>
    <w:p w:rsidR="00915AAB" w:rsidRDefault="00915AAB" w:rsidP="006106EA">
      <w:pPr>
        <w:pStyle w:val="Sangra2detindependiente"/>
        <w:tabs>
          <w:tab w:val="left" w:pos="3064"/>
        </w:tabs>
        <w:ind w:left="0"/>
        <w:rPr>
          <w:rFonts w:cs="Arial"/>
          <w:b/>
          <w:color w:val="000000"/>
          <w:szCs w:val="24"/>
        </w:rPr>
      </w:pPr>
    </w:p>
    <w:p w:rsidR="00915AAB" w:rsidRPr="001F03D7" w:rsidRDefault="00915AAB" w:rsidP="006106EA">
      <w:pPr>
        <w:pStyle w:val="Sangra2detindependiente"/>
        <w:tabs>
          <w:tab w:val="left" w:pos="3064"/>
        </w:tabs>
        <w:ind w:left="0"/>
        <w:rPr>
          <w:rFonts w:cs="Arial"/>
          <w:color w:val="000000"/>
          <w:szCs w:val="24"/>
        </w:rPr>
      </w:pPr>
      <w:r w:rsidRPr="001F03D7">
        <w:rPr>
          <w:rFonts w:cs="Arial"/>
          <w:b/>
          <w:color w:val="000000"/>
          <w:szCs w:val="24"/>
        </w:rPr>
        <w:t>3.1.1</w:t>
      </w:r>
      <w:r w:rsidRPr="001F03D7">
        <w:rPr>
          <w:rFonts w:cs="Arial"/>
          <w:color w:val="000000"/>
          <w:szCs w:val="24"/>
        </w:rPr>
        <w:t xml:space="preserve">  </w:t>
      </w:r>
      <w:bookmarkStart w:id="27" w:name="_Toc404767950"/>
      <w:r w:rsidRPr="00E22B95">
        <w:rPr>
          <w:rFonts w:cs="Arial"/>
          <w:b/>
          <w:color w:val="000000"/>
          <w:szCs w:val="24"/>
        </w:rPr>
        <w:t>Ley Nº 13.142, Decreto 342/1992 y Artículo 1 Decreto</w:t>
      </w:r>
      <w:r>
        <w:rPr>
          <w:rFonts w:cs="Arial"/>
          <w:b/>
          <w:color w:val="000000"/>
          <w:szCs w:val="24"/>
        </w:rPr>
        <w:t>-</w:t>
      </w:r>
      <w:r w:rsidRPr="00E22B95">
        <w:rPr>
          <w:rFonts w:cs="Arial"/>
          <w:b/>
          <w:color w:val="000000"/>
          <w:szCs w:val="24"/>
        </w:rPr>
        <w:t>Ley Nº 14.632</w:t>
      </w:r>
      <w:bookmarkEnd w:id="27"/>
      <w:r w:rsidRPr="001F03D7">
        <w:rPr>
          <w:rFonts w:cs="Arial"/>
          <w:color w:val="000000"/>
          <w:szCs w:val="24"/>
        </w:rPr>
        <w:t xml:space="preserve"> </w:t>
      </w:r>
    </w:p>
    <w:p w:rsidR="00915AAB" w:rsidRPr="001F03D7" w:rsidRDefault="00915AAB" w:rsidP="006106EA">
      <w:pPr>
        <w:pStyle w:val="Sangra2detindependiente"/>
        <w:tabs>
          <w:tab w:val="left" w:pos="3064"/>
        </w:tabs>
        <w:ind w:left="0"/>
        <w:rPr>
          <w:rFonts w:cs="Arial"/>
          <w:color w:val="000000"/>
          <w:szCs w:val="24"/>
        </w:rPr>
      </w:pPr>
      <w:r>
        <w:rPr>
          <w:rFonts w:cs="Arial"/>
          <w:color w:val="000000"/>
          <w:szCs w:val="24"/>
        </w:rPr>
        <w:t>Durante el E</w:t>
      </w:r>
      <w:r w:rsidRPr="001F03D7">
        <w:rPr>
          <w:rFonts w:cs="Arial"/>
          <w:color w:val="000000"/>
          <w:szCs w:val="24"/>
        </w:rPr>
        <w:t>jercicio se exigió la presentación de los certificados de estar al día</w:t>
      </w:r>
      <w:r>
        <w:t xml:space="preserve"> </w:t>
      </w:r>
      <w:r w:rsidRPr="001F03D7">
        <w:rPr>
          <w:rFonts w:cs="Arial"/>
          <w:color w:val="000000"/>
          <w:szCs w:val="24"/>
        </w:rPr>
        <w:t>con el BPS y la DGI a los proveedores.</w:t>
      </w:r>
    </w:p>
    <w:p w:rsidR="00915AAB" w:rsidRPr="001F03D7" w:rsidRDefault="00915AAB" w:rsidP="006106EA">
      <w:pPr>
        <w:pStyle w:val="Sangra2detindependiente"/>
        <w:tabs>
          <w:tab w:val="left" w:pos="3064"/>
        </w:tabs>
        <w:ind w:left="0"/>
        <w:rPr>
          <w:rFonts w:cs="Arial"/>
          <w:b/>
          <w:color w:val="000000"/>
          <w:szCs w:val="24"/>
        </w:rPr>
      </w:pPr>
    </w:p>
    <w:p w:rsidR="00915AAB" w:rsidRDefault="00915AAB" w:rsidP="006106EA">
      <w:pPr>
        <w:pStyle w:val="Sangra2detindependiente"/>
        <w:tabs>
          <w:tab w:val="left" w:pos="3064"/>
        </w:tabs>
        <w:ind w:left="0"/>
        <w:rPr>
          <w:rFonts w:cs="Arial"/>
          <w:b/>
          <w:color w:val="000000"/>
        </w:rPr>
      </w:pPr>
      <w:r>
        <w:rPr>
          <w:rFonts w:cs="Arial"/>
          <w:b/>
          <w:color w:val="000000"/>
          <w:szCs w:val="24"/>
        </w:rPr>
        <w:t>3</w:t>
      </w:r>
      <w:r w:rsidRPr="001F03D7">
        <w:rPr>
          <w:rFonts w:cs="Arial"/>
          <w:b/>
          <w:color w:val="000000"/>
          <w:szCs w:val="24"/>
        </w:rPr>
        <w:t xml:space="preserve">.1.2 </w:t>
      </w:r>
      <w:r w:rsidRPr="00AE1F21">
        <w:rPr>
          <w:rFonts w:cs="Arial"/>
          <w:b/>
          <w:color w:val="000000"/>
        </w:rPr>
        <w:t>Decreto Nº 27/10 de la Junta Departamental de 25/10/10</w:t>
      </w:r>
    </w:p>
    <w:p w:rsidR="00915AAB" w:rsidRPr="00D31784" w:rsidRDefault="00915AAB" w:rsidP="006106EA">
      <w:pPr>
        <w:pStyle w:val="Sangra2detindependiente"/>
        <w:tabs>
          <w:tab w:val="left" w:pos="3064"/>
        </w:tabs>
        <w:ind w:left="0"/>
        <w:rPr>
          <w:rFonts w:cs="Arial"/>
          <w:color w:val="000000"/>
          <w:szCs w:val="24"/>
        </w:rPr>
      </w:pPr>
      <w:r>
        <w:rPr>
          <w:rFonts w:cs="Arial"/>
          <w:color w:val="000000"/>
        </w:rPr>
        <w:t>E</w:t>
      </w:r>
      <w:r w:rsidRPr="009A367B">
        <w:rPr>
          <w:rFonts w:cs="Arial"/>
          <w:color w:val="000000"/>
        </w:rPr>
        <w:t>n Sesión</w:t>
      </w:r>
      <w:r>
        <w:rPr>
          <w:rFonts w:cs="Arial"/>
          <w:color w:val="000000"/>
        </w:rPr>
        <w:t xml:space="preserve"> Extraordinaria</w:t>
      </w:r>
      <w:r w:rsidRPr="009A367B">
        <w:rPr>
          <w:rFonts w:cs="Arial"/>
          <w:color w:val="000000"/>
        </w:rPr>
        <w:t xml:space="preserve"> de fecha 15 de abril de 2014 la Junta Departamental </w:t>
      </w:r>
      <w:r w:rsidRPr="00D31784">
        <w:rPr>
          <w:rFonts w:cs="Arial"/>
          <w:color w:val="000000"/>
          <w:szCs w:val="24"/>
        </w:rPr>
        <w:t>convocó al Sr. Intendente el cual informó respecto al destino del crédito.</w:t>
      </w:r>
    </w:p>
    <w:p w:rsidR="00915AAB" w:rsidRPr="00D31784" w:rsidRDefault="00915AAB" w:rsidP="006106EA">
      <w:pPr>
        <w:pStyle w:val="Sangra2detindependiente"/>
        <w:tabs>
          <w:tab w:val="left" w:pos="3064"/>
        </w:tabs>
        <w:ind w:left="0"/>
        <w:rPr>
          <w:rFonts w:cs="Arial"/>
          <w:b/>
          <w:color w:val="000000"/>
          <w:szCs w:val="24"/>
        </w:rPr>
      </w:pPr>
      <w:bookmarkStart w:id="28" w:name="_Toc364095667"/>
      <w:bookmarkStart w:id="29" w:name="_Toc404767963"/>
    </w:p>
    <w:p w:rsidR="00915AAB" w:rsidRPr="00D31784" w:rsidRDefault="00915AAB" w:rsidP="006106EA">
      <w:pPr>
        <w:pStyle w:val="Sangra2detindependiente"/>
        <w:tabs>
          <w:tab w:val="left" w:pos="3064"/>
        </w:tabs>
        <w:ind w:left="0"/>
        <w:rPr>
          <w:rFonts w:cs="Arial"/>
          <w:b/>
          <w:color w:val="000000"/>
          <w:szCs w:val="24"/>
        </w:rPr>
      </w:pPr>
      <w:bookmarkStart w:id="30" w:name="_Toc404767941"/>
      <w:bookmarkEnd w:id="28"/>
      <w:bookmarkEnd w:id="29"/>
      <w:r w:rsidRPr="00D31784">
        <w:rPr>
          <w:rFonts w:cs="Arial"/>
          <w:b/>
          <w:color w:val="000000"/>
          <w:szCs w:val="24"/>
        </w:rPr>
        <w:t xml:space="preserve">3.2 Recomendaciones de </w:t>
      </w:r>
      <w:r>
        <w:rPr>
          <w:rFonts w:cs="Arial"/>
          <w:b/>
          <w:color w:val="000000"/>
          <w:szCs w:val="24"/>
        </w:rPr>
        <w:t>E</w:t>
      </w:r>
      <w:r w:rsidRPr="00D31784">
        <w:rPr>
          <w:rFonts w:cs="Arial"/>
          <w:b/>
          <w:color w:val="000000"/>
          <w:szCs w:val="24"/>
        </w:rPr>
        <w:t>jercicios anteriores no cumplidas</w:t>
      </w:r>
      <w:bookmarkEnd w:id="30"/>
    </w:p>
    <w:p w:rsidR="00915AAB" w:rsidRPr="00660A74" w:rsidRDefault="00915AAB" w:rsidP="006106EA">
      <w:pPr>
        <w:spacing w:line="360" w:lineRule="auto"/>
        <w:jc w:val="both"/>
        <w:rPr>
          <w:b/>
          <w:bCs/>
          <w:kern w:val="18"/>
          <w:szCs w:val="20"/>
          <w:lang w:val="es-ES_tradnl"/>
        </w:rPr>
      </w:pPr>
      <w:bookmarkStart w:id="31" w:name="_Toc404767942"/>
      <w:r>
        <w:rPr>
          <w:b/>
          <w:bCs/>
          <w:kern w:val="18"/>
          <w:szCs w:val="20"/>
          <w:lang w:val="es-ES_tradnl"/>
        </w:rPr>
        <w:t>3</w:t>
      </w:r>
      <w:r w:rsidRPr="00660A74">
        <w:rPr>
          <w:b/>
          <w:bCs/>
          <w:kern w:val="18"/>
          <w:szCs w:val="20"/>
          <w:lang w:val="es-ES_tradnl"/>
        </w:rPr>
        <w:t xml:space="preserve">.2.1 </w:t>
      </w:r>
      <w:bookmarkStart w:id="32" w:name="_Toc404767943"/>
      <w:bookmarkEnd w:id="31"/>
      <w:r>
        <w:rPr>
          <w:b/>
          <w:bCs/>
          <w:kern w:val="18"/>
          <w:szCs w:val="20"/>
          <w:lang w:val="es-ES_tradnl"/>
        </w:rPr>
        <w:t xml:space="preserve">Artículo 297 de </w:t>
      </w:r>
      <w:r w:rsidR="00434064">
        <w:rPr>
          <w:b/>
          <w:bCs/>
          <w:kern w:val="18"/>
          <w:szCs w:val="20"/>
          <w:lang w:val="es-ES_tradnl"/>
        </w:rPr>
        <w:t>la Constitución de la República</w:t>
      </w:r>
    </w:p>
    <w:p w:rsidR="00915AAB" w:rsidRDefault="00915AAB" w:rsidP="006106EA">
      <w:pPr>
        <w:spacing w:line="360" w:lineRule="auto"/>
        <w:jc w:val="both"/>
      </w:pPr>
      <w:r>
        <w:rPr>
          <w:bCs/>
          <w:kern w:val="18"/>
          <w:szCs w:val="20"/>
          <w:lang w:val="es-ES_tradnl"/>
        </w:rPr>
        <w:t>L</w:t>
      </w:r>
      <w:r w:rsidRPr="00660A74">
        <w:rPr>
          <w:bCs/>
          <w:kern w:val="18"/>
          <w:szCs w:val="20"/>
          <w:lang w:val="es-ES_tradnl"/>
        </w:rPr>
        <w:t>a Intendencia no deberá otorgar bonificaciones y descuentos en</w:t>
      </w:r>
      <w:r w:rsidRPr="00660A74">
        <w:t xml:space="preserve"> lo que refiere a Impuestos </w:t>
      </w:r>
      <w:r>
        <w:t>creados por Ley Nacional.</w:t>
      </w:r>
    </w:p>
    <w:p w:rsidR="00915AAB" w:rsidRDefault="00915AAB" w:rsidP="00E6301F">
      <w:pPr>
        <w:pStyle w:val="Textoindependiente"/>
      </w:pPr>
    </w:p>
    <w:p w:rsidR="00915AAB" w:rsidRPr="00660A74" w:rsidRDefault="00915AAB" w:rsidP="006106EA">
      <w:pPr>
        <w:spacing w:line="360" w:lineRule="auto"/>
        <w:jc w:val="both"/>
        <w:rPr>
          <w:b/>
          <w:bCs/>
          <w:kern w:val="18"/>
          <w:szCs w:val="20"/>
          <w:lang w:val="es-ES_tradnl"/>
        </w:rPr>
      </w:pPr>
      <w:r>
        <w:rPr>
          <w:b/>
          <w:bCs/>
          <w:kern w:val="18"/>
          <w:szCs w:val="20"/>
          <w:lang w:val="es-ES_tradnl"/>
        </w:rPr>
        <w:t>3</w:t>
      </w:r>
      <w:r w:rsidRPr="00660A74">
        <w:rPr>
          <w:b/>
          <w:bCs/>
          <w:kern w:val="18"/>
          <w:szCs w:val="20"/>
          <w:lang w:val="es-ES_tradnl"/>
        </w:rPr>
        <w:t xml:space="preserve">.2.2 Artículos 12 </w:t>
      </w:r>
      <w:r>
        <w:rPr>
          <w:b/>
          <w:bCs/>
          <w:kern w:val="18"/>
          <w:szCs w:val="20"/>
          <w:lang w:val="es-ES_tradnl"/>
        </w:rPr>
        <w:t>N</w:t>
      </w:r>
      <w:r w:rsidRPr="00660A74">
        <w:rPr>
          <w:b/>
          <w:bCs/>
          <w:kern w:val="18"/>
          <w:szCs w:val="20"/>
          <w:lang w:val="es-ES_tradnl"/>
        </w:rPr>
        <w:t>umeral</w:t>
      </w:r>
      <w:r>
        <w:rPr>
          <w:b/>
          <w:bCs/>
          <w:kern w:val="18"/>
          <w:szCs w:val="20"/>
          <w:lang w:val="es-ES_tradnl"/>
        </w:rPr>
        <w:t>es</w:t>
      </w:r>
      <w:r w:rsidRPr="00660A74">
        <w:rPr>
          <w:b/>
          <w:bCs/>
          <w:kern w:val="18"/>
          <w:szCs w:val="20"/>
          <w:lang w:val="es-ES_tradnl"/>
        </w:rPr>
        <w:t xml:space="preserve"> 3 y 15 de la Ley Nº 18.567 </w:t>
      </w:r>
      <w:r>
        <w:rPr>
          <w:b/>
          <w:bCs/>
          <w:kern w:val="18"/>
          <w:szCs w:val="20"/>
          <w:lang w:val="es-ES_tradnl"/>
        </w:rPr>
        <w:t xml:space="preserve">y </w:t>
      </w:r>
      <w:r w:rsidRPr="00660A74">
        <w:rPr>
          <w:b/>
          <w:bCs/>
          <w:kern w:val="18"/>
          <w:szCs w:val="20"/>
          <w:lang w:val="es-ES_tradnl"/>
        </w:rPr>
        <w:t xml:space="preserve">Artículo 13  </w:t>
      </w:r>
      <w:r>
        <w:rPr>
          <w:b/>
          <w:bCs/>
          <w:kern w:val="18"/>
          <w:szCs w:val="20"/>
          <w:lang w:val="es-ES_tradnl"/>
        </w:rPr>
        <w:t>N</w:t>
      </w:r>
      <w:r w:rsidRPr="00660A74">
        <w:rPr>
          <w:b/>
          <w:bCs/>
          <w:kern w:val="18"/>
          <w:szCs w:val="20"/>
          <w:lang w:val="es-ES_tradnl"/>
        </w:rPr>
        <w:t>umeral 18 de la Ley Nº 18.567</w:t>
      </w:r>
    </w:p>
    <w:p w:rsidR="00915AAB" w:rsidRDefault="00915AAB" w:rsidP="006106EA">
      <w:pPr>
        <w:spacing w:line="360" w:lineRule="auto"/>
        <w:jc w:val="both"/>
      </w:pPr>
      <w:r w:rsidRPr="00660A74">
        <w:rPr>
          <w:bCs/>
          <w:kern w:val="18"/>
          <w:szCs w:val="20"/>
          <w:lang w:val="es-ES_tradnl"/>
        </w:rPr>
        <w:t>El Municipio de Fraile Muerto, en su funcionamiento, no ha dado cumplimiento</w:t>
      </w:r>
      <w:r w:rsidRPr="00660A74">
        <w:t xml:space="preserve"> a la normativa citada. </w:t>
      </w:r>
      <w:r>
        <w:t xml:space="preserve">Por otra parte, </w:t>
      </w:r>
      <w:r w:rsidRPr="00660A74">
        <w:t>los Municipios de Río Branco y</w:t>
      </w:r>
      <w:r>
        <w:t xml:space="preserve"> Fraile Muerto deberán presentar ante el Gobierno Departamental sus respectivas Rendiciones de Cuentas.</w:t>
      </w:r>
    </w:p>
    <w:p w:rsidR="00915AAB" w:rsidRDefault="00915AAB" w:rsidP="00E6301F">
      <w:pPr>
        <w:pStyle w:val="Textoindependiente"/>
      </w:pPr>
    </w:p>
    <w:p w:rsidR="00434064" w:rsidRDefault="00434064" w:rsidP="00E6301F">
      <w:pPr>
        <w:pStyle w:val="Textoindependiente"/>
      </w:pPr>
    </w:p>
    <w:p w:rsidR="00915AAB" w:rsidRPr="00660A74" w:rsidRDefault="00915AAB" w:rsidP="006106EA">
      <w:pPr>
        <w:spacing w:line="360" w:lineRule="auto"/>
        <w:jc w:val="both"/>
        <w:rPr>
          <w:b/>
          <w:bCs/>
          <w:kern w:val="18"/>
          <w:szCs w:val="20"/>
          <w:lang w:val="es-ES_tradnl"/>
        </w:rPr>
      </w:pPr>
      <w:bookmarkStart w:id="33" w:name="_Toc404767952"/>
      <w:r>
        <w:rPr>
          <w:b/>
          <w:bCs/>
          <w:kern w:val="18"/>
          <w:szCs w:val="20"/>
          <w:lang w:val="es-ES_tradnl"/>
        </w:rPr>
        <w:t>3</w:t>
      </w:r>
      <w:r w:rsidRPr="00660A74">
        <w:rPr>
          <w:b/>
          <w:bCs/>
          <w:kern w:val="18"/>
          <w:szCs w:val="20"/>
          <w:lang w:val="es-ES_tradnl"/>
        </w:rPr>
        <w:t>.2.3 Artículo 124 de la Ley N° 17.738</w:t>
      </w:r>
      <w:bookmarkEnd w:id="33"/>
    </w:p>
    <w:p w:rsidR="00915AAB" w:rsidRPr="004A6FE1" w:rsidRDefault="00915AAB" w:rsidP="006106EA">
      <w:pPr>
        <w:spacing w:line="360" w:lineRule="auto"/>
        <w:jc w:val="both"/>
        <w:rPr>
          <w:bCs/>
          <w:kern w:val="18"/>
          <w:szCs w:val="20"/>
          <w:lang w:val="es-ES_tradnl"/>
        </w:rPr>
      </w:pPr>
      <w:r w:rsidRPr="00660A74">
        <w:rPr>
          <w:bCs/>
          <w:kern w:val="18"/>
          <w:szCs w:val="20"/>
          <w:lang w:val="es-ES_tradnl"/>
        </w:rPr>
        <w:t>En todos los casos, la Intendencia y el Municipio de Río Branco deberán exigir</w:t>
      </w:r>
      <w:r w:rsidRPr="00660A74">
        <w:t xml:space="preserve"> en forma previa al pago de haberes a profesionales, la presentación del</w:t>
      </w:r>
      <w:r>
        <w:t xml:space="preserve"> certificado de estar al día con la Caja de Jubilaciones y Pensiones de </w:t>
      </w:r>
      <w:r w:rsidRPr="004A6FE1">
        <w:rPr>
          <w:bCs/>
          <w:kern w:val="18"/>
          <w:szCs w:val="20"/>
          <w:lang w:val="es-ES_tradnl"/>
        </w:rPr>
        <w:t>Profesionales Universitarios.</w:t>
      </w:r>
    </w:p>
    <w:p w:rsidR="00915AAB" w:rsidRPr="004A6FE1" w:rsidRDefault="00915AAB" w:rsidP="006106EA">
      <w:pPr>
        <w:spacing w:line="360" w:lineRule="auto"/>
        <w:jc w:val="both"/>
        <w:rPr>
          <w:b/>
          <w:bCs/>
          <w:kern w:val="18"/>
          <w:szCs w:val="20"/>
          <w:lang w:val="es-ES_tradnl"/>
        </w:rPr>
      </w:pPr>
    </w:p>
    <w:p w:rsidR="00915AAB" w:rsidRPr="00660A74" w:rsidRDefault="00915AAB" w:rsidP="006106EA">
      <w:pPr>
        <w:spacing w:line="360" w:lineRule="auto"/>
        <w:jc w:val="both"/>
        <w:rPr>
          <w:b/>
          <w:bCs/>
          <w:kern w:val="18"/>
          <w:szCs w:val="20"/>
          <w:lang w:val="es-ES_tradnl"/>
        </w:rPr>
      </w:pPr>
      <w:bookmarkStart w:id="34" w:name="_Toc404767965"/>
      <w:r>
        <w:rPr>
          <w:b/>
          <w:bCs/>
          <w:kern w:val="18"/>
          <w:szCs w:val="20"/>
          <w:lang w:val="es-ES_tradnl"/>
        </w:rPr>
        <w:t>3</w:t>
      </w:r>
      <w:r w:rsidRPr="00660A74">
        <w:rPr>
          <w:b/>
          <w:bCs/>
          <w:kern w:val="18"/>
          <w:szCs w:val="20"/>
          <w:lang w:val="es-ES_tradnl"/>
        </w:rPr>
        <w:t>.2.4 Artículo 32 de la Ley Nº 11.923 y Artículo 12 de la Ley Nº 12.079</w:t>
      </w:r>
      <w:bookmarkEnd w:id="34"/>
      <w:r w:rsidRPr="00660A74">
        <w:rPr>
          <w:b/>
          <w:bCs/>
          <w:kern w:val="18"/>
          <w:szCs w:val="20"/>
          <w:lang w:val="es-ES_tradnl"/>
        </w:rPr>
        <w:t xml:space="preserve"> </w:t>
      </w:r>
    </w:p>
    <w:p w:rsidR="00915AAB" w:rsidRPr="004A6FE1" w:rsidRDefault="00915AAB" w:rsidP="006106EA">
      <w:pPr>
        <w:spacing w:line="360" w:lineRule="auto"/>
        <w:jc w:val="both"/>
        <w:rPr>
          <w:bCs/>
          <w:kern w:val="18"/>
          <w:szCs w:val="20"/>
          <w:lang w:val="es-ES_tradnl"/>
        </w:rPr>
      </w:pPr>
      <w:r w:rsidRPr="00660A74">
        <w:rPr>
          <w:bCs/>
          <w:kern w:val="18"/>
          <w:szCs w:val="20"/>
          <w:lang w:val="es-ES_tradnl"/>
        </w:rPr>
        <w:t>Se deberá exigir la presentación de declaraciones juradas como forma de</w:t>
      </w:r>
      <w:r>
        <w:t xml:space="preserve"> verificar que los funcionarios no perciban otro ingreso de origen público al </w:t>
      </w:r>
      <w:r w:rsidRPr="004A6FE1">
        <w:rPr>
          <w:bCs/>
          <w:kern w:val="18"/>
          <w:szCs w:val="20"/>
          <w:lang w:val="es-ES_tradnl"/>
        </w:rPr>
        <w:t>momento de contratar personal.</w:t>
      </w:r>
    </w:p>
    <w:p w:rsidR="00915AAB" w:rsidRPr="004A6FE1" w:rsidRDefault="00915AAB" w:rsidP="006106EA">
      <w:pPr>
        <w:spacing w:line="360" w:lineRule="auto"/>
        <w:jc w:val="both"/>
        <w:rPr>
          <w:b/>
          <w:bCs/>
          <w:kern w:val="18"/>
          <w:szCs w:val="20"/>
          <w:lang w:val="es-ES_tradnl"/>
        </w:rPr>
      </w:pPr>
    </w:p>
    <w:p w:rsidR="00915AAB" w:rsidRPr="00660A74" w:rsidRDefault="00915AAB" w:rsidP="006106EA">
      <w:pPr>
        <w:spacing w:line="360" w:lineRule="auto"/>
        <w:jc w:val="both"/>
        <w:rPr>
          <w:b/>
          <w:bCs/>
          <w:kern w:val="18"/>
          <w:szCs w:val="20"/>
          <w:lang w:val="es-ES_tradnl"/>
        </w:rPr>
      </w:pPr>
      <w:r>
        <w:rPr>
          <w:b/>
          <w:bCs/>
          <w:kern w:val="18"/>
          <w:szCs w:val="20"/>
          <w:lang w:val="es-ES_tradnl"/>
        </w:rPr>
        <w:t>3</w:t>
      </w:r>
      <w:r w:rsidRPr="00660A74">
        <w:rPr>
          <w:b/>
          <w:bCs/>
          <w:kern w:val="18"/>
          <w:szCs w:val="20"/>
          <w:lang w:val="es-ES_tradnl"/>
        </w:rPr>
        <w:t xml:space="preserve">.2.5 </w:t>
      </w:r>
      <w:r>
        <w:rPr>
          <w:b/>
          <w:bCs/>
          <w:kern w:val="18"/>
          <w:szCs w:val="20"/>
          <w:lang w:val="es-ES_tradnl"/>
        </w:rPr>
        <w:t>Artículos 4, 5 y 11 del TOCAF</w:t>
      </w:r>
      <w:bookmarkEnd w:id="32"/>
    </w:p>
    <w:p w:rsidR="00915AAB" w:rsidRPr="004A6FE1" w:rsidRDefault="00915AAB" w:rsidP="006106EA">
      <w:pPr>
        <w:spacing w:line="360" w:lineRule="auto"/>
        <w:jc w:val="both"/>
        <w:rPr>
          <w:bCs/>
          <w:kern w:val="18"/>
          <w:szCs w:val="20"/>
          <w:lang w:val="es-ES_tradnl"/>
        </w:rPr>
      </w:pPr>
      <w:r w:rsidRPr="004A6FE1">
        <w:rPr>
          <w:bCs/>
          <w:kern w:val="18"/>
          <w:szCs w:val="20"/>
          <w:lang w:val="es-ES_tradnl"/>
        </w:rPr>
        <w:t xml:space="preserve">De acuerdo con lo dispuesto por los </w:t>
      </w:r>
      <w:r>
        <w:rPr>
          <w:bCs/>
          <w:kern w:val="18"/>
          <w:szCs w:val="20"/>
          <w:lang w:val="es-ES_tradnl"/>
        </w:rPr>
        <w:t>A</w:t>
      </w:r>
      <w:r w:rsidRPr="004A6FE1">
        <w:rPr>
          <w:bCs/>
          <w:kern w:val="18"/>
          <w:szCs w:val="20"/>
          <w:lang w:val="es-ES_tradnl"/>
        </w:rPr>
        <w:t xml:space="preserve">rtículos </w:t>
      </w:r>
      <w:r>
        <w:rPr>
          <w:bCs/>
          <w:kern w:val="18"/>
          <w:szCs w:val="20"/>
          <w:lang w:val="es-ES_tradnl"/>
        </w:rPr>
        <w:t xml:space="preserve">mencionados </w:t>
      </w:r>
      <w:r w:rsidRPr="004A6FE1">
        <w:rPr>
          <w:bCs/>
          <w:kern w:val="18"/>
          <w:szCs w:val="20"/>
          <w:lang w:val="es-ES_tradnl"/>
        </w:rPr>
        <w:t xml:space="preserve">la recaudación debe </w:t>
      </w:r>
      <w:r>
        <w:rPr>
          <w:bCs/>
          <w:kern w:val="18"/>
          <w:szCs w:val="20"/>
          <w:lang w:val="es-ES_tradnl"/>
        </w:rPr>
        <w:t xml:space="preserve">ser </w:t>
      </w:r>
      <w:r w:rsidRPr="004A6FE1">
        <w:rPr>
          <w:bCs/>
          <w:kern w:val="18"/>
          <w:szCs w:val="20"/>
          <w:lang w:val="es-ES_tradnl"/>
        </w:rPr>
        <w:t>deposita</w:t>
      </w:r>
      <w:r>
        <w:rPr>
          <w:bCs/>
          <w:kern w:val="18"/>
          <w:szCs w:val="20"/>
          <w:lang w:val="es-ES_tradnl"/>
        </w:rPr>
        <w:t xml:space="preserve">da </w:t>
      </w:r>
      <w:r w:rsidRPr="004A6FE1">
        <w:rPr>
          <w:bCs/>
          <w:kern w:val="18"/>
          <w:szCs w:val="20"/>
          <w:lang w:val="es-ES_tradnl"/>
        </w:rPr>
        <w:t>íntegramente.</w:t>
      </w:r>
    </w:p>
    <w:p w:rsidR="00915AAB" w:rsidRDefault="00915AAB" w:rsidP="006106EA">
      <w:pPr>
        <w:spacing w:line="360" w:lineRule="auto"/>
        <w:jc w:val="both"/>
        <w:rPr>
          <w:b/>
          <w:bCs/>
          <w:kern w:val="18"/>
          <w:szCs w:val="20"/>
          <w:lang w:val="es-ES_tradnl"/>
        </w:rPr>
      </w:pPr>
    </w:p>
    <w:p w:rsidR="00915AAB" w:rsidRPr="004A6FE1" w:rsidRDefault="00915AAB" w:rsidP="006106EA">
      <w:pPr>
        <w:spacing w:line="360" w:lineRule="auto"/>
        <w:jc w:val="both"/>
        <w:rPr>
          <w:b/>
          <w:bCs/>
          <w:kern w:val="18"/>
          <w:szCs w:val="20"/>
          <w:lang w:val="es-ES_tradnl"/>
        </w:rPr>
      </w:pPr>
      <w:bookmarkStart w:id="35" w:name="_Toc404767944"/>
      <w:r w:rsidRPr="004A6FE1">
        <w:rPr>
          <w:b/>
          <w:bCs/>
          <w:kern w:val="18"/>
          <w:szCs w:val="20"/>
          <w:lang w:val="es-ES_tradnl"/>
        </w:rPr>
        <w:t>3.2.6 Artículos 14 y 21 del TOCAF</w:t>
      </w:r>
      <w:bookmarkEnd w:id="35"/>
    </w:p>
    <w:p w:rsidR="00915AAB" w:rsidRPr="004A6FE1" w:rsidRDefault="00915AAB" w:rsidP="006106EA">
      <w:pPr>
        <w:spacing w:line="360" w:lineRule="auto"/>
        <w:jc w:val="both"/>
      </w:pPr>
      <w:r w:rsidRPr="00660A74">
        <w:rPr>
          <w:bCs/>
          <w:kern w:val="18"/>
          <w:szCs w:val="20"/>
          <w:lang w:val="es-ES_tradnl"/>
        </w:rPr>
        <w:t>Los gastos deben ser autorizados por el Ordenador correspondiente y estar</w:t>
      </w:r>
      <w:r w:rsidRPr="00660A74">
        <w:t xml:space="preserve"> </w:t>
      </w:r>
      <w:r w:rsidRPr="004A6FE1">
        <w:t>debidamente documentados.</w:t>
      </w:r>
    </w:p>
    <w:p w:rsidR="00915AAB" w:rsidRDefault="00915AAB" w:rsidP="006106EA">
      <w:pPr>
        <w:spacing w:line="360" w:lineRule="auto"/>
        <w:jc w:val="both"/>
        <w:rPr>
          <w:b/>
        </w:rPr>
      </w:pPr>
      <w:bookmarkStart w:id="36" w:name="_Toc404767945"/>
    </w:p>
    <w:p w:rsidR="00915AAB" w:rsidRPr="002D07B3" w:rsidRDefault="00915AAB" w:rsidP="006106EA">
      <w:pPr>
        <w:spacing w:line="360" w:lineRule="auto"/>
        <w:jc w:val="both"/>
        <w:rPr>
          <w:b/>
        </w:rPr>
      </w:pPr>
      <w:r>
        <w:rPr>
          <w:b/>
        </w:rPr>
        <w:t>3</w:t>
      </w:r>
      <w:r w:rsidRPr="002D07B3">
        <w:rPr>
          <w:b/>
        </w:rPr>
        <w:t xml:space="preserve">.2.7 </w:t>
      </w:r>
      <w:r>
        <w:rPr>
          <w:b/>
        </w:rPr>
        <w:t>Artículos 33 y 43 del TOCAF</w:t>
      </w:r>
      <w:bookmarkEnd w:id="36"/>
    </w:p>
    <w:p w:rsidR="00915AAB" w:rsidRDefault="00915AAB" w:rsidP="006106EA">
      <w:pPr>
        <w:spacing w:line="360" w:lineRule="auto"/>
        <w:jc w:val="both"/>
      </w:pPr>
      <w:r w:rsidRPr="002D07B3">
        <w:t>La Intendencia debe</w:t>
      </w:r>
      <w:r>
        <w:t xml:space="preserve"> </w:t>
      </w:r>
      <w:r w:rsidRPr="002D07B3">
        <w:t>planifica</w:t>
      </w:r>
      <w:r>
        <w:t>r</w:t>
      </w:r>
      <w:r w:rsidRPr="002D07B3">
        <w:t xml:space="preserve"> las compras y los requerimientos de servicios,</w:t>
      </w:r>
      <w:r>
        <w:t xml:space="preserve"> realizando los procedimientos de contratación que correspondiere. Sin perjuicio de lo dispuesto precedentemente, los Ordenadores bajo su responsabilidad, podrán fraccionar las compras dejando expresa constancia de su fundamento y de su conveniencia para el servicio.</w:t>
      </w:r>
    </w:p>
    <w:p w:rsidR="00915AAB" w:rsidRDefault="00915AAB" w:rsidP="00E6301F">
      <w:pPr>
        <w:pStyle w:val="Textoindependiente"/>
      </w:pPr>
    </w:p>
    <w:p w:rsidR="00915AAB" w:rsidRPr="002D07B3" w:rsidRDefault="00915AAB" w:rsidP="006106EA">
      <w:pPr>
        <w:spacing w:line="360" w:lineRule="auto"/>
        <w:jc w:val="both"/>
        <w:rPr>
          <w:b/>
        </w:rPr>
      </w:pPr>
      <w:bookmarkStart w:id="37" w:name="_Toc404767946"/>
      <w:r>
        <w:rPr>
          <w:b/>
        </w:rPr>
        <w:t>3</w:t>
      </w:r>
      <w:r w:rsidRPr="002D07B3">
        <w:rPr>
          <w:b/>
        </w:rPr>
        <w:t>.2.8 Artículo 40 del TOCAF</w:t>
      </w:r>
      <w:bookmarkEnd w:id="37"/>
    </w:p>
    <w:p w:rsidR="00915AAB" w:rsidRPr="004A6FE1" w:rsidRDefault="00915AAB" w:rsidP="006106EA">
      <w:pPr>
        <w:spacing w:line="360" w:lineRule="auto"/>
        <w:jc w:val="both"/>
      </w:pPr>
      <w:r w:rsidRPr="002D07B3">
        <w:t>Se debe solicita</w:t>
      </w:r>
      <w:r>
        <w:t>r</w:t>
      </w:r>
      <w:r w:rsidRPr="002D07B3">
        <w:t xml:space="preserve"> en todos </w:t>
      </w:r>
      <w:r w:rsidRPr="004A6FE1">
        <w:t>los casos, el informe técnico previo.</w:t>
      </w:r>
    </w:p>
    <w:p w:rsidR="00915AAB" w:rsidRPr="002D07B3" w:rsidRDefault="00915AAB" w:rsidP="006106EA">
      <w:pPr>
        <w:spacing w:line="360" w:lineRule="auto"/>
        <w:jc w:val="both"/>
        <w:rPr>
          <w:b/>
        </w:rPr>
      </w:pPr>
      <w:bookmarkStart w:id="38" w:name="_Toc404767947"/>
      <w:r>
        <w:rPr>
          <w:b/>
        </w:rPr>
        <w:t>3</w:t>
      </w:r>
      <w:r w:rsidRPr="002D07B3">
        <w:rPr>
          <w:b/>
        </w:rPr>
        <w:t>.2.9 Artículo 48 Literal C</w:t>
      </w:r>
      <w:r>
        <w:rPr>
          <w:b/>
        </w:rPr>
        <w:t>)</w:t>
      </w:r>
      <w:r w:rsidRPr="002D07B3">
        <w:rPr>
          <w:b/>
        </w:rPr>
        <w:t xml:space="preserve"> del TOCAF</w:t>
      </w:r>
    </w:p>
    <w:p w:rsidR="00915AAB" w:rsidRPr="00D31784" w:rsidRDefault="00915AAB" w:rsidP="006106EA">
      <w:pPr>
        <w:spacing w:line="360" w:lineRule="auto"/>
        <w:jc w:val="both"/>
      </w:pPr>
      <w:r w:rsidRPr="002D07B3">
        <w:t>La Intendencia deberá incluir en el Pliego de las Licitaciones, los factores de</w:t>
      </w:r>
      <w:r w:rsidRPr="002D07B3">
        <w:rPr>
          <w:rFonts w:cs="Arial"/>
          <w:color w:val="000000"/>
        </w:rPr>
        <w:t xml:space="preserve"> </w:t>
      </w:r>
      <w:r w:rsidRPr="00D31784">
        <w:t>ponderación para evaluar las ofertas en los procedimientos respectivos.</w:t>
      </w:r>
    </w:p>
    <w:p w:rsidR="00915AAB" w:rsidRPr="00D31784" w:rsidRDefault="00915AAB" w:rsidP="006106EA">
      <w:pPr>
        <w:spacing w:line="360" w:lineRule="auto"/>
        <w:jc w:val="both"/>
        <w:rPr>
          <w:b/>
        </w:rPr>
      </w:pPr>
      <w:bookmarkStart w:id="39" w:name="_Toc404767967"/>
    </w:p>
    <w:p w:rsidR="00915AAB" w:rsidRPr="002D07B3" w:rsidRDefault="00915AAB" w:rsidP="006106EA">
      <w:pPr>
        <w:spacing w:line="360" w:lineRule="auto"/>
        <w:jc w:val="both"/>
        <w:rPr>
          <w:b/>
        </w:rPr>
      </w:pPr>
      <w:r>
        <w:rPr>
          <w:b/>
        </w:rPr>
        <w:t>3</w:t>
      </w:r>
      <w:r w:rsidRPr="002D07B3">
        <w:rPr>
          <w:b/>
        </w:rPr>
        <w:t>.2.10 Artículo 86 del TOCAF</w:t>
      </w:r>
      <w:bookmarkEnd w:id="39"/>
    </w:p>
    <w:p w:rsidR="00915AAB" w:rsidRDefault="00915AAB" w:rsidP="006106EA">
      <w:pPr>
        <w:spacing w:line="360" w:lineRule="auto"/>
        <w:jc w:val="both"/>
      </w:pPr>
      <w:r w:rsidRPr="002D07B3">
        <w:t>En caso de utilizarse</w:t>
      </w:r>
      <w:r>
        <w:t xml:space="preserve"> fondos que administre la Intendencia</w:t>
      </w:r>
      <w:r w:rsidRPr="002D07B3">
        <w:t xml:space="preserve"> con otro destino diferente al previsto, </w:t>
      </w:r>
      <w:r>
        <w:t>debe configurarse el mecanismo estipulado en dicha norma.</w:t>
      </w:r>
    </w:p>
    <w:p w:rsidR="00915AAB" w:rsidRDefault="00915AAB" w:rsidP="006106EA">
      <w:pPr>
        <w:spacing w:line="360" w:lineRule="auto"/>
        <w:jc w:val="both"/>
      </w:pPr>
    </w:p>
    <w:p w:rsidR="00915AAB" w:rsidRPr="002D07B3" w:rsidRDefault="00915AAB" w:rsidP="006106EA">
      <w:pPr>
        <w:spacing w:line="360" w:lineRule="auto"/>
        <w:jc w:val="both"/>
        <w:rPr>
          <w:b/>
        </w:rPr>
      </w:pPr>
      <w:r>
        <w:rPr>
          <w:b/>
        </w:rPr>
        <w:t>3</w:t>
      </w:r>
      <w:r w:rsidRPr="002D07B3">
        <w:rPr>
          <w:b/>
        </w:rPr>
        <w:t>.2.11 Artículos 90 y 154 del TOCAF</w:t>
      </w:r>
      <w:bookmarkEnd w:id="38"/>
    </w:p>
    <w:p w:rsidR="00915AAB" w:rsidRDefault="00915AAB" w:rsidP="006106EA">
      <w:pPr>
        <w:spacing w:line="360" w:lineRule="auto"/>
        <w:jc w:val="both"/>
      </w:pPr>
      <w:r w:rsidRPr="002D07B3">
        <w:t>La Intendencia debe mantener pólizas de seguros de caución de fidelidad</w:t>
      </w:r>
      <w:r>
        <w:t xml:space="preserve"> vigentes para los funcionarios que manejan o custodian fondos o valores.</w:t>
      </w:r>
    </w:p>
    <w:p w:rsidR="00915AAB" w:rsidRDefault="00915AAB" w:rsidP="006106EA">
      <w:pPr>
        <w:spacing w:line="360" w:lineRule="auto"/>
        <w:jc w:val="both"/>
        <w:rPr>
          <w:b/>
        </w:rPr>
      </w:pPr>
      <w:bookmarkStart w:id="40" w:name="_Toc404767948"/>
    </w:p>
    <w:p w:rsidR="00915AAB" w:rsidRPr="002D07B3" w:rsidRDefault="00915AAB" w:rsidP="006106EA">
      <w:pPr>
        <w:spacing w:line="360" w:lineRule="auto"/>
        <w:jc w:val="both"/>
        <w:rPr>
          <w:b/>
        </w:rPr>
      </w:pPr>
      <w:r>
        <w:rPr>
          <w:b/>
        </w:rPr>
        <w:t>3</w:t>
      </w:r>
      <w:r w:rsidRPr="002D07B3">
        <w:rPr>
          <w:b/>
        </w:rPr>
        <w:t xml:space="preserve">.2.12 </w:t>
      </w:r>
      <w:r>
        <w:rPr>
          <w:b/>
        </w:rPr>
        <w:t>Artículo 94 del TOCAF</w:t>
      </w:r>
      <w:bookmarkEnd w:id="40"/>
    </w:p>
    <w:p w:rsidR="00915AAB" w:rsidRDefault="00915AAB" w:rsidP="006106EA">
      <w:pPr>
        <w:spacing w:line="360" w:lineRule="auto"/>
        <w:jc w:val="both"/>
      </w:pPr>
      <w:r w:rsidRPr="002D07B3">
        <w:t xml:space="preserve">Se deberá implementar el sistema de contabilidad patrimonial, conforme con lo establecido en </w:t>
      </w:r>
      <w:r>
        <w:t xml:space="preserve">la norma y </w:t>
      </w:r>
      <w:r w:rsidRPr="002D07B3">
        <w:t>que permita cumplir con la</w:t>
      </w:r>
      <w:r>
        <w:t xml:space="preserve"> Ordenanza Nª 81 de este Tribunal.</w:t>
      </w:r>
    </w:p>
    <w:p w:rsidR="00915AAB" w:rsidRDefault="00915AAB" w:rsidP="006106EA">
      <w:pPr>
        <w:spacing w:line="360" w:lineRule="auto"/>
        <w:jc w:val="both"/>
      </w:pPr>
    </w:p>
    <w:p w:rsidR="00915AAB" w:rsidRPr="008A11ED" w:rsidRDefault="00915AAB" w:rsidP="006106EA">
      <w:pPr>
        <w:spacing w:line="360" w:lineRule="auto"/>
        <w:jc w:val="both"/>
        <w:rPr>
          <w:b/>
          <w:bCs/>
          <w:kern w:val="18"/>
          <w:szCs w:val="20"/>
          <w:lang w:val="es-ES_tradnl"/>
        </w:rPr>
      </w:pPr>
      <w:bookmarkStart w:id="41" w:name="_Toc404767949"/>
      <w:r>
        <w:rPr>
          <w:b/>
          <w:bCs/>
          <w:kern w:val="18"/>
          <w:szCs w:val="20"/>
          <w:lang w:val="es-ES_tradnl"/>
        </w:rPr>
        <w:t>3</w:t>
      </w:r>
      <w:r w:rsidRPr="008A11ED">
        <w:rPr>
          <w:b/>
          <w:bCs/>
          <w:kern w:val="18"/>
          <w:szCs w:val="20"/>
          <w:lang w:val="es-ES_tradnl"/>
        </w:rPr>
        <w:t xml:space="preserve">.2.13 </w:t>
      </w:r>
      <w:r>
        <w:rPr>
          <w:b/>
          <w:bCs/>
          <w:kern w:val="18"/>
          <w:szCs w:val="20"/>
          <w:lang w:val="es-ES_tradnl"/>
        </w:rPr>
        <w:t>Artículo 97 del TOCAF</w:t>
      </w:r>
      <w:bookmarkEnd w:id="41"/>
    </w:p>
    <w:p w:rsidR="00915AAB" w:rsidRDefault="00915AAB" w:rsidP="006106EA">
      <w:pPr>
        <w:spacing w:line="360" w:lineRule="auto"/>
        <w:jc w:val="both"/>
      </w:pPr>
      <w:r w:rsidRPr="008A11ED">
        <w:rPr>
          <w:bCs/>
          <w:kern w:val="18"/>
          <w:szCs w:val="20"/>
          <w:lang w:val="es-ES_tradnl"/>
        </w:rPr>
        <w:t xml:space="preserve">De acuerdo con lo dispuesto por </w:t>
      </w:r>
      <w:r>
        <w:rPr>
          <w:bCs/>
          <w:kern w:val="18"/>
          <w:szCs w:val="20"/>
          <w:lang w:val="es-ES_tradnl"/>
        </w:rPr>
        <w:t>dicho A</w:t>
      </w:r>
      <w:r w:rsidRPr="008A11ED">
        <w:rPr>
          <w:bCs/>
          <w:kern w:val="18"/>
          <w:szCs w:val="20"/>
          <w:lang w:val="es-ES_tradnl"/>
        </w:rPr>
        <w:t>rtículo, deberá mantenerse</w:t>
      </w:r>
      <w:r w:rsidRPr="008A11ED">
        <w:t xml:space="preserve"> un registro permanente de los bienes de uso que integran el</w:t>
      </w:r>
      <w:r>
        <w:t xml:space="preserve"> patrimonio de la Intendencia.</w:t>
      </w:r>
    </w:p>
    <w:p w:rsidR="00915AAB" w:rsidRPr="00517EAD" w:rsidRDefault="00915AAB" w:rsidP="00E6301F">
      <w:pPr>
        <w:pStyle w:val="Textoindependiente"/>
      </w:pPr>
    </w:p>
    <w:p w:rsidR="00915AAB" w:rsidRPr="008A11ED" w:rsidRDefault="00915AAB" w:rsidP="006106EA">
      <w:pPr>
        <w:spacing w:line="360" w:lineRule="auto"/>
        <w:jc w:val="both"/>
        <w:rPr>
          <w:b/>
          <w:bCs/>
          <w:kern w:val="18"/>
          <w:szCs w:val="20"/>
          <w:lang w:val="es-ES_tradnl"/>
        </w:rPr>
      </w:pPr>
      <w:bookmarkStart w:id="42" w:name="_Toc404767958"/>
      <w:r>
        <w:rPr>
          <w:b/>
          <w:bCs/>
          <w:kern w:val="18"/>
          <w:szCs w:val="20"/>
          <w:lang w:val="es-ES_tradnl"/>
        </w:rPr>
        <w:t>3</w:t>
      </w:r>
      <w:r w:rsidRPr="008A11ED">
        <w:rPr>
          <w:b/>
          <w:bCs/>
          <w:kern w:val="18"/>
          <w:szCs w:val="20"/>
          <w:lang w:val="es-ES_tradnl"/>
        </w:rPr>
        <w:t>.2.14 Artículo 132 del TOCAF</w:t>
      </w:r>
      <w:bookmarkEnd w:id="42"/>
      <w:r>
        <w:rPr>
          <w:b/>
          <w:bCs/>
          <w:kern w:val="18"/>
          <w:szCs w:val="20"/>
          <w:lang w:val="es-ES_tradnl"/>
        </w:rPr>
        <w:t xml:space="preserve"> y Artículo 416 de la Ley Nº 17.930</w:t>
      </w:r>
    </w:p>
    <w:p w:rsidR="00915AAB" w:rsidRDefault="00915AAB" w:rsidP="006106EA">
      <w:pPr>
        <w:spacing w:line="360" w:lineRule="auto"/>
        <w:jc w:val="both"/>
        <w:rPr>
          <w:rFonts w:cs="Arial"/>
        </w:rPr>
      </w:pPr>
      <w:r>
        <w:rPr>
          <w:bCs/>
          <w:kern w:val="18"/>
          <w:szCs w:val="20"/>
          <w:lang w:val="es-ES_tradnl"/>
        </w:rPr>
        <w:t>L</w:t>
      </w:r>
      <w:r w:rsidRPr="008A11ED">
        <w:rPr>
          <w:bCs/>
          <w:kern w:val="18"/>
          <w:szCs w:val="20"/>
          <w:lang w:val="es-ES_tradnl"/>
        </w:rPr>
        <w:t>as</w:t>
      </w:r>
      <w:r>
        <w:rPr>
          <w:rFonts w:cs="Arial"/>
        </w:rPr>
        <w:t xml:space="preserve"> rendiciones de cuentas deben presentarse en un plazo de sesenta días contados a partir del último día del mes en que se recibieron los fondos o valores. Además, no podrán adelantarse fondos a rendir cuentas a personas físicas o jurídicas que no hayan presentado la rendición de cuentas de partidas recibidas con anterioridad.</w:t>
      </w:r>
    </w:p>
    <w:p w:rsidR="00915AAB" w:rsidRPr="002D07B3" w:rsidRDefault="00915AAB" w:rsidP="006106EA">
      <w:pPr>
        <w:spacing w:line="360" w:lineRule="auto"/>
        <w:jc w:val="both"/>
        <w:rPr>
          <w:b/>
          <w:bCs/>
          <w:kern w:val="18"/>
          <w:szCs w:val="20"/>
          <w:lang w:val="es-ES_tradnl"/>
        </w:rPr>
      </w:pPr>
      <w:bookmarkStart w:id="43" w:name="_Toc404767951"/>
      <w:r>
        <w:rPr>
          <w:b/>
          <w:bCs/>
          <w:kern w:val="18"/>
          <w:szCs w:val="20"/>
          <w:lang w:val="es-ES_tradnl"/>
        </w:rPr>
        <w:t>3</w:t>
      </w:r>
      <w:r w:rsidRPr="002D07B3">
        <w:rPr>
          <w:b/>
          <w:bCs/>
          <w:kern w:val="18"/>
          <w:szCs w:val="20"/>
          <w:lang w:val="es-ES_tradnl"/>
        </w:rPr>
        <w:t xml:space="preserve">.2.15 Convenio 30 de la OIT y Ordenanza </w:t>
      </w:r>
      <w:r>
        <w:rPr>
          <w:b/>
          <w:bCs/>
          <w:kern w:val="18"/>
          <w:szCs w:val="20"/>
          <w:lang w:val="es-ES_tradnl"/>
        </w:rPr>
        <w:t xml:space="preserve">Nº </w:t>
      </w:r>
      <w:r w:rsidRPr="002D07B3">
        <w:rPr>
          <w:b/>
          <w:bCs/>
          <w:kern w:val="18"/>
          <w:szCs w:val="20"/>
          <w:lang w:val="es-ES_tradnl"/>
        </w:rPr>
        <w:t>61 del Tribunal de Cuentas</w:t>
      </w:r>
      <w:bookmarkEnd w:id="43"/>
    </w:p>
    <w:p w:rsidR="00915AAB" w:rsidRPr="00235373" w:rsidRDefault="00915AAB" w:rsidP="006106EA">
      <w:pPr>
        <w:spacing w:line="360" w:lineRule="auto"/>
        <w:jc w:val="both"/>
        <w:rPr>
          <w:rFonts w:cs="Arial"/>
        </w:rPr>
      </w:pPr>
      <w:r w:rsidRPr="002D07B3">
        <w:rPr>
          <w:bCs/>
          <w:kern w:val="18"/>
          <w:szCs w:val="20"/>
          <w:lang w:val="es-ES_tradnl"/>
        </w:rPr>
        <w:t>La realización y liquidación de horas extras se deberá ajustar a lo establecido</w:t>
      </w:r>
      <w:r w:rsidRPr="002D07B3">
        <w:t xml:space="preserve"> </w:t>
      </w:r>
      <w:r w:rsidRPr="00235373">
        <w:rPr>
          <w:rFonts w:cs="Arial"/>
        </w:rPr>
        <w:t>por dichas normas.</w:t>
      </w:r>
    </w:p>
    <w:p w:rsidR="00915AAB" w:rsidRDefault="00915AAB" w:rsidP="006106EA">
      <w:pPr>
        <w:spacing w:line="360" w:lineRule="auto"/>
        <w:jc w:val="both"/>
        <w:rPr>
          <w:rFonts w:cs="Arial"/>
        </w:rPr>
      </w:pPr>
      <w:bookmarkStart w:id="44" w:name="_Toc404767960"/>
      <w:bookmarkEnd w:id="24"/>
      <w:bookmarkEnd w:id="26"/>
    </w:p>
    <w:p w:rsidR="00915AAB" w:rsidRPr="00235373" w:rsidRDefault="00915AAB" w:rsidP="006106EA">
      <w:pPr>
        <w:spacing w:line="360" w:lineRule="auto"/>
        <w:jc w:val="both"/>
        <w:rPr>
          <w:rFonts w:cs="Arial"/>
          <w:b/>
        </w:rPr>
      </w:pPr>
      <w:r>
        <w:rPr>
          <w:rFonts w:cs="Arial"/>
          <w:b/>
        </w:rPr>
        <w:t>3</w:t>
      </w:r>
      <w:r w:rsidRPr="00235373">
        <w:rPr>
          <w:rFonts w:cs="Arial"/>
          <w:b/>
        </w:rPr>
        <w:t>.2.16 Decreto Nº 48/11 de la Junta Departamental</w:t>
      </w:r>
      <w:bookmarkEnd w:id="44"/>
    </w:p>
    <w:p w:rsidR="00915AAB" w:rsidRDefault="00915AAB" w:rsidP="006106EA">
      <w:pPr>
        <w:spacing w:line="360" w:lineRule="auto"/>
        <w:jc w:val="both"/>
      </w:pPr>
      <w:r w:rsidRPr="002D07B3">
        <w:rPr>
          <w:bCs/>
          <w:kern w:val="18"/>
          <w:szCs w:val="20"/>
          <w:lang w:val="es-ES_tradnl"/>
        </w:rPr>
        <w:t>La Intendencia deberá</w:t>
      </w:r>
      <w:r>
        <w:rPr>
          <w:bCs/>
          <w:kern w:val="18"/>
          <w:szCs w:val="20"/>
          <w:lang w:val="es-ES_tradnl"/>
        </w:rPr>
        <w:t xml:space="preserve"> publicar en su página web los D</w:t>
      </w:r>
      <w:r w:rsidRPr="002D07B3">
        <w:rPr>
          <w:bCs/>
          <w:kern w:val="18"/>
          <w:szCs w:val="20"/>
          <w:lang w:val="es-ES_tradnl"/>
        </w:rPr>
        <w:t xml:space="preserve">ecretos y </w:t>
      </w:r>
      <w:r w:rsidRPr="009D02ED">
        <w:t xml:space="preserve">reglamentaciones a efectos de </w:t>
      </w:r>
      <w:r>
        <w:t xml:space="preserve">poder </w:t>
      </w:r>
      <w:r w:rsidRPr="009D02ED">
        <w:t>conformar un digesto departamental.</w:t>
      </w:r>
    </w:p>
    <w:p w:rsidR="00915AAB" w:rsidRDefault="00915AAB" w:rsidP="006106EA">
      <w:pPr>
        <w:tabs>
          <w:tab w:val="left" w:pos="3030"/>
        </w:tabs>
        <w:spacing w:line="360" w:lineRule="auto"/>
        <w:jc w:val="both"/>
      </w:pPr>
    </w:p>
    <w:p w:rsidR="00915AAB" w:rsidRPr="002D07B3" w:rsidRDefault="00915AAB" w:rsidP="006106EA">
      <w:pPr>
        <w:spacing w:line="360" w:lineRule="auto"/>
        <w:jc w:val="both"/>
        <w:rPr>
          <w:b/>
        </w:rPr>
      </w:pPr>
      <w:bookmarkStart w:id="45" w:name="_Toc404767961"/>
      <w:r>
        <w:rPr>
          <w:b/>
        </w:rPr>
        <w:t>3.</w:t>
      </w:r>
      <w:r w:rsidRPr="002D07B3">
        <w:rPr>
          <w:b/>
        </w:rPr>
        <w:t>2.17 Artículo 4 del Decreto 13/2010 de la Junta Departamental</w:t>
      </w:r>
      <w:bookmarkEnd w:id="45"/>
    </w:p>
    <w:p w:rsidR="00915AAB" w:rsidRDefault="00915AAB" w:rsidP="006106EA">
      <w:pPr>
        <w:pStyle w:val="Sangra2detindependiente"/>
        <w:tabs>
          <w:tab w:val="left" w:pos="3064"/>
        </w:tabs>
        <w:ind w:left="0"/>
      </w:pPr>
      <w:r>
        <w:t>Se deberá dar cumplimiento a la citada norma que establece que, en caso de no abonarse tres cuotas consecutivas en el pago de los convenios celebrados entre la Comuna y los contribuyentes, éstos perderán automáticamente el derecho al beneficio de “congelamiento de deudas”.</w:t>
      </w:r>
    </w:p>
    <w:p w:rsidR="00915AAB" w:rsidRDefault="00915AAB" w:rsidP="006106EA">
      <w:pPr>
        <w:pStyle w:val="Sangra2detindependiente"/>
        <w:tabs>
          <w:tab w:val="left" w:pos="3064"/>
        </w:tabs>
        <w:ind w:left="0"/>
      </w:pPr>
    </w:p>
    <w:p w:rsidR="00915AAB" w:rsidRPr="002D07B3" w:rsidRDefault="00915AAB" w:rsidP="006106EA">
      <w:pPr>
        <w:spacing w:line="360" w:lineRule="auto"/>
        <w:jc w:val="both"/>
        <w:rPr>
          <w:b/>
        </w:rPr>
      </w:pPr>
      <w:bookmarkStart w:id="46" w:name="_Toc404767966"/>
      <w:bookmarkStart w:id="47" w:name="_Toc279156461"/>
      <w:bookmarkStart w:id="48" w:name="_Toc364095670"/>
      <w:r>
        <w:rPr>
          <w:b/>
        </w:rPr>
        <w:t>3</w:t>
      </w:r>
      <w:r w:rsidRPr="002D07B3">
        <w:rPr>
          <w:b/>
        </w:rPr>
        <w:t>.2.1</w:t>
      </w:r>
      <w:bookmarkStart w:id="49" w:name="_Toc404767954"/>
      <w:bookmarkStart w:id="50" w:name="_Toc43280755"/>
      <w:bookmarkStart w:id="51" w:name="_Toc51488272"/>
      <w:bookmarkEnd w:id="46"/>
      <w:r w:rsidRPr="002D07B3">
        <w:rPr>
          <w:b/>
        </w:rPr>
        <w:t xml:space="preserve">8 </w:t>
      </w:r>
      <w:r>
        <w:rPr>
          <w:b/>
        </w:rPr>
        <w:t xml:space="preserve">Artículo 128 del TOCAF e </w:t>
      </w:r>
      <w:r w:rsidRPr="002D07B3">
        <w:rPr>
          <w:b/>
        </w:rPr>
        <w:t xml:space="preserve">Instructivo </w:t>
      </w:r>
      <w:r>
        <w:rPr>
          <w:b/>
        </w:rPr>
        <w:t>del Tribunal de Cuentas de fecha 28/01/2004</w:t>
      </w:r>
      <w:bookmarkEnd w:id="49"/>
    </w:p>
    <w:p w:rsidR="00915AAB" w:rsidRDefault="00915AAB" w:rsidP="006106EA">
      <w:pPr>
        <w:pStyle w:val="Sangra2detindependiente"/>
        <w:tabs>
          <w:tab w:val="left" w:pos="3064"/>
        </w:tabs>
        <w:ind w:left="0"/>
      </w:pPr>
      <w:r>
        <w:t xml:space="preserve">La Intendencia deberá presentar el Estado demostrativo del grado de cumplimiento de los objetivos y metas programadas. Además, en </w:t>
      </w:r>
      <w:r w:rsidRPr="002D07B3">
        <w:t xml:space="preserve">el Estado </w:t>
      </w:r>
      <w:r>
        <w:t xml:space="preserve">   </w:t>
      </w:r>
      <w:r w:rsidRPr="002D07B3">
        <w:t xml:space="preserve">Nº 12 “Fondos Indisponibles” se deberá presentar la antigüedad de los saldos a verter al </w:t>
      </w:r>
      <w:r w:rsidR="00434064">
        <w:t>cierre de cada Ejercicio.</w:t>
      </w:r>
    </w:p>
    <w:bookmarkEnd w:id="50"/>
    <w:bookmarkEnd w:id="51"/>
    <w:p w:rsidR="00915AAB" w:rsidRDefault="00915AAB" w:rsidP="006106EA">
      <w:pPr>
        <w:pStyle w:val="Sangra2detindependiente"/>
        <w:tabs>
          <w:tab w:val="left" w:pos="3064"/>
        </w:tabs>
        <w:ind w:left="0"/>
      </w:pPr>
    </w:p>
    <w:p w:rsidR="00915AAB" w:rsidRPr="00B03AC2" w:rsidRDefault="00915AAB" w:rsidP="006106EA">
      <w:pPr>
        <w:pStyle w:val="Sangra2detindependiente"/>
        <w:tabs>
          <w:tab w:val="left" w:pos="3064"/>
        </w:tabs>
        <w:ind w:left="0"/>
        <w:rPr>
          <w:b/>
        </w:rPr>
      </w:pPr>
      <w:bookmarkStart w:id="52" w:name="_Toc404767968"/>
      <w:r>
        <w:rPr>
          <w:b/>
        </w:rPr>
        <w:t>3</w:t>
      </w:r>
      <w:r w:rsidRPr="00B03AC2">
        <w:rPr>
          <w:b/>
        </w:rPr>
        <w:t>.2.19 Ordenanza Nº 77 del Tribunal de Cuentas</w:t>
      </w:r>
      <w:bookmarkEnd w:id="52"/>
    </w:p>
    <w:p w:rsidR="00915AAB" w:rsidRDefault="00915AAB" w:rsidP="006106EA">
      <w:pPr>
        <w:spacing w:line="360" w:lineRule="auto"/>
        <w:jc w:val="both"/>
      </w:pPr>
      <w:r w:rsidRPr="002D07B3">
        <w:t xml:space="preserve">En oportunidad de percibir fondos </w:t>
      </w:r>
      <w:proofErr w:type="spellStart"/>
      <w:r w:rsidRPr="002D07B3">
        <w:t>extrapresupuestales</w:t>
      </w:r>
      <w:proofErr w:type="spellEnd"/>
      <w:r w:rsidRPr="002D07B3">
        <w:t xml:space="preserve"> con destino específico, la Intendencia deberá presentar copia certificada del “Informe de</w:t>
      </w:r>
      <w:r w:rsidRPr="00BD2989">
        <w:t xml:space="preserve"> Rendición de Cuentas” emitido por Contador Público como lo establece el Instructivo del Tribunal de Cuentas de 28/01/2004 y la Ordenanza Nº 77, con la redacción dada por la Resolución de fecha 28/08/2013.</w:t>
      </w:r>
    </w:p>
    <w:p w:rsidR="00915AAB" w:rsidRDefault="00915AAB" w:rsidP="00E6301F">
      <w:pPr>
        <w:pStyle w:val="Textoindependiente"/>
      </w:pPr>
    </w:p>
    <w:p w:rsidR="00915AAB" w:rsidRPr="002D07B3" w:rsidRDefault="00915AAB" w:rsidP="006106EA">
      <w:pPr>
        <w:spacing w:line="360" w:lineRule="auto"/>
        <w:jc w:val="both"/>
        <w:rPr>
          <w:b/>
        </w:rPr>
      </w:pPr>
      <w:r>
        <w:rPr>
          <w:b/>
        </w:rPr>
        <w:t>3</w:t>
      </w:r>
      <w:r w:rsidRPr="002D07B3">
        <w:rPr>
          <w:b/>
        </w:rPr>
        <w:t xml:space="preserve">.3 Recomendaciones del </w:t>
      </w:r>
      <w:r>
        <w:rPr>
          <w:b/>
        </w:rPr>
        <w:t>E</w:t>
      </w:r>
      <w:r w:rsidRPr="002D07B3">
        <w:rPr>
          <w:b/>
        </w:rPr>
        <w:t>jercicio</w:t>
      </w:r>
    </w:p>
    <w:p w:rsidR="00915AAB" w:rsidRPr="002D07B3" w:rsidRDefault="00915AAB" w:rsidP="006106EA">
      <w:pPr>
        <w:spacing w:line="360" w:lineRule="auto"/>
        <w:jc w:val="both"/>
      </w:pPr>
      <w:r w:rsidRPr="002D07B3">
        <w:t xml:space="preserve">Se reiteran las recomendaciones señaladas en el numeral </w:t>
      </w:r>
      <w:r>
        <w:t>3</w:t>
      </w:r>
      <w:r w:rsidRPr="002D07B3">
        <w:t>.2</w:t>
      </w:r>
      <w:r>
        <w:t>)</w:t>
      </w:r>
      <w:r w:rsidRPr="002D07B3">
        <w:t xml:space="preserve"> y se agregan las siguientes:</w:t>
      </w:r>
    </w:p>
    <w:p w:rsidR="00915AAB" w:rsidRDefault="00915AAB" w:rsidP="006106EA">
      <w:pPr>
        <w:spacing w:line="360" w:lineRule="auto"/>
        <w:jc w:val="both"/>
        <w:rPr>
          <w:b/>
          <w:bCs/>
          <w:kern w:val="18"/>
          <w:szCs w:val="20"/>
          <w:lang w:val="es-ES_tradnl"/>
        </w:rPr>
      </w:pPr>
    </w:p>
    <w:p w:rsidR="00915AAB" w:rsidRDefault="00915AAB" w:rsidP="006106EA">
      <w:pPr>
        <w:spacing w:line="360" w:lineRule="auto"/>
        <w:jc w:val="both"/>
        <w:rPr>
          <w:b/>
          <w:bCs/>
          <w:kern w:val="18"/>
          <w:szCs w:val="20"/>
          <w:lang w:val="es-ES_tradnl"/>
        </w:rPr>
      </w:pPr>
      <w:r>
        <w:rPr>
          <w:b/>
          <w:bCs/>
          <w:kern w:val="18"/>
          <w:szCs w:val="20"/>
          <w:lang w:val="es-ES_tradnl"/>
        </w:rPr>
        <w:t>3</w:t>
      </w:r>
      <w:r w:rsidRPr="00656F6F">
        <w:rPr>
          <w:b/>
          <w:bCs/>
          <w:kern w:val="18"/>
          <w:szCs w:val="20"/>
          <w:lang w:val="es-ES_tradnl"/>
        </w:rPr>
        <w:t>.3.1</w:t>
      </w:r>
      <w:r>
        <w:rPr>
          <w:b/>
          <w:bCs/>
          <w:kern w:val="18"/>
          <w:szCs w:val="20"/>
          <w:lang w:val="es-ES_tradnl"/>
        </w:rPr>
        <w:t xml:space="preserve"> </w:t>
      </w:r>
      <w:r w:rsidRPr="00DD5BC9">
        <w:rPr>
          <w:rFonts w:cs="Arial"/>
          <w:b/>
          <w:bCs/>
        </w:rPr>
        <w:t>Artículo 211 Literal B) de la Constitución de la República y Artículo 87 del TOCAF</w:t>
      </w:r>
    </w:p>
    <w:p w:rsidR="00915AAB" w:rsidRDefault="00915AAB" w:rsidP="006106EA">
      <w:pPr>
        <w:pStyle w:val="Sangra2detindependiente"/>
        <w:tabs>
          <w:tab w:val="left" w:pos="1560"/>
          <w:tab w:val="left" w:pos="3064"/>
        </w:tabs>
        <w:ind w:left="0"/>
        <w:rPr>
          <w:bCs/>
        </w:rPr>
      </w:pPr>
      <w:r>
        <w:rPr>
          <w:bCs/>
        </w:rPr>
        <w:t xml:space="preserve">Se deberán remitir los </w:t>
      </w:r>
      <w:proofErr w:type="spellStart"/>
      <w:r>
        <w:rPr>
          <w:bCs/>
        </w:rPr>
        <w:t>planillados</w:t>
      </w:r>
      <w:proofErr w:type="spellEnd"/>
      <w:r>
        <w:rPr>
          <w:bCs/>
        </w:rPr>
        <w:t xml:space="preserve"> de haberes de los funcionarios a la intervención preventiva del Contador Delegado de este Tribunal.</w:t>
      </w:r>
    </w:p>
    <w:p w:rsidR="00915AAB" w:rsidRDefault="00915AAB" w:rsidP="00E6301F">
      <w:pPr>
        <w:pStyle w:val="Textoindependiente"/>
      </w:pPr>
    </w:p>
    <w:p w:rsidR="00915AAB" w:rsidRPr="00656F6F" w:rsidRDefault="00915AAB" w:rsidP="006106EA">
      <w:pPr>
        <w:spacing w:line="360" w:lineRule="auto"/>
        <w:jc w:val="both"/>
        <w:rPr>
          <w:b/>
          <w:bCs/>
          <w:kern w:val="18"/>
          <w:szCs w:val="20"/>
          <w:lang w:val="es-ES_tradnl"/>
        </w:rPr>
      </w:pPr>
      <w:r>
        <w:rPr>
          <w:b/>
          <w:bCs/>
          <w:kern w:val="18"/>
          <w:szCs w:val="20"/>
          <w:lang w:val="es-ES_tradnl"/>
        </w:rPr>
        <w:t>3</w:t>
      </w:r>
      <w:r w:rsidRPr="00656F6F">
        <w:rPr>
          <w:b/>
          <w:bCs/>
          <w:kern w:val="18"/>
          <w:szCs w:val="20"/>
          <w:lang w:val="es-ES_tradnl"/>
        </w:rPr>
        <w:t>.3.</w:t>
      </w:r>
      <w:r>
        <w:rPr>
          <w:b/>
          <w:bCs/>
          <w:kern w:val="18"/>
          <w:szCs w:val="20"/>
          <w:lang w:val="es-ES_tradnl"/>
        </w:rPr>
        <w:t>2</w:t>
      </w:r>
      <w:r w:rsidRPr="00656F6F">
        <w:rPr>
          <w:b/>
          <w:bCs/>
          <w:kern w:val="18"/>
          <w:szCs w:val="20"/>
          <w:lang w:val="es-ES_tradnl"/>
        </w:rPr>
        <w:t xml:space="preserve"> Artículos 50, 51 y 52 del TOCAF</w:t>
      </w:r>
    </w:p>
    <w:p w:rsidR="00915AAB" w:rsidRDefault="00915AAB" w:rsidP="006106EA">
      <w:pPr>
        <w:spacing w:line="360" w:lineRule="auto"/>
        <w:jc w:val="both"/>
        <w:rPr>
          <w:rFonts w:cs="Arial"/>
          <w:kern w:val="18"/>
          <w:szCs w:val="20"/>
        </w:rPr>
      </w:pPr>
      <w:r w:rsidRPr="00656F6F">
        <w:rPr>
          <w:bCs/>
          <w:kern w:val="18"/>
          <w:szCs w:val="20"/>
          <w:lang w:val="es-ES_tradnl"/>
        </w:rPr>
        <w:t>La Intendencia deberá publicar en el sitio web de compras estatales las</w:t>
      </w:r>
      <w:r>
        <w:rPr>
          <w:rFonts w:cs="Arial"/>
          <w:kern w:val="18"/>
          <w:szCs w:val="20"/>
        </w:rPr>
        <w:t xml:space="preserve"> L</w:t>
      </w:r>
      <w:r w:rsidRPr="002343A9">
        <w:rPr>
          <w:rFonts w:cs="Arial"/>
          <w:kern w:val="18"/>
          <w:szCs w:val="20"/>
        </w:rPr>
        <w:t xml:space="preserve">icitaciones </w:t>
      </w:r>
      <w:r>
        <w:rPr>
          <w:rFonts w:cs="Arial"/>
          <w:kern w:val="18"/>
          <w:szCs w:val="20"/>
        </w:rPr>
        <w:t>A</w:t>
      </w:r>
      <w:r w:rsidRPr="002343A9">
        <w:rPr>
          <w:rFonts w:cs="Arial"/>
          <w:kern w:val="18"/>
          <w:szCs w:val="20"/>
        </w:rPr>
        <w:t xml:space="preserve">breviadas </w:t>
      </w:r>
      <w:r>
        <w:rPr>
          <w:rFonts w:cs="Arial"/>
          <w:kern w:val="18"/>
          <w:szCs w:val="20"/>
        </w:rPr>
        <w:t>y</w:t>
      </w:r>
      <w:r w:rsidRPr="002343A9">
        <w:rPr>
          <w:rFonts w:cs="Arial"/>
          <w:kern w:val="18"/>
          <w:szCs w:val="20"/>
        </w:rPr>
        <w:t xml:space="preserve"> </w:t>
      </w:r>
      <w:r>
        <w:rPr>
          <w:rFonts w:cs="Arial"/>
          <w:kern w:val="18"/>
          <w:szCs w:val="20"/>
        </w:rPr>
        <w:t>P</w:t>
      </w:r>
      <w:r w:rsidRPr="002343A9">
        <w:rPr>
          <w:rFonts w:cs="Arial"/>
          <w:kern w:val="18"/>
          <w:szCs w:val="20"/>
        </w:rPr>
        <w:t>úblicas.</w:t>
      </w:r>
    </w:p>
    <w:p w:rsidR="00915AAB" w:rsidRDefault="00915AAB" w:rsidP="006106EA">
      <w:pPr>
        <w:spacing w:line="360" w:lineRule="auto"/>
        <w:jc w:val="both"/>
        <w:rPr>
          <w:b/>
          <w:bCs/>
          <w:kern w:val="18"/>
          <w:szCs w:val="20"/>
        </w:rPr>
      </w:pPr>
    </w:p>
    <w:p w:rsidR="00915AAB" w:rsidRPr="00693B1D" w:rsidRDefault="00915AAB" w:rsidP="006106EA">
      <w:pPr>
        <w:pStyle w:val="Sangra2detindependiente"/>
        <w:ind w:left="0"/>
        <w:rPr>
          <w:b/>
          <w:lang w:val="es-MX"/>
        </w:rPr>
      </w:pPr>
      <w:r w:rsidRPr="00693B1D">
        <w:rPr>
          <w:b/>
        </w:rPr>
        <w:t xml:space="preserve">3.3.3. Resolución de este Tribunal </w:t>
      </w:r>
      <w:r w:rsidRPr="00693B1D">
        <w:rPr>
          <w:b/>
          <w:lang w:val="es-MX"/>
        </w:rPr>
        <w:t>de fecha 16/09/201</w:t>
      </w:r>
      <w:r w:rsidR="00434064">
        <w:rPr>
          <w:b/>
          <w:lang w:val="es-MX"/>
        </w:rPr>
        <w:t>5 (Expediente 2015-17-0000418).</w:t>
      </w:r>
    </w:p>
    <w:p w:rsidR="00915AAB" w:rsidRPr="00FC2B7D" w:rsidRDefault="00915AAB" w:rsidP="006106EA">
      <w:pPr>
        <w:spacing w:line="360" w:lineRule="auto"/>
        <w:jc w:val="both"/>
        <w:rPr>
          <w:bCs/>
          <w:kern w:val="18"/>
          <w:szCs w:val="20"/>
          <w:lang w:val="es-MX"/>
        </w:rPr>
      </w:pPr>
      <w:r w:rsidRPr="00FC2B7D">
        <w:rPr>
          <w:bCs/>
          <w:kern w:val="18"/>
          <w:szCs w:val="20"/>
          <w:lang w:val="es-MX"/>
        </w:rPr>
        <w:t>Se debe dar cumplimiento a la citada norma respecto a la documentación presenta</w:t>
      </w:r>
      <w:r w:rsidR="00434064">
        <w:rPr>
          <w:bCs/>
          <w:kern w:val="18"/>
          <w:szCs w:val="20"/>
          <w:lang w:val="es-MX"/>
        </w:rPr>
        <w:t>da.</w:t>
      </w:r>
    </w:p>
    <w:p w:rsidR="00915AAB" w:rsidRPr="00693B1D" w:rsidRDefault="00915AAB" w:rsidP="006106EA">
      <w:pPr>
        <w:spacing w:line="360" w:lineRule="auto"/>
        <w:jc w:val="both"/>
        <w:rPr>
          <w:b/>
          <w:bCs/>
          <w:kern w:val="18"/>
          <w:szCs w:val="20"/>
          <w:lang w:val="es-MX"/>
        </w:rPr>
      </w:pPr>
    </w:p>
    <w:p w:rsidR="00915AAB" w:rsidRDefault="00915AAB" w:rsidP="006106EA">
      <w:pPr>
        <w:spacing w:line="360" w:lineRule="auto"/>
        <w:jc w:val="both"/>
        <w:rPr>
          <w:b/>
          <w:bCs/>
          <w:kern w:val="18"/>
          <w:szCs w:val="20"/>
          <w:lang w:val="es-ES_tradnl"/>
        </w:rPr>
      </w:pPr>
      <w:r>
        <w:rPr>
          <w:b/>
          <w:bCs/>
          <w:kern w:val="18"/>
          <w:szCs w:val="20"/>
          <w:lang w:val="es-ES_tradnl"/>
        </w:rPr>
        <w:t>3</w:t>
      </w:r>
      <w:r w:rsidRPr="00656F6F">
        <w:rPr>
          <w:b/>
          <w:bCs/>
          <w:kern w:val="18"/>
          <w:szCs w:val="20"/>
          <w:lang w:val="es-ES_tradnl"/>
        </w:rPr>
        <w:t>.3.</w:t>
      </w:r>
      <w:r>
        <w:rPr>
          <w:b/>
          <w:bCs/>
          <w:kern w:val="18"/>
          <w:szCs w:val="20"/>
          <w:lang w:val="es-ES_tradnl"/>
        </w:rPr>
        <w:t>4</w:t>
      </w:r>
      <w:r w:rsidRPr="00656F6F">
        <w:rPr>
          <w:b/>
          <w:bCs/>
          <w:kern w:val="18"/>
          <w:szCs w:val="20"/>
          <w:lang w:val="es-ES_tradnl"/>
        </w:rPr>
        <w:t xml:space="preserve"> </w:t>
      </w:r>
      <w:r>
        <w:rPr>
          <w:b/>
          <w:bCs/>
          <w:kern w:val="18"/>
          <w:szCs w:val="20"/>
          <w:lang w:val="es-ES_tradnl"/>
        </w:rPr>
        <w:t>Control Interno</w:t>
      </w:r>
    </w:p>
    <w:p w:rsidR="00915AAB" w:rsidRDefault="00915AAB" w:rsidP="006106EA">
      <w:pPr>
        <w:spacing w:line="360" w:lineRule="auto"/>
        <w:jc w:val="both"/>
        <w:rPr>
          <w:b/>
          <w:bCs/>
          <w:kern w:val="18"/>
          <w:szCs w:val="20"/>
          <w:lang w:val="es-ES_tradnl"/>
        </w:rPr>
      </w:pPr>
      <w:r>
        <w:rPr>
          <w:b/>
          <w:bCs/>
          <w:kern w:val="18"/>
          <w:szCs w:val="20"/>
          <w:lang w:val="es-ES_tradnl"/>
        </w:rPr>
        <w:t>D</w:t>
      </w:r>
      <w:r w:rsidR="00434064">
        <w:rPr>
          <w:b/>
          <w:bCs/>
          <w:kern w:val="18"/>
          <w:szCs w:val="20"/>
          <w:lang w:val="es-ES_tradnl"/>
        </w:rPr>
        <w:t>isponibilidades</w:t>
      </w:r>
    </w:p>
    <w:p w:rsidR="00915AAB" w:rsidRDefault="00915AAB" w:rsidP="006106EA">
      <w:pPr>
        <w:spacing w:line="360" w:lineRule="auto"/>
        <w:jc w:val="both"/>
        <w:rPr>
          <w:bCs/>
        </w:rPr>
      </w:pPr>
      <w:r w:rsidRPr="00656F6F">
        <w:rPr>
          <w:bCs/>
          <w:kern w:val="18"/>
          <w:szCs w:val="20"/>
          <w:lang w:val="es-ES_tradnl"/>
        </w:rPr>
        <w:t>La Intendencia deberá mantener en forma separada de sus disponibilidades,</w:t>
      </w:r>
      <w:r>
        <w:rPr>
          <w:bCs/>
        </w:rPr>
        <w:t xml:space="preserve"> los fondos depositados por concepto de garantías.</w:t>
      </w:r>
    </w:p>
    <w:p w:rsidR="00E55E4C" w:rsidRDefault="00E55E4C" w:rsidP="006106EA">
      <w:pPr>
        <w:spacing w:line="360" w:lineRule="auto"/>
        <w:jc w:val="both"/>
        <w:rPr>
          <w:bCs/>
        </w:rPr>
      </w:pPr>
    </w:p>
    <w:p w:rsidR="00915AAB" w:rsidRPr="00656F6F" w:rsidRDefault="00915AAB" w:rsidP="006106EA">
      <w:pPr>
        <w:spacing w:line="360" w:lineRule="auto"/>
        <w:jc w:val="both"/>
        <w:rPr>
          <w:b/>
          <w:bCs/>
          <w:kern w:val="18"/>
          <w:szCs w:val="20"/>
          <w:lang w:val="es-ES_tradnl"/>
        </w:rPr>
      </w:pPr>
      <w:r w:rsidRPr="00656F6F">
        <w:rPr>
          <w:b/>
          <w:bCs/>
          <w:kern w:val="18"/>
          <w:szCs w:val="20"/>
          <w:lang w:val="es-ES_tradnl"/>
        </w:rPr>
        <w:t xml:space="preserve">Fondos con </w:t>
      </w:r>
      <w:r>
        <w:rPr>
          <w:b/>
          <w:bCs/>
          <w:kern w:val="18"/>
          <w:szCs w:val="20"/>
          <w:lang w:val="es-ES_tradnl"/>
        </w:rPr>
        <w:t>d</w:t>
      </w:r>
      <w:r w:rsidRPr="00656F6F">
        <w:rPr>
          <w:b/>
          <w:bCs/>
          <w:kern w:val="18"/>
          <w:szCs w:val="20"/>
          <w:lang w:val="es-ES_tradnl"/>
        </w:rPr>
        <w:t xml:space="preserve">estino </w:t>
      </w:r>
      <w:r>
        <w:rPr>
          <w:b/>
          <w:bCs/>
          <w:kern w:val="18"/>
          <w:szCs w:val="20"/>
          <w:lang w:val="es-ES_tradnl"/>
        </w:rPr>
        <w:t>e</w:t>
      </w:r>
      <w:r w:rsidRPr="00656F6F">
        <w:rPr>
          <w:b/>
          <w:bCs/>
          <w:kern w:val="18"/>
          <w:szCs w:val="20"/>
          <w:lang w:val="es-ES_tradnl"/>
        </w:rPr>
        <w:t>specífico</w:t>
      </w:r>
    </w:p>
    <w:p w:rsidR="000D1982" w:rsidRDefault="00915AAB" w:rsidP="000D1982">
      <w:pPr>
        <w:pStyle w:val="Sangra2detindependiente"/>
        <w:tabs>
          <w:tab w:val="left" w:pos="1560"/>
          <w:tab w:val="left" w:pos="3064"/>
        </w:tabs>
        <w:ind w:left="0"/>
      </w:pPr>
      <w:r>
        <w:t>Se deberá</w:t>
      </w:r>
      <w:r w:rsidRPr="001D2316">
        <w:t xml:space="preserve"> presenta</w:t>
      </w:r>
      <w:r>
        <w:t>r</w:t>
      </w:r>
      <w:r w:rsidRPr="001D2316">
        <w:t xml:space="preserve"> el Estado Nº 5 </w:t>
      </w:r>
      <w:r>
        <w:t xml:space="preserve">donde se muestran los </w:t>
      </w:r>
      <w:r w:rsidRPr="001D2316">
        <w:t>Recursos con destino específico.</w:t>
      </w:r>
      <w:bookmarkEnd w:id="47"/>
      <w:bookmarkEnd w:id="48"/>
    </w:p>
    <w:p w:rsidR="000D1982" w:rsidRDefault="00915AAB" w:rsidP="000D1982">
      <w:pPr>
        <w:pStyle w:val="Sangra2detindependiente"/>
        <w:tabs>
          <w:tab w:val="left" w:pos="1560"/>
          <w:tab w:val="left" w:pos="3064"/>
        </w:tabs>
        <w:ind w:left="0"/>
        <w:jc w:val="right"/>
      </w:pPr>
      <w:r>
        <w:t>Montevideo, 27 de noviembre de  201</w:t>
      </w:r>
      <w:bookmarkEnd w:id="16"/>
      <w:r>
        <w:t>5</w:t>
      </w:r>
    </w:p>
    <w:p w:rsidR="000D1982" w:rsidRDefault="000D1982" w:rsidP="000D1982">
      <w:pPr>
        <w:pStyle w:val="Sangra2detindependiente"/>
        <w:tabs>
          <w:tab w:val="left" w:pos="1560"/>
          <w:tab w:val="left" w:pos="3064"/>
        </w:tabs>
        <w:ind w:left="0"/>
        <w:jc w:val="left"/>
      </w:pPr>
      <w:proofErr w:type="gramStart"/>
      <w:r>
        <w:t>dc</w:t>
      </w:r>
      <w:proofErr w:type="gramEnd"/>
    </w:p>
    <w:sectPr w:rsidR="000D1982" w:rsidSect="00AB75E9">
      <w:headerReference w:type="default" r:id="rId7"/>
      <w:footerReference w:type="even" r:id="rId8"/>
      <w:footerReference w:type="default" r:id="rId9"/>
      <w:pgSz w:w="11906" w:h="16838" w:code="9"/>
      <w:pgMar w:top="3402" w:right="1701" w:bottom="1701" w:left="1701" w:header="720" w:footer="720" w:gutter="0"/>
      <w:paperSrc w:first="4" w:other="4"/>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E4C" w:rsidRDefault="00E55E4C">
      <w:r>
        <w:separator/>
      </w:r>
    </w:p>
  </w:endnote>
  <w:endnote w:type="continuationSeparator" w:id="0">
    <w:p w:rsidR="00E55E4C" w:rsidRDefault="00E5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4C" w:rsidRDefault="00E55E4C">
    <w:pPr>
      <w:framePr w:wrap="around" w:vAnchor="text" w:hAnchor="margin" w:xAlign="center" w:y="1"/>
    </w:pPr>
    <w:r>
      <w:fldChar w:fldCharType="begin"/>
    </w:r>
    <w:r>
      <w:instrText xml:space="preserve">PAGE  </w:instrText>
    </w:r>
    <w:r>
      <w:fldChar w:fldCharType="separate"/>
    </w:r>
    <w:r>
      <w:rPr>
        <w:noProof/>
      </w:rPr>
      <w:t>1</w:t>
    </w:r>
    <w:r>
      <w:fldChar w:fldCharType="end"/>
    </w:r>
  </w:p>
  <w:p w:rsidR="00E55E4C" w:rsidRDefault="00E55E4C">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4C" w:rsidRDefault="00E55E4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296E">
      <w:rPr>
        <w:rStyle w:val="Nmerodepgina"/>
        <w:noProof/>
      </w:rPr>
      <w:t>15</w:t>
    </w:r>
    <w:r>
      <w:rPr>
        <w:rStyle w:val="Nmerodepgina"/>
      </w:rPr>
      <w:fldChar w:fldCharType="end"/>
    </w:r>
  </w:p>
  <w:p w:rsidR="00E55E4C" w:rsidRDefault="00E55E4C">
    <w:pPr>
      <w:framePr w:wrap="around" w:vAnchor="text" w:hAnchor="margin" w:xAlign="right" w:y="1"/>
    </w:pPr>
  </w:p>
  <w:p w:rsidR="00E55E4C" w:rsidRDefault="00E55E4C">
    <w:pPr>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E4C" w:rsidRDefault="00E55E4C">
      <w:r>
        <w:separator/>
      </w:r>
    </w:p>
  </w:footnote>
  <w:footnote w:type="continuationSeparator" w:id="0">
    <w:p w:rsidR="00E55E4C" w:rsidRDefault="00E55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4C" w:rsidRDefault="00E55E4C">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5E9"/>
    <w:rsid w:val="000D1982"/>
    <w:rsid w:val="00330727"/>
    <w:rsid w:val="00434064"/>
    <w:rsid w:val="00560EC4"/>
    <w:rsid w:val="006106EA"/>
    <w:rsid w:val="008F24A8"/>
    <w:rsid w:val="00915AAB"/>
    <w:rsid w:val="009D365A"/>
    <w:rsid w:val="00AB75E9"/>
    <w:rsid w:val="00E55E4C"/>
    <w:rsid w:val="00E6301F"/>
    <w:rsid w:val="00F06FEE"/>
    <w:rsid w:val="00FC29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link w:val="Ttulo1Car"/>
    <w:qFormat/>
    <w:rsid w:val="00915AAB"/>
    <w:pPr>
      <w:keepNext/>
      <w:spacing w:line="360" w:lineRule="auto"/>
      <w:jc w:val="center"/>
      <w:outlineLvl w:val="0"/>
    </w:pPr>
    <w:rPr>
      <w:b/>
    </w:rPr>
  </w:style>
  <w:style w:type="paragraph" w:styleId="Ttulo2">
    <w:name w:val="heading 2"/>
    <w:basedOn w:val="Normal"/>
    <w:next w:val="Textoindependiente"/>
    <w:link w:val="Ttulo2Car"/>
    <w:qFormat/>
    <w:rsid w:val="00915AAB"/>
    <w:pPr>
      <w:spacing w:after="170" w:line="360" w:lineRule="auto"/>
      <w:outlineLvl w:val="1"/>
    </w:pPr>
    <w:rPr>
      <w:b/>
      <w:kern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AB75E9"/>
    <w:pPr>
      <w:tabs>
        <w:tab w:val="center" w:pos="4419"/>
        <w:tab w:val="right" w:pos="8838"/>
      </w:tabs>
    </w:pPr>
  </w:style>
  <w:style w:type="character" w:customStyle="1" w:styleId="PiedepginaCar">
    <w:name w:val="Pie de página Car"/>
    <w:basedOn w:val="Fuentedeprrafopredeter"/>
    <w:link w:val="Piedepgina"/>
    <w:uiPriority w:val="99"/>
    <w:semiHidden/>
    <w:rsid w:val="00AB75E9"/>
    <w:rPr>
      <w:rFonts w:ascii="Arial" w:hAnsi="Arial"/>
      <w:sz w:val="24"/>
      <w:szCs w:val="24"/>
      <w:lang w:val="es-ES" w:eastAsia="es-ES"/>
    </w:rPr>
  </w:style>
  <w:style w:type="character" w:styleId="Nmerodepgina">
    <w:name w:val="page number"/>
    <w:basedOn w:val="Fuentedeprrafopredeter"/>
    <w:rsid w:val="00AB75E9"/>
  </w:style>
  <w:style w:type="character" w:customStyle="1" w:styleId="Ttulo1Car">
    <w:name w:val="Título 1 Car"/>
    <w:basedOn w:val="Fuentedeprrafopredeter"/>
    <w:link w:val="Ttulo1"/>
    <w:rsid w:val="00915AAB"/>
    <w:rPr>
      <w:rFonts w:ascii="Arial" w:hAnsi="Arial"/>
      <w:b/>
      <w:sz w:val="24"/>
      <w:szCs w:val="24"/>
      <w:lang w:val="es-ES" w:eastAsia="es-ES"/>
    </w:rPr>
  </w:style>
  <w:style w:type="paragraph" w:styleId="Textoindependiente">
    <w:name w:val="Body Text"/>
    <w:basedOn w:val="Normal"/>
    <w:link w:val="TextoindependienteCar"/>
    <w:autoRedefine/>
    <w:rsid w:val="00E6301F"/>
    <w:pPr>
      <w:spacing w:line="360" w:lineRule="auto"/>
      <w:jc w:val="both"/>
    </w:pPr>
    <w:rPr>
      <w:rFonts w:cs="Arial"/>
      <w:bCs/>
      <w:lang w:val="es-MX"/>
    </w:rPr>
  </w:style>
  <w:style w:type="character" w:customStyle="1" w:styleId="TextoindependienteCar">
    <w:name w:val="Texto independiente Car"/>
    <w:basedOn w:val="Fuentedeprrafopredeter"/>
    <w:link w:val="Textoindependiente"/>
    <w:rsid w:val="00E6301F"/>
    <w:rPr>
      <w:rFonts w:ascii="Arial" w:hAnsi="Arial" w:cs="Arial"/>
      <w:bCs/>
      <w:sz w:val="24"/>
      <w:szCs w:val="24"/>
      <w:lang w:val="es-MX" w:eastAsia="es-ES"/>
    </w:rPr>
  </w:style>
  <w:style w:type="paragraph" w:styleId="Subttulo">
    <w:name w:val="Subtitle"/>
    <w:basedOn w:val="Normal"/>
    <w:link w:val="SubttuloCar"/>
    <w:qFormat/>
    <w:rsid w:val="00915AAB"/>
    <w:pPr>
      <w:spacing w:line="360" w:lineRule="auto"/>
      <w:jc w:val="both"/>
    </w:pPr>
    <w:rPr>
      <w:rFonts w:ascii="Bookman Old Style" w:hAnsi="Bookman Old Style"/>
      <w:b/>
      <w:kern w:val="18"/>
    </w:rPr>
  </w:style>
  <w:style w:type="character" w:customStyle="1" w:styleId="SubttuloCar">
    <w:name w:val="Subtítulo Car"/>
    <w:basedOn w:val="Fuentedeprrafopredeter"/>
    <w:link w:val="Subttulo"/>
    <w:rsid w:val="00915AAB"/>
    <w:rPr>
      <w:rFonts w:ascii="Bookman Old Style" w:hAnsi="Bookman Old Style"/>
      <w:b/>
      <w:kern w:val="18"/>
      <w:sz w:val="24"/>
      <w:szCs w:val="24"/>
      <w:lang w:val="es-ES" w:eastAsia="es-ES"/>
    </w:rPr>
  </w:style>
  <w:style w:type="paragraph" w:styleId="Textoindependiente2">
    <w:name w:val="Body Text 2"/>
    <w:basedOn w:val="Normal"/>
    <w:link w:val="Textoindependiente2Car"/>
    <w:rsid w:val="00915AAB"/>
    <w:pPr>
      <w:spacing w:line="360" w:lineRule="auto"/>
    </w:pPr>
    <w:rPr>
      <w:rFonts w:ascii="Bookman Old Style" w:hAnsi="Bookman Old Style"/>
      <w:kern w:val="18"/>
    </w:rPr>
  </w:style>
  <w:style w:type="character" w:customStyle="1" w:styleId="Textoindependiente2Car">
    <w:name w:val="Texto independiente 2 Car"/>
    <w:basedOn w:val="Fuentedeprrafopredeter"/>
    <w:link w:val="Textoindependiente2"/>
    <w:rsid w:val="00915AAB"/>
    <w:rPr>
      <w:rFonts w:ascii="Bookman Old Style" w:hAnsi="Bookman Old Style"/>
      <w:kern w:val="18"/>
      <w:sz w:val="24"/>
      <w:szCs w:val="24"/>
      <w:lang w:val="es-ES" w:eastAsia="es-ES"/>
    </w:rPr>
  </w:style>
  <w:style w:type="paragraph" w:styleId="Sangra2detindependiente">
    <w:name w:val="Body Text Indent 2"/>
    <w:basedOn w:val="Normal"/>
    <w:link w:val="Sangra2detindependienteCar"/>
    <w:rsid w:val="00915AAB"/>
    <w:pPr>
      <w:spacing w:line="360" w:lineRule="auto"/>
      <w:ind w:left="356"/>
      <w:jc w:val="both"/>
    </w:pPr>
    <w:rPr>
      <w:kern w:val="18"/>
      <w:szCs w:val="20"/>
    </w:rPr>
  </w:style>
  <w:style w:type="character" w:customStyle="1" w:styleId="Sangra2detindependienteCar">
    <w:name w:val="Sangría 2 de t. independiente Car"/>
    <w:basedOn w:val="Fuentedeprrafopredeter"/>
    <w:link w:val="Sangra2detindependiente"/>
    <w:rsid w:val="00915AAB"/>
    <w:rPr>
      <w:rFonts w:ascii="Arial" w:hAnsi="Arial"/>
      <w:kern w:val="18"/>
      <w:sz w:val="24"/>
      <w:lang w:val="es-ES" w:eastAsia="es-ES"/>
    </w:rPr>
  </w:style>
  <w:style w:type="character" w:customStyle="1" w:styleId="Ttulo2Car">
    <w:name w:val="Título 2 Car"/>
    <w:basedOn w:val="Fuentedeprrafopredeter"/>
    <w:link w:val="Ttulo2"/>
    <w:rsid w:val="00915AAB"/>
    <w:rPr>
      <w:rFonts w:ascii="Arial" w:hAnsi="Arial"/>
      <w:b/>
      <w:kern w:val="18"/>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link w:val="Ttulo1Car"/>
    <w:qFormat/>
    <w:rsid w:val="00915AAB"/>
    <w:pPr>
      <w:keepNext/>
      <w:spacing w:line="360" w:lineRule="auto"/>
      <w:jc w:val="center"/>
      <w:outlineLvl w:val="0"/>
    </w:pPr>
    <w:rPr>
      <w:b/>
    </w:rPr>
  </w:style>
  <w:style w:type="paragraph" w:styleId="Ttulo2">
    <w:name w:val="heading 2"/>
    <w:basedOn w:val="Normal"/>
    <w:next w:val="Textoindependiente"/>
    <w:link w:val="Ttulo2Car"/>
    <w:qFormat/>
    <w:rsid w:val="00915AAB"/>
    <w:pPr>
      <w:spacing w:after="170" w:line="360" w:lineRule="auto"/>
      <w:outlineLvl w:val="1"/>
    </w:pPr>
    <w:rPr>
      <w:b/>
      <w:kern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AB75E9"/>
    <w:pPr>
      <w:tabs>
        <w:tab w:val="center" w:pos="4419"/>
        <w:tab w:val="right" w:pos="8838"/>
      </w:tabs>
    </w:pPr>
  </w:style>
  <w:style w:type="character" w:customStyle="1" w:styleId="PiedepginaCar">
    <w:name w:val="Pie de página Car"/>
    <w:basedOn w:val="Fuentedeprrafopredeter"/>
    <w:link w:val="Piedepgina"/>
    <w:uiPriority w:val="99"/>
    <w:semiHidden/>
    <w:rsid w:val="00AB75E9"/>
    <w:rPr>
      <w:rFonts w:ascii="Arial" w:hAnsi="Arial"/>
      <w:sz w:val="24"/>
      <w:szCs w:val="24"/>
      <w:lang w:val="es-ES" w:eastAsia="es-ES"/>
    </w:rPr>
  </w:style>
  <w:style w:type="character" w:styleId="Nmerodepgina">
    <w:name w:val="page number"/>
    <w:basedOn w:val="Fuentedeprrafopredeter"/>
    <w:rsid w:val="00AB75E9"/>
  </w:style>
  <w:style w:type="character" w:customStyle="1" w:styleId="Ttulo1Car">
    <w:name w:val="Título 1 Car"/>
    <w:basedOn w:val="Fuentedeprrafopredeter"/>
    <w:link w:val="Ttulo1"/>
    <w:rsid w:val="00915AAB"/>
    <w:rPr>
      <w:rFonts w:ascii="Arial" w:hAnsi="Arial"/>
      <w:b/>
      <w:sz w:val="24"/>
      <w:szCs w:val="24"/>
      <w:lang w:val="es-ES" w:eastAsia="es-ES"/>
    </w:rPr>
  </w:style>
  <w:style w:type="paragraph" w:styleId="Textoindependiente">
    <w:name w:val="Body Text"/>
    <w:basedOn w:val="Normal"/>
    <w:link w:val="TextoindependienteCar"/>
    <w:autoRedefine/>
    <w:rsid w:val="00E6301F"/>
    <w:pPr>
      <w:spacing w:line="360" w:lineRule="auto"/>
      <w:jc w:val="both"/>
    </w:pPr>
    <w:rPr>
      <w:rFonts w:cs="Arial"/>
      <w:bCs/>
      <w:lang w:val="es-MX"/>
    </w:rPr>
  </w:style>
  <w:style w:type="character" w:customStyle="1" w:styleId="TextoindependienteCar">
    <w:name w:val="Texto independiente Car"/>
    <w:basedOn w:val="Fuentedeprrafopredeter"/>
    <w:link w:val="Textoindependiente"/>
    <w:rsid w:val="00E6301F"/>
    <w:rPr>
      <w:rFonts w:ascii="Arial" w:hAnsi="Arial" w:cs="Arial"/>
      <w:bCs/>
      <w:sz w:val="24"/>
      <w:szCs w:val="24"/>
      <w:lang w:val="es-MX" w:eastAsia="es-ES"/>
    </w:rPr>
  </w:style>
  <w:style w:type="paragraph" w:styleId="Subttulo">
    <w:name w:val="Subtitle"/>
    <w:basedOn w:val="Normal"/>
    <w:link w:val="SubttuloCar"/>
    <w:qFormat/>
    <w:rsid w:val="00915AAB"/>
    <w:pPr>
      <w:spacing w:line="360" w:lineRule="auto"/>
      <w:jc w:val="both"/>
    </w:pPr>
    <w:rPr>
      <w:rFonts w:ascii="Bookman Old Style" w:hAnsi="Bookman Old Style"/>
      <w:b/>
      <w:kern w:val="18"/>
    </w:rPr>
  </w:style>
  <w:style w:type="character" w:customStyle="1" w:styleId="SubttuloCar">
    <w:name w:val="Subtítulo Car"/>
    <w:basedOn w:val="Fuentedeprrafopredeter"/>
    <w:link w:val="Subttulo"/>
    <w:rsid w:val="00915AAB"/>
    <w:rPr>
      <w:rFonts w:ascii="Bookman Old Style" w:hAnsi="Bookman Old Style"/>
      <w:b/>
      <w:kern w:val="18"/>
      <w:sz w:val="24"/>
      <w:szCs w:val="24"/>
      <w:lang w:val="es-ES" w:eastAsia="es-ES"/>
    </w:rPr>
  </w:style>
  <w:style w:type="paragraph" w:styleId="Textoindependiente2">
    <w:name w:val="Body Text 2"/>
    <w:basedOn w:val="Normal"/>
    <w:link w:val="Textoindependiente2Car"/>
    <w:rsid w:val="00915AAB"/>
    <w:pPr>
      <w:spacing w:line="360" w:lineRule="auto"/>
    </w:pPr>
    <w:rPr>
      <w:rFonts w:ascii="Bookman Old Style" w:hAnsi="Bookman Old Style"/>
      <w:kern w:val="18"/>
    </w:rPr>
  </w:style>
  <w:style w:type="character" w:customStyle="1" w:styleId="Textoindependiente2Car">
    <w:name w:val="Texto independiente 2 Car"/>
    <w:basedOn w:val="Fuentedeprrafopredeter"/>
    <w:link w:val="Textoindependiente2"/>
    <w:rsid w:val="00915AAB"/>
    <w:rPr>
      <w:rFonts w:ascii="Bookman Old Style" w:hAnsi="Bookman Old Style"/>
      <w:kern w:val="18"/>
      <w:sz w:val="24"/>
      <w:szCs w:val="24"/>
      <w:lang w:val="es-ES" w:eastAsia="es-ES"/>
    </w:rPr>
  </w:style>
  <w:style w:type="paragraph" w:styleId="Sangra2detindependiente">
    <w:name w:val="Body Text Indent 2"/>
    <w:basedOn w:val="Normal"/>
    <w:link w:val="Sangra2detindependienteCar"/>
    <w:rsid w:val="00915AAB"/>
    <w:pPr>
      <w:spacing w:line="360" w:lineRule="auto"/>
      <w:ind w:left="356"/>
      <w:jc w:val="both"/>
    </w:pPr>
    <w:rPr>
      <w:kern w:val="18"/>
      <w:szCs w:val="20"/>
    </w:rPr>
  </w:style>
  <w:style w:type="character" w:customStyle="1" w:styleId="Sangra2detindependienteCar">
    <w:name w:val="Sangría 2 de t. independiente Car"/>
    <w:basedOn w:val="Fuentedeprrafopredeter"/>
    <w:link w:val="Sangra2detindependiente"/>
    <w:rsid w:val="00915AAB"/>
    <w:rPr>
      <w:rFonts w:ascii="Arial" w:hAnsi="Arial"/>
      <w:kern w:val="18"/>
      <w:sz w:val="24"/>
      <w:lang w:val="es-ES" w:eastAsia="es-ES"/>
    </w:rPr>
  </w:style>
  <w:style w:type="character" w:customStyle="1" w:styleId="Ttulo2Car">
    <w:name w:val="Título 2 Car"/>
    <w:basedOn w:val="Fuentedeprrafopredeter"/>
    <w:link w:val="Ttulo2"/>
    <w:rsid w:val="00915AAB"/>
    <w:rPr>
      <w:rFonts w:ascii="Arial" w:hAnsi="Arial"/>
      <w:b/>
      <w:kern w:val="18"/>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15</Pages>
  <Words>3434</Words>
  <Characters>18643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3</cp:revision>
  <cp:lastPrinted>2015-12-18T15:41:00Z</cp:lastPrinted>
  <dcterms:created xsi:type="dcterms:W3CDTF">2015-12-18T15:34:00Z</dcterms:created>
  <dcterms:modified xsi:type="dcterms:W3CDTF">2016-01-13T14:36:00Z</dcterms:modified>
</cp:coreProperties>
</file>