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C17" w:rsidRPr="00471135" w:rsidRDefault="00077C17">
      <w:pPr>
        <w:tabs>
          <w:tab w:val="center" w:pos="4253"/>
        </w:tabs>
        <w:suppressAutoHyphens/>
        <w:jc w:val="center"/>
        <w:rPr>
          <w:rFonts w:cs="Arial"/>
          <w:b/>
          <w:lang w:val="es-ES_tradnl"/>
        </w:rPr>
      </w:pPr>
      <w:bookmarkStart w:id="0" w:name="_GoBack"/>
      <w:bookmarkEnd w:id="0"/>
      <w:r w:rsidRPr="00471135">
        <w:rPr>
          <w:rFonts w:cs="Arial"/>
          <w:b/>
          <w:lang w:val="es-ES_tradnl"/>
        </w:rPr>
        <w:t>RESOLUCION ADOPTADA POR EL</w:t>
      </w:r>
    </w:p>
    <w:p w:rsidR="00077C17" w:rsidRPr="00471135" w:rsidRDefault="00077C17">
      <w:pPr>
        <w:tabs>
          <w:tab w:val="left" w:pos="-720"/>
        </w:tabs>
        <w:suppressAutoHyphens/>
        <w:jc w:val="center"/>
        <w:rPr>
          <w:rFonts w:cs="Arial"/>
          <w:b/>
          <w:lang w:val="es-ES_tradnl"/>
        </w:rPr>
      </w:pPr>
    </w:p>
    <w:p w:rsidR="00077C17" w:rsidRPr="00471135" w:rsidRDefault="00077C17">
      <w:pPr>
        <w:tabs>
          <w:tab w:val="center" w:pos="4253"/>
        </w:tabs>
        <w:suppressAutoHyphens/>
        <w:jc w:val="center"/>
        <w:rPr>
          <w:rFonts w:cs="Arial"/>
          <w:b/>
          <w:lang w:val="es-ES_tradnl"/>
        </w:rPr>
      </w:pPr>
      <w:r w:rsidRPr="00471135">
        <w:rPr>
          <w:rFonts w:cs="Arial"/>
          <w:b/>
          <w:lang w:val="es-ES_tradnl"/>
        </w:rPr>
        <w:t>TRIBUNAL DE CUENTAS</w:t>
      </w:r>
    </w:p>
    <w:p w:rsidR="00077C17" w:rsidRPr="00471135" w:rsidRDefault="00077C17">
      <w:pPr>
        <w:tabs>
          <w:tab w:val="left" w:pos="-720"/>
        </w:tabs>
        <w:suppressAutoHyphens/>
        <w:jc w:val="center"/>
        <w:rPr>
          <w:rFonts w:cs="Arial"/>
          <w:b/>
          <w:lang w:val="es-ES_tradnl"/>
        </w:rPr>
      </w:pPr>
    </w:p>
    <w:p w:rsidR="00077C17" w:rsidRPr="00471135" w:rsidRDefault="00077C17">
      <w:pPr>
        <w:tabs>
          <w:tab w:val="center" w:pos="4253"/>
        </w:tabs>
        <w:suppressAutoHyphens/>
        <w:jc w:val="center"/>
        <w:rPr>
          <w:rFonts w:cs="Arial"/>
          <w:b/>
          <w:lang w:val="es-ES_tradnl"/>
        </w:rPr>
      </w:pPr>
      <w:r w:rsidRPr="00471135">
        <w:rPr>
          <w:rFonts w:cs="Arial"/>
          <w:b/>
          <w:lang w:val="es-ES_tradnl"/>
        </w:rPr>
        <w:t>EN SESION DE FECHA 9 DE DICIEMBRE DE 2015</w:t>
      </w:r>
    </w:p>
    <w:p w:rsidR="00077C17" w:rsidRPr="00471135" w:rsidRDefault="00077C17">
      <w:pPr>
        <w:tabs>
          <w:tab w:val="center" w:pos="4253"/>
        </w:tabs>
        <w:suppressAutoHyphens/>
        <w:jc w:val="center"/>
        <w:rPr>
          <w:rFonts w:cs="Arial"/>
          <w:b/>
          <w:lang w:val="es-ES_tradnl"/>
        </w:rPr>
      </w:pPr>
    </w:p>
    <w:p w:rsidR="00077C17" w:rsidRPr="00471135" w:rsidRDefault="0060461A">
      <w:pPr>
        <w:tabs>
          <w:tab w:val="center" w:pos="4253"/>
        </w:tabs>
        <w:suppressAutoHyphens/>
        <w:jc w:val="center"/>
        <w:rPr>
          <w:rFonts w:cs="Arial"/>
          <w:b/>
          <w:lang w:val="es-AR"/>
        </w:rPr>
      </w:pPr>
      <w:r w:rsidRPr="00471135">
        <w:rPr>
          <w:rFonts w:cs="Arial"/>
          <w:b/>
          <w:lang w:val="es-AR"/>
        </w:rPr>
        <w:t>(E. E. Nº 2015-17-1-0003</w:t>
      </w:r>
      <w:r w:rsidR="00077C17" w:rsidRPr="00471135">
        <w:rPr>
          <w:rFonts w:cs="Arial"/>
          <w:b/>
          <w:lang w:val="es-AR"/>
        </w:rPr>
        <w:t xml:space="preserve">294, </w:t>
      </w:r>
      <w:proofErr w:type="spellStart"/>
      <w:r w:rsidR="00077C17" w:rsidRPr="00471135">
        <w:rPr>
          <w:rFonts w:cs="Arial"/>
          <w:b/>
          <w:lang w:val="es-AR"/>
        </w:rPr>
        <w:t>Ent</w:t>
      </w:r>
      <w:proofErr w:type="spellEnd"/>
      <w:r w:rsidR="00077C17" w:rsidRPr="00471135">
        <w:rPr>
          <w:rFonts w:cs="Arial"/>
          <w:b/>
          <w:lang w:val="es-AR"/>
        </w:rPr>
        <w:t>. N° 2683/15)</w:t>
      </w:r>
    </w:p>
    <w:p w:rsidR="00077C17" w:rsidRPr="00077C17" w:rsidRDefault="00077C17">
      <w:pPr>
        <w:tabs>
          <w:tab w:val="center" w:pos="4253"/>
        </w:tabs>
        <w:suppressAutoHyphens/>
        <w:jc w:val="center"/>
        <w:rPr>
          <w:spacing w:val="-3"/>
          <w:lang w:val="es-AR"/>
        </w:rPr>
      </w:pPr>
    </w:p>
    <w:p w:rsidR="00077C17" w:rsidRPr="00077C17" w:rsidRDefault="00077C17">
      <w:pPr>
        <w:tabs>
          <w:tab w:val="center" w:pos="4253"/>
        </w:tabs>
        <w:suppressAutoHyphens/>
        <w:rPr>
          <w:spacing w:val="-3"/>
          <w:lang w:val="es-AR"/>
        </w:rPr>
      </w:pPr>
    </w:p>
    <w:p w:rsidR="00077C17" w:rsidRDefault="00610BB2" w:rsidP="00077C17">
      <w:pPr>
        <w:tabs>
          <w:tab w:val="left" w:pos="-720"/>
        </w:tabs>
        <w:suppressAutoHyphens/>
        <w:spacing w:line="360" w:lineRule="auto"/>
        <w:ind w:firstLine="851"/>
        <w:jc w:val="both"/>
        <w:rPr>
          <w:rFonts w:cs="Arial"/>
          <w:spacing w:val="-3"/>
          <w:lang w:val="es-ES_tradnl"/>
        </w:rPr>
      </w:pPr>
      <w:r w:rsidRPr="00963319">
        <w:rPr>
          <w:rFonts w:cs="Arial"/>
          <w:b/>
          <w:spacing w:val="-3"/>
          <w:lang w:val="es-ES_tradnl"/>
        </w:rPr>
        <w:t>VISTO:</w:t>
      </w:r>
      <w:r w:rsidRPr="00963319">
        <w:rPr>
          <w:rFonts w:cs="Arial"/>
          <w:spacing w:val="-3"/>
          <w:lang w:val="es-ES_tradnl"/>
        </w:rPr>
        <w:t xml:space="preserve"> que este Tribunal ha examinado el </w:t>
      </w:r>
      <w:r w:rsidR="00B63C63" w:rsidRPr="00963319">
        <w:rPr>
          <w:rFonts w:cs="Arial"/>
          <w:spacing w:val="-3"/>
          <w:lang w:val="es-ES_tradnl"/>
        </w:rPr>
        <w:t>Estado</w:t>
      </w:r>
      <w:r w:rsidRPr="00963319">
        <w:rPr>
          <w:rFonts w:cs="Arial"/>
          <w:spacing w:val="-3"/>
          <w:lang w:val="es-ES_tradnl"/>
        </w:rPr>
        <w:t xml:space="preserve"> de Ejecución Presupuestal del Banco </w:t>
      </w:r>
      <w:r w:rsidR="00324AFF">
        <w:rPr>
          <w:rFonts w:cs="Arial"/>
          <w:spacing w:val="-3"/>
          <w:lang w:val="es-ES_tradnl"/>
        </w:rPr>
        <w:t>de Seguros del Estado</w:t>
      </w:r>
      <w:r w:rsidRPr="00963319">
        <w:rPr>
          <w:rFonts w:cs="Arial"/>
          <w:spacing w:val="-3"/>
          <w:lang w:val="es-ES_tradnl"/>
        </w:rPr>
        <w:t xml:space="preserve"> (</w:t>
      </w:r>
      <w:r w:rsidR="00324AFF">
        <w:rPr>
          <w:rFonts w:cs="Arial"/>
          <w:spacing w:val="-3"/>
          <w:lang w:val="es-ES_tradnl"/>
        </w:rPr>
        <w:t>BSE</w:t>
      </w:r>
      <w:r w:rsidR="00077C17">
        <w:rPr>
          <w:rFonts w:cs="Arial"/>
          <w:spacing w:val="-3"/>
          <w:lang w:val="es-ES_tradnl"/>
        </w:rPr>
        <w:t>) correspondiente al E</w:t>
      </w:r>
      <w:r w:rsidRPr="00963319">
        <w:rPr>
          <w:rFonts w:cs="Arial"/>
          <w:spacing w:val="-3"/>
          <w:lang w:val="es-ES_tradnl"/>
        </w:rPr>
        <w:t>jercicio 201</w:t>
      </w:r>
      <w:r w:rsidR="00470C8E">
        <w:rPr>
          <w:rFonts w:cs="Arial"/>
          <w:spacing w:val="-3"/>
          <w:lang w:val="es-ES_tradnl"/>
        </w:rPr>
        <w:t>4</w:t>
      </w:r>
      <w:r w:rsidR="00077C17">
        <w:rPr>
          <w:rFonts w:cs="Arial"/>
          <w:spacing w:val="-3"/>
          <w:lang w:val="es-ES_tradnl"/>
        </w:rPr>
        <w:t>;</w:t>
      </w:r>
    </w:p>
    <w:p w:rsidR="00610BB2" w:rsidRPr="00963319" w:rsidRDefault="00610BB2" w:rsidP="00077C17">
      <w:pPr>
        <w:tabs>
          <w:tab w:val="left" w:pos="-720"/>
        </w:tabs>
        <w:suppressAutoHyphens/>
        <w:spacing w:line="360" w:lineRule="auto"/>
        <w:ind w:firstLine="851"/>
        <w:jc w:val="both"/>
        <w:rPr>
          <w:rFonts w:cs="Arial"/>
          <w:spacing w:val="-3"/>
          <w:lang w:val="es-ES_tradnl"/>
        </w:rPr>
      </w:pPr>
      <w:r w:rsidRPr="00963319">
        <w:rPr>
          <w:rFonts w:cs="Arial"/>
          <w:b/>
          <w:spacing w:val="-3"/>
          <w:lang w:val="es-ES_tradnl"/>
        </w:rPr>
        <w:t>RESULTANDO:</w:t>
      </w:r>
      <w:r w:rsidRPr="00963319">
        <w:rPr>
          <w:rFonts w:cs="Arial"/>
          <w:spacing w:val="-3"/>
          <w:lang w:val="es-ES_tradnl"/>
        </w:rPr>
        <w:t xml:space="preserve"> </w:t>
      </w:r>
      <w:r w:rsidRPr="00963319">
        <w:rPr>
          <w:rFonts w:cs="Arial"/>
        </w:rP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r w:rsidRPr="00963319">
        <w:rPr>
          <w:rFonts w:cs="Arial"/>
          <w:spacing w:val="-3"/>
          <w:lang w:val="es-ES_tradnl"/>
        </w:rPr>
        <w:t>;</w:t>
      </w:r>
    </w:p>
    <w:p w:rsidR="00610BB2" w:rsidRPr="00963319" w:rsidRDefault="00610BB2" w:rsidP="00077C17">
      <w:pPr>
        <w:tabs>
          <w:tab w:val="left" w:pos="-720"/>
        </w:tabs>
        <w:suppressAutoHyphens/>
        <w:spacing w:line="360" w:lineRule="auto"/>
        <w:ind w:firstLine="851"/>
        <w:jc w:val="both"/>
        <w:rPr>
          <w:rFonts w:cs="Arial"/>
          <w:spacing w:val="-3"/>
          <w:lang w:val="es-ES_tradnl"/>
        </w:rPr>
      </w:pPr>
      <w:r w:rsidRPr="00963319">
        <w:rPr>
          <w:rFonts w:cs="Arial"/>
          <w:b/>
          <w:spacing w:val="-3"/>
          <w:lang w:val="es-ES_tradnl"/>
        </w:rPr>
        <w:t>CONSIDERANDO:</w:t>
      </w:r>
      <w:r w:rsidRPr="00963319">
        <w:rPr>
          <w:rFonts w:cs="Arial"/>
          <w:spacing w:val="-3"/>
          <w:lang w:val="es-ES_tradnl"/>
        </w:rPr>
        <w:t xml:space="preserve"> que las conclusiones y evidencias obtenidas son las que se expresan en el Informe de Auditoría que incluye el Dictamen e Informe a la Administración;</w:t>
      </w:r>
    </w:p>
    <w:p w:rsidR="00610BB2" w:rsidRPr="00963319" w:rsidRDefault="00610BB2" w:rsidP="00077C17">
      <w:pPr>
        <w:pStyle w:val="Textoindependiente2"/>
        <w:ind w:firstLine="851"/>
        <w:rPr>
          <w:rFonts w:ascii="Arial" w:hAnsi="Arial" w:cs="Arial"/>
          <w:b w:val="0"/>
          <w:bCs/>
        </w:rPr>
      </w:pPr>
      <w:r w:rsidRPr="00963319">
        <w:rPr>
          <w:rFonts w:ascii="Arial" w:hAnsi="Arial" w:cs="Arial"/>
        </w:rPr>
        <w:t xml:space="preserve">ATENTO: </w:t>
      </w:r>
      <w:r w:rsidRPr="00963319">
        <w:rPr>
          <w:rFonts w:ascii="Arial" w:hAnsi="Arial" w:cs="Arial"/>
          <w:b w:val="0"/>
          <w:bCs/>
        </w:rPr>
        <w:t>a lo dispuesto por el Artículo 211 Literales C) y E) de la Constitución de la República;</w:t>
      </w:r>
    </w:p>
    <w:p w:rsidR="00610BB2" w:rsidRDefault="00610BB2">
      <w:pPr>
        <w:pStyle w:val="Textoindependiente2"/>
        <w:jc w:val="center"/>
        <w:rPr>
          <w:rFonts w:ascii="Arial" w:hAnsi="Arial" w:cs="Arial"/>
          <w:bCs/>
        </w:rPr>
      </w:pPr>
      <w:r w:rsidRPr="00963319">
        <w:rPr>
          <w:rFonts w:ascii="Arial" w:hAnsi="Arial" w:cs="Arial"/>
          <w:bCs/>
        </w:rPr>
        <w:t>EL TRIBUNAL ACUERDA</w:t>
      </w:r>
    </w:p>
    <w:p w:rsidR="00077C17" w:rsidRPr="00077C17" w:rsidRDefault="00610BB2" w:rsidP="00077C17">
      <w:pPr>
        <w:pStyle w:val="Textoindependiente2"/>
        <w:numPr>
          <w:ilvl w:val="0"/>
          <w:numId w:val="3"/>
        </w:numPr>
        <w:ind w:left="709" w:hanging="283"/>
        <w:rPr>
          <w:rFonts w:ascii="Arial" w:hAnsi="Arial" w:cs="Arial"/>
          <w:bCs/>
        </w:rPr>
      </w:pPr>
      <w:r w:rsidRPr="00077C17">
        <w:rPr>
          <w:rFonts w:ascii="Arial" w:hAnsi="Arial" w:cs="Arial"/>
          <w:b w:val="0"/>
          <w:bCs/>
        </w:rPr>
        <w:t xml:space="preserve">Expedirse respecto al </w:t>
      </w:r>
      <w:r w:rsidR="00B63C63" w:rsidRPr="00077C17">
        <w:rPr>
          <w:rFonts w:ascii="Arial" w:hAnsi="Arial" w:cs="Arial"/>
          <w:b w:val="0"/>
          <w:bCs/>
        </w:rPr>
        <w:t>Estado</w:t>
      </w:r>
      <w:r w:rsidRPr="00077C17">
        <w:rPr>
          <w:rFonts w:ascii="Arial" w:hAnsi="Arial" w:cs="Arial"/>
          <w:b w:val="0"/>
          <w:bCs/>
        </w:rPr>
        <w:t xml:space="preserve"> de Ejecución Presupuestal correspondiente al ejercicio 201</w:t>
      </w:r>
      <w:r w:rsidR="00470C8E" w:rsidRPr="00077C17">
        <w:rPr>
          <w:rFonts w:ascii="Arial" w:hAnsi="Arial" w:cs="Arial"/>
          <w:b w:val="0"/>
          <w:bCs/>
        </w:rPr>
        <w:t>4</w:t>
      </w:r>
      <w:r w:rsidRPr="00077C17">
        <w:rPr>
          <w:rFonts w:ascii="Arial" w:hAnsi="Arial" w:cs="Arial"/>
          <w:b w:val="0"/>
          <w:bCs/>
        </w:rPr>
        <w:t xml:space="preserve"> del Banco </w:t>
      </w:r>
      <w:r w:rsidR="00041D6E" w:rsidRPr="00077C17">
        <w:rPr>
          <w:rFonts w:ascii="Arial" w:hAnsi="Arial" w:cs="Arial"/>
          <w:b w:val="0"/>
          <w:bCs/>
        </w:rPr>
        <w:t>de Seguros del Estado</w:t>
      </w:r>
      <w:r w:rsidRPr="00077C17">
        <w:rPr>
          <w:rFonts w:ascii="Arial" w:hAnsi="Arial" w:cs="Arial"/>
          <w:b w:val="0"/>
          <w:bCs/>
        </w:rPr>
        <w:t>, en los términos del Informe de Auditoría que se adjunta;</w:t>
      </w:r>
    </w:p>
    <w:p w:rsidR="00610BB2" w:rsidRPr="00077C17" w:rsidRDefault="00610BB2" w:rsidP="00077C17">
      <w:pPr>
        <w:pStyle w:val="Textoindependiente2"/>
        <w:numPr>
          <w:ilvl w:val="0"/>
          <w:numId w:val="3"/>
        </w:numPr>
        <w:ind w:left="709" w:hanging="283"/>
        <w:rPr>
          <w:rFonts w:ascii="Arial" w:hAnsi="Arial" w:cs="Arial"/>
          <w:bCs/>
        </w:rPr>
      </w:pPr>
      <w:r w:rsidRPr="00077C17">
        <w:rPr>
          <w:rFonts w:ascii="Arial" w:hAnsi="Arial" w:cs="Arial"/>
          <w:b w:val="0"/>
          <w:bCs/>
        </w:rPr>
        <w:t>Comunicar al</w:t>
      </w:r>
      <w:r w:rsidR="004D77C0" w:rsidRPr="00077C17">
        <w:rPr>
          <w:rFonts w:ascii="Arial" w:hAnsi="Arial" w:cs="Arial"/>
          <w:b w:val="0"/>
          <w:bCs/>
        </w:rPr>
        <w:t xml:space="preserve"> </w:t>
      </w:r>
      <w:r w:rsidR="001C6C1D" w:rsidRPr="00077C17">
        <w:rPr>
          <w:rFonts w:ascii="Arial" w:hAnsi="Arial" w:cs="Arial"/>
          <w:b w:val="0"/>
          <w:bCs/>
        </w:rPr>
        <w:t>Ministerio de Economía y Finanzas</w:t>
      </w:r>
      <w:r w:rsidR="00EB57BC" w:rsidRPr="00077C17">
        <w:rPr>
          <w:rFonts w:ascii="Arial" w:hAnsi="Arial" w:cs="Arial"/>
          <w:b w:val="0"/>
          <w:bCs/>
        </w:rPr>
        <w:t>,</w:t>
      </w:r>
      <w:r w:rsidRPr="00077C17">
        <w:rPr>
          <w:rFonts w:ascii="Arial" w:hAnsi="Arial" w:cs="Arial"/>
          <w:b w:val="0"/>
          <w:bCs/>
        </w:rPr>
        <w:t xml:space="preserve"> al Organismo, a la Oficina de Planeamiento y Presupuest</w:t>
      </w:r>
      <w:r w:rsidR="00471135">
        <w:rPr>
          <w:rFonts w:ascii="Arial" w:hAnsi="Arial" w:cs="Arial"/>
          <w:b w:val="0"/>
          <w:bCs/>
        </w:rPr>
        <w:t>o y a los Contadores Delegados;</w:t>
      </w:r>
    </w:p>
    <w:p w:rsidR="00610BB2" w:rsidRPr="00077C17" w:rsidRDefault="00610BB2" w:rsidP="00077C17">
      <w:pPr>
        <w:pStyle w:val="Textoindependiente2"/>
        <w:numPr>
          <w:ilvl w:val="0"/>
          <w:numId w:val="3"/>
        </w:numPr>
        <w:ind w:left="0" w:firstLine="426"/>
        <w:rPr>
          <w:rFonts w:ascii="Arial" w:hAnsi="Arial" w:cs="Arial"/>
          <w:bCs/>
        </w:rPr>
      </w:pPr>
      <w:r w:rsidRPr="00004175">
        <w:rPr>
          <w:rFonts w:ascii="Arial" w:hAnsi="Arial" w:cs="Arial"/>
          <w:b w:val="0"/>
          <w:bCs/>
        </w:rPr>
        <w:t>Dar cuenta a la Asamblea General.</w:t>
      </w:r>
    </w:p>
    <w:p w:rsidR="00077C17" w:rsidRDefault="00077C17" w:rsidP="00077C17">
      <w:pPr>
        <w:pStyle w:val="Textoindependiente2"/>
        <w:rPr>
          <w:rFonts w:ascii="Arial" w:hAnsi="Arial" w:cs="Arial"/>
          <w:b w:val="0"/>
          <w:bCs/>
        </w:rPr>
      </w:pPr>
    </w:p>
    <w:p w:rsidR="00963319" w:rsidRDefault="00963319" w:rsidP="00077C17">
      <w:pPr>
        <w:pStyle w:val="Textoindependiente2"/>
        <w:ind w:hanging="567"/>
        <w:rPr>
          <w:rFonts w:ascii="Arial" w:hAnsi="Arial" w:cs="Arial"/>
          <w:b w:val="0"/>
          <w:bCs/>
        </w:rPr>
      </w:pPr>
    </w:p>
    <w:p w:rsidR="00C147ED" w:rsidRPr="00697239" w:rsidRDefault="00C147ED" w:rsidP="00471135">
      <w:pPr>
        <w:spacing w:after="260" w:line="360" w:lineRule="auto"/>
        <w:jc w:val="center"/>
        <w:rPr>
          <w:rFonts w:cs="Arial"/>
        </w:rPr>
      </w:pPr>
      <w:r>
        <w:rPr>
          <w:rFonts w:cs="Arial"/>
          <w:b/>
        </w:rPr>
        <w:lastRenderedPageBreak/>
        <w:t>DICTAMEN</w:t>
      </w:r>
    </w:p>
    <w:p w:rsidR="00C147ED" w:rsidRPr="00963319" w:rsidRDefault="00C147ED" w:rsidP="00471135">
      <w:pPr>
        <w:spacing w:line="360" w:lineRule="auto"/>
        <w:jc w:val="both"/>
        <w:rPr>
          <w:rFonts w:cs="Arial"/>
        </w:rPr>
      </w:pPr>
      <w:r w:rsidRPr="00963319">
        <w:rPr>
          <w:rFonts w:cs="Arial"/>
        </w:rPr>
        <w:t xml:space="preserve">El Tribunal de Cuentas ha examinado el Estado de Ejecución Presupuestal del Banco </w:t>
      </w:r>
      <w:r>
        <w:rPr>
          <w:rFonts w:cs="Arial"/>
        </w:rPr>
        <w:t>de Seguros del Estado</w:t>
      </w:r>
      <w:r w:rsidRPr="00963319">
        <w:rPr>
          <w:rFonts w:cs="Arial"/>
        </w:rPr>
        <w:t xml:space="preserve"> (</w:t>
      </w:r>
      <w:r>
        <w:rPr>
          <w:rFonts w:cs="Arial"/>
        </w:rPr>
        <w:t>BSE</w:t>
      </w:r>
      <w:r w:rsidRPr="00963319">
        <w:rPr>
          <w:rFonts w:cs="Arial"/>
        </w:rPr>
        <w:t xml:space="preserve">), correspondiente al </w:t>
      </w:r>
      <w:r>
        <w:rPr>
          <w:rFonts w:cs="Arial"/>
        </w:rPr>
        <w:t>E</w:t>
      </w:r>
      <w:r w:rsidRPr="00963319">
        <w:rPr>
          <w:rFonts w:cs="Arial"/>
        </w:rPr>
        <w:t>jercicio finalizado el 31 de diciembre de 201</w:t>
      </w:r>
      <w:r>
        <w:rPr>
          <w:rFonts w:cs="Arial"/>
        </w:rPr>
        <w:t>4</w:t>
      </w:r>
      <w:r w:rsidRPr="00963319">
        <w:rPr>
          <w:rFonts w:cs="Arial"/>
        </w:rPr>
        <w:t>.</w:t>
      </w:r>
    </w:p>
    <w:p w:rsidR="00C147ED" w:rsidRPr="00963319" w:rsidRDefault="00C147ED" w:rsidP="00471135">
      <w:pPr>
        <w:spacing w:line="360" w:lineRule="auto"/>
        <w:jc w:val="both"/>
        <w:rPr>
          <w:rFonts w:cs="Arial"/>
        </w:rPr>
      </w:pPr>
      <w:r w:rsidRPr="00963319">
        <w:rPr>
          <w:rFonts w:cs="Arial"/>
        </w:rPr>
        <w:t>También se presentan en caso de corresponder, los incumplimientos legales constatados en el curso de la auditoría efectuada.</w:t>
      </w:r>
    </w:p>
    <w:p w:rsidR="00C147ED" w:rsidRDefault="00C147ED" w:rsidP="00471135">
      <w:pPr>
        <w:spacing w:line="360" w:lineRule="auto"/>
        <w:jc w:val="both"/>
        <w:rPr>
          <w:rFonts w:cs="Arial"/>
          <w:b/>
        </w:rPr>
      </w:pPr>
    </w:p>
    <w:p w:rsidR="00C147ED" w:rsidRPr="00963319" w:rsidRDefault="00C147ED" w:rsidP="00471135">
      <w:pPr>
        <w:spacing w:line="360" w:lineRule="auto"/>
        <w:jc w:val="both"/>
        <w:rPr>
          <w:rFonts w:cs="Arial"/>
          <w:b/>
        </w:rPr>
      </w:pPr>
      <w:r w:rsidRPr="00963319">
        <w:rPr>
          <w:rFonts w:cs="Arial"/>
          <w:b/>
        </w:rPr>
        <w:t>Responsabilidad de la Dirección por el estado de ejecución presupuestal</w:t>
      </w:r>
    </w:p>
    <w:p w:rsidR="00C147ED" w:rsidRDefault="00C147ED" w:rsidP="00471135">
      <w:pPr>
        <w:spacing w:line="360" w:lineRule="auto"/>
        <w:jc w:val="both"/>
        <w:rPr>
          <w:rFonts w:cs="Arial"/>
        </w:rPr>
      </w:pPr>
      <w:r w:rsidRPr="00963319">
        <w:rPr>
          <w:rFonts w:cs="Arial"/>
        </w:rPr>
        <w:t>La Dirección del</w:t>
      </w:r>
      <w:r w:rsidRPr="00963319">
        <w:rPr>
          <w:rFonts w:cs="Arial"/>
          <w:b/>
        </w:rPr>
        <w:t xml:space="preserve"> </w:t>
      </w:r>
      <w:r>
        <w:rPr>
          <w:rFonts w:cs="Arial"/>
        </w:rPr>
        <w:t>BSE</w:t>
      </w:r>
      <w:r w:rsidRPr="00963319">
        <w:rPr>
          <w:rFonts w:cs="Arial"/>
        </w:rPr>
        <w:t xml:space="preserve"> es responsable por la preparación y la razonable presentación de este estado de acuerdo con las normas establecidas en el TOCAF, en el Presupuesto vigente para el Ejercicio 201</w:t>
      </w:r>
      <w:r>
        <w:rPr>
          <w:rFonts w:cs="Arial"/>
        </w:rPr>
        <w:t>4</w:t>
      </w:r>
      <w:r w:rsidRPr="00963319">
        <w:rPr>
          <w:rFonts w:cs="Arial"/>
        </w:rPr>
        <w:t xml:space="preserve"> y en la Ordenanza</w:t>
      </w:r>
      <w:r>
        <w:rPr>
          <w:rFonts w:cs="Arial"/>
        </w:rPr>
        <w:t xml:space="preserve">  </w:t>
      </w:r>
      <w:r w:rsidRPr="00963319">
        <w:rPr>
          <w:rFonts w:cs="Arial"/>
        </w:rPr>
        <w:t xml:space="preserve"> N° 75 de fecha 16/09/1998 del Tribunal de Cuentas.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C147ED" w:rsidRPr="00963319" w:rsidRDefault="00C147ED" w:rsidP="00471135">
      <w:pPr>
        <w:spacing w:line="360" w:lineRule="auto"/>
        <w:jc w:val="both"/>
        <w:rPr>
          <w:rFonts w:cs="Arial"/>
        </w:rPr>
      </w:pPr>
    </w:p>
    <w:p w:rsidR="00C147ED" w:rsidRPr="00963319" w:rsidRDefault="00C147ED" w:rsidP="00471135">
      <w:pPr>
        <w:spacing w:line="360" w:lineRule="auto"/>
        <w:jc w:val="both"/>
        <w:rPr>
          <w:rFonts w:cs="Arial"/>
          <w:b/>
        </w:rPr>
      </w:pPr>
      <w:r w:rsidRPr="00963319">
        <w:rPr>
          <w:rFonts w:cs="Arial"/>
          <w:b/>
        </w:rPr>
        <w:t>Responsabilidad del auditor</w:t>
      </w:r>
    </w:p>
    <w:p w:rsidR="00C147ED" w:rsidRDefault="00C147ED" w:rsidP="00471135">
      <w:pPr>
        <w:spacing w:line="360" w:lineRule="auto"/>
        <w:jc w:val="both"/>
        <w:rPr>
          <w:rFonts w:cs="Arial"/>
        </w:rPr>
      </w:pPr>
      <w:r w:rsidRPr="00963319">
        <w:rPr>
          <w:rFonts w:cs="Arial"/>
        </w:rPr>
        <w:t>La responsabilidad del Tribunal de Cuentas es expresar una opinión sobre dicho estado de ejecución presupuestal basada en la auditoría realizada. Esta auditoría</w:t>
      </w:r>
      <w:r>
        <w:rPr>
          <w:rFonts w:cs="Arial"/>
        </w:rPr>
        <w:t xml:space="preserve"> fue practicada de acuerdo con </w:t>
      </w:r>
      <w:r w:rsidRPr="00963319">
        <w:rPr>
          <w:rFonts w:cs="Arial"/>
        </w:rPr>
        <w:t>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están lib</w:t>
      </w:r>
      <w:r w:rsidR="00471135">
        <w:rPr>
          <w:rFonts w:cs="Arial"/>
        </w:rPr>
        <w:t>res de errores significativos.</w:t>
      </w:r>
    </w:p>
    <w:p w:rsidR="00471135" w:rsidRPr="00963319" w:rsidRDefault="00471135" w:rsidP="00471135">
      <w:pPr>
        <w:spacing w:line="360" w:lineRule="auto"/>
        <w:jc w:val="both"/>
        <w:rPr>
          <w:rFonts w:cs="Arial"/>
        </w:rPr>
      </w:pPr>
    </w:p>
    <w:p w:rsidR="00C147ED" w:rsidRPr="00963319" w:rsidRDefault="00C147ED" w:rsidP="00471135">
      <w:pPr>
        <w:spacing w:after="260" w:line="360" w:lineRule="auto"/>
        <w:jc w:val="both"/>
        <w:rPr>
          <w:rFonts w:cs="Arial"/>
        </w:rPr>
      </w:pPr>
      <w:r w:rsidRPr="00963319">
        <w:rPr>
          <w:rFonts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el estado de ejecución presupuestal, ya sea debido a fraude o error. Al efectua</w:t>
      </w:r>
      <w:r>
        <w:rPr>
          <w:rFonts w:cs="Arial"/>
        </w:rPr>
        <w:t>r la evaluación de riesgos, el A</w:t>
      </w:r>
      <w:r w:rsidRPr="00963319">
        <w:rPr>
          <w:rFonts w:cs="Arial"/>
        </w:rPr>
        <w:t>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C147ED" w:rsidRPr="00963319" w:rsidRDefault="00C147ED" w:rsidP="00471135">
      <w:pPr>
        <w:spacing w:after="260" w:line="360" w:lineRule="auto"/>
        <w:jc w:val="both"/>
        <w:rPr>
          <w:rFonts w:cs="Arial"/>
        </w:rPr>
      </w:pPr>
      <w:r w:rsidRPr="00963319">
        <w:rPr>
          <w:rFonts w:cs="Arial"/>
        </w:rPr>
        <w:t>Se considera que la evidencia de auditoría obtenida brinda una base suficiente y apropiada para sustentar la opinión.</w:t>
      </w:r>
    </w:p>
    <w:p w:rsidR="00C147ED" w:rsidRPr="00963319" w:rsidRDefault="00C147ED" w:rsidP="00471135">
      <w:pPr>
        <w:spacing w:line="360" w:lineRule="auto"/>
        <w:jc w:val="both"/>
        <w:rPr>
          <w:rFonts w:cs="Arial"/>
          <w:b/>
        </w:rPr>
      </w:pPr>
      <w:r w:rsidRPr="00963319">
        <w:rPr>
          <w:rFonts w:cs="Arial"/>
          <w:b/>
        </w:rPr>
        <w:t>Opinión</w:t>
      </w:r>
    </w:p>
    <w:p w:rsidR="00C147ED" w:rsidRPr="00963319" w:rsidRDefault="00C147ED" w:rsidP="00471135">
      <w:pPr>
        <w:spacing w:line="360" w:lineRule="auto"/>
        <w:jc w:val="both"/>
        <w:rPr>
          <w:rFonts w:cs="Arial"/>
        </w:rPr>
      </w:pPr>
      <w:r w:rsidRPr="00BA269A">
        <w:rPr>
          <w:rFonts w:cs="Arial"/>
        </w:rPr>
        <w:t>En opinión del Tribunal de Cuentas, el Estado de Ejecución Presupuestal mencionado presenta razonablemente, en todos sus aspectos importantes, la ejecución presupuestal del BSE</w:t>
      </w:r>
      <w:r>
        <w:rPr>
          <w:rFonts w:cs="Arial"/>
        </w:rPr>
        <w:t xml:space="preserve"> correspondiente al E</w:t>
      </w:r>
      <w:r w:rsidRPr="00BA269A">
        <w:rPr>
          <w:rFonts w:cs="Arial"/>
        </w:rPr>
        <w:t>jercicio finalizado el 31 de diciembre de 2014, de acuerdo con las normas establecidas en el TOCAF, en el Presupuesto vigente para el Ejercicio 2014 y en la Ordenanza N° 75 de fecha 16/09/1998 del Tribunal de Cuentas.</w:t>
      </w:r>
    </w:p>
    <w:p w:rsidR="00C147ED" w:rsidRDefault="00C147ED" w:rsidP="00471135">
      <w:pPr>
        <w:pStyle w:val="Sangradetextonormal"/>
        <w:spacing w:after="0" w:line="360" w:lineRule="auto"/>
        <w:jc w:val="both"/>
        <w:rPr>
          <w:rFonts w:ascii="Arial" w:hAnsi="Arial" w:cs="Arial"/>
          <w:sz w:val="24"/>
          <w:szCs w:val="24"/>
        </w:rPr>
      </w:pPr>
    </w:p>
    <w:p w:rsidR="00C147ED" w:rsidRPr="0081163C" w:rsidRDefault="00C147ED" w:rsidP="00471135">
      <w:pPr>
        <w:pStyle w:val="Sangradetextonormal"/>
        <w:spacing w:after="0" w:line="360" w:lineRule="auto"/>
        <w:jc w:val="both"/>
        <w:rPr>
          <w:rFonts w:ascii="Arial" w:hAnsi="Arial" w:cs="Arial"/>
          <w:sz w:val="24"/>
          <w:szCs w:val="24"/>
        </w:rPr>
      </w:pPr>
      <w:r w:rsidRPr="0081163C">
        <w:rPr>
          <w:rFonts w:ascii="Arial" w:hAnsi="Arial" w:cs="Arial"/>
          <w:sz w:val="24"/>
          <w:szCs w:val="24"/>
        </w:rPr>
        <w:t xml:space="preserve">Con relación a la normativa vigente, en el curso de la auditoría realizada, se ha constatado </w:t>
      </w:r>
      <w:r>
        <w:rPr>
          <w:rFonts w:ascii="Arial" w:hAnsi="Arial" w:cs="Arial"/>
          <w:sz w:val="24"/>
          <w:szCs w:val="24"/>
        </w:rPr>
        <w:t>que no se ha dado cumplimiento con</w:t>
      </w:r>
      <w:r w:rsidRPr="0081163C">
        <w:rPr>
          <w:rFonts w:ascii="Arial" w:hAnsi="Arial" w:cs="Arial"/>
          <w:sz w:val="24"/>
          <w:szCs w:val="24"/>
        </w:rPr>
        <w:t>:</w:t>
      </w:r>
    </w:p>
    <w:p w:rsidR="00C147ED" w:rsidRPr="00E554C9" w:rsidRDefault="00C147ED" w:rsidP="00471135">
      <w:pPr>
        <w:pStyle w:val="Prrafodelista1"/>
        <w:widowControl w:val="0"/>
        <w:numPr>
          <w:ilvl w:val="0"/>
          <w:numId w:val="1"/>
        </w:numPr>
        <w:spacing w:after="0" w:line="360" w:lineRule="auto"/>
        <w:jc w:val="both"/>
        <w:rPr>
          <w:rFonts w:ascii="Arial" w:hAnsi="Arial" w:cs="Arial"/>
          <w:bCs/>
          <w:szCs w:val="24"/>
        </w:rPr>
      </w:pPr>
      <w:r w:rsidRPr="0081163C">
        <w:rPr>
          <w:rFonts w:ascii="Arial" w:eastAsia="Arial Unicode MS" w:hAnsi="Arial" w:cs="Arial"/>
          <w:bCs/>
          <w:szCs w:val="24"/>
          <w:lang w:val="es-ES"/>
        </w:rPr>
        <w:t>Artículo 15 del TOCAF, por haber comprometido gastos sin crédito disponible por un total de $</w:t>
      </w:r>
      <w:r>
        <w:rPr>
          <w:rFonts w:ascii="Arial" w:eastAsia="Arial Unicode MS" w:hAnsi="Arial" w:cs="Arial"/>
          <w:bCs/>
          <w:szCs w:val="24"/>
          <w:lang w:val="es-ES"/>
        </w:rPr>
        <w:t xml:space="preserve"> 61:669.767, </w:t>
      </w:r>
      <w:r w:rsidRPr="0050058B">
        <w:rPr>
          <w:rFonts w:ascii="Arial" w:eastAsia="Arial Unicode MS" w:hAnsi="Arial" w:cs="Arial"/>
          <w:bCs/>
          <w:szCs w:val="24"/>
          <w:lang w:val="es-ES"/>
        </w:rPr>
        <w:t>los que fueron observados por el Contador Delegado</w:t>
      </w:r>
      <w:r>
        <w:rPr>
          <w:rFonts w:ascii="Arial" w:eastAsia="Arial Unicode MS" w:hAnsi="Arial" w:cs="Arial"/>
          <w:bCs/>
          <w:szCs w:val="24"/>
          <w:lang w:val="es-ES"/>
        </w:rPr>
        <w:t xml:space="preserve"> </w:t>
      </w:r>
      <w:r w:rsidRPr="0001192C">
        <w:rPr>
          <w:rFonts w:ascii="Arial" w:hAnsi="Arial" w:cs="Arial"/>
          <w:bCs/>
          <w:szCs w:val="24"/>
        </w:rPr>
        <w:t>y reiterados por el Ordenador competente.</w:t>
      </w:r>
    </w:p>
    <w:p w:rsidR="00C147ED" w:rsidRPr="0001192C" w:rsidRDefault="00C147ED" w:rsidP="00471135">
      <w:pPr>
        <w:pStyle w:val="Prrafodelista1"/>
        <w:widowControl w:val="0"/>
        <w:numPr>
          <w:ilvl w:val="0"/>
          <w:numId w:val="1"/>
        </w:numPr>
        <w:spacing w:after="0" w:line="360" w:lineRule="auto"/>
        <w:jc w:val="both"/>
        <w:rPr>
          <w:rFonts w:ascii="Arial" w:hAnsi="Arial" w:cs="Arial"/>
          <w:bCs/>
          <w:szCs w:val="24"/>
        </w:rPr>
      </w:pPr>
      <w:r w:rsidRPr="0001192C">
        <w:rPr>
          <w:rFonts w:ascii="Arial" w:hAnsi="Arial" w:cs="Arial"/>
          <w:bCs/>
          <w:szCs w:val="24"/>
        </w:rPr>
        <w:t xml:space="preserve">Artículo 33 del TOCAF, </w:t>
      </w:r>
      <w:r>
        <w:rPr>
          <w:rFonts w:ascii="Arial" w:hAnsi="Arial" w:cs="Arial"/>
          <w:bCs/>
          <w:szCs w:val="24"/>
        </w:rPr>
        <w:t xml:space="preserve">por no haber cumplido con </w:t>
      </w:r>
      <w:r w:rsidRPr="0001192C">
        <w:rPr>
          <w:rFonts w:ascii="Arial" w:hAnsi="Arial" w:cs="Arial"/>
          <w:bCs/>
          <w:szCs w:val="24"/>
        </w:rPr>
        <w:t>las formalidades en la contratación de profesionales arancelados y en los montos correspondientes a las Licitaciones Abreviadas por un importe de</w:t>
      </w:r>
      <w:r>
        <w:rPr>
          <w:rFonts w:ascii="Arial" w:hAnsi="Arial" w:cs="Arial"/>
          <w:bCs/>
          <w:szCs w:val="24"/>
        </w:rPr>
        <w:t xml:space="preserve">                         $ 57:617.226, lo que fue observado por el Contador Delegado y reiterado</w:t>
      </w:r>
      <w:r w:rsidRPr="0001192C">
        <w:rPr>
          <w:rFonts w:ascii="Arial" w:hAnsi="Arial" w:cs="Arial"/>
          <w:bCs/>
          <w:szCs w:val="24"/>
        </w:rPr>
        <w:t xml:space="preserve"> por el Ordenador competente.</w:t>
      </w:r>
    </w:p>
    <w:p w:rsidR="00C147ED" w:rsidRPr="00E554C9" w:rsidRDefault="00C147ED" w:rsidP="00471135">
      <w:pPr>
        <w:pStyle w:val="Prrafodelista1"/>
        <w:widowControl w:val="0"/>
        <w:numPr>
          <w:ilvl w:val="0"/>
          <w:numId w:val="1"/>
        </w:numPr>
        <w:spacing w:after="0" w:line="360" w:lineRule="auto"/>
        <w:jc w:val="both"/>
        <w:rPr>
          <w:rFonts w:ascii="Arial" w:hAnsi="Arial" w:cs="Arial"/>
          <w:bCs/>
          <w:szCs w:val="24"/>
        </w:rPr>
      </w:pPr>
      <w:r w:rsidRPr="004667A9">
        <w:rPr>
          <w:rFonts w:ascii="Arial" w:eastAsia="Arial Unicode MS" w:hAnsi="Arial" w:cs="Arial"/>
          <w:bCs/>
          <w:szCs w:val="24"/>
          <w:lang w:val="es-ES"/>
        </w:rPr>
        <w:t>Artículo 46 del TOCAF, por haber realizado contrataciones por un importe de $</w:t>
      </w:r>
      <w:r>
        <w:rPr>
          <w:rFonts w:ascii="Arial" w:eastAsia="Arial Unicode MS" w:hAnsi="Arial" w:cs="Arial"/>
          <w:bCs/>
          <w:szCs w:val="24"/>
          <w:lang w:val="es-ES"/>
        </w:rPr>
        <w:t xml:space="preserve"> </w:t>
      </w:r>
      <w:r w:rsidRPr="004667A9">
        <w:rPr>
          <w:rFonts w:ascii="Arial" w:eastAsia="Arial Unicode MS" w:hAnsi="Arial" w:cs="Arial"/>
          <w:bCs/>
          <w:szCs w:val="24"/>
          <w:lang w:val="es-ES"/>
        </w:rPr>
        <w:t>8</w:t>
      </w:r>
      <w:r>
        <w:rPr>
          <w:rFonts w:ascii="Arial" w:eastAsia="Arial Unicode MS" w:hAnsi="Arial" w:cs="Arial"/>
          <w:bCs/>
          <w:szCs w:val="24"/>
          <w:lang w:val="es-ES"/>
        </w:rPr>
        <w:t>:</w:t>
      </w:r>
      <w:r w:rsidRPr="004667A9">
        <w:rPr>
          <w:rFonts w:ascii="Arial" w:eastAsia="Arial Unicode MS" w:hAnsi="Arial" w:cs="Arial"/>
          <w:bCs/>
          <w:szCs w:val="24"/>
          <w:lang w:val="es-ES"/>
        </w:rPr>
        <w:t>612.111</w:t>
      </w:r>
      <w:r>
        <w:rPr>
          <w:rFonts w:ascii="Arial" w:eastAsia="Arial Unicode MS" w:hAnsi="Arial" w:cs="Arial"/>
          <w:bCs/>
          <w:szCs w:val="24"/>
          <w:lang w:val="es-ES"/>
        </w:rPr>
        <w:t xml:space="preserve"> </w:t>
      </w:r>
      <w:r w:rsidRPr="004667A9">
        <w:rPr>
          <w:rFonts w:ascii="Arial" w:eastAsia="Arial Unicode MS" w:hAnsi="Arial" w:cs="Arial"/>
          <w:bCs/>
          <w:szCs w:val="24"/>
          <w:lang w:val="es-ES"/>
        </w:rPr>
        <w:t xml:space="preserve">sin considerar los requisitos dispuestos en dicha norma, lo que fue observado por </w:t>
      </w:r>
      <w:r>
        <w:rPr>
          <w:rFonts w:ascii="Arial" w:eastAsia="Arial Unicode MS" w:hAnsi="Arial" w:cs="Arial"/>
          <w:bCs/>
          <w:szCs w:val="24"/>
          <w:lang w:val="es-ES"/>
        </w:rPr>
        <w:t xml:space="preserve">el Contador Delegado </w:t>
      </w:r>
      <w:r>
        <w:rPr>
          <w:rFonts w:ascii="Arial" w:hAnsi="Arial" w:cs="Arial"/>
          <w:bCs/>
          <w:szCs w:val="24"/>
        </w:rPr>
        <w:t>y reiterado</w:t>
      </w:r>
      <w:r w:rsidRPr="0001192C">
        <w:rPr>
          <w:rFonts w:ascii="Arial" w:hAnsi="Arial" w:cs="Arial"/>
          <w:bCs/>
          <w:szCs w:val="24"/>
        </w:rPr>
        <w:t xml:space="preserve"> por el Ordenador competente.</w:t>
      </w:r>
    </w:p>
    <w:p w:rsidR="00C147ED" w:rsidRPr="00C559EF" w:rsidRDefault="00C147ED" w:rsidP="00471135">
      <w:pPr>
        <w:pStyle w:val="Prrafodelista1"/>
        <w:widowControl w:val="0"/>
        <w:numPr>
          <w:ilvl w:val="0"/>
          <w:numId w:val="1"/>
        </w:numPr>
        <w:spacing w:after="0" w:line="360" w:lineRule="auto"/>
        <w:jc w:val="both"/>
        <w:rPr>
          <w:rFonts w:ascii="Arial" w:hAnsi="Arial" w:cs="Arial"/>
          <w:bCs/>
          <w:szCs w:val="24"/>
        </w:rPr>
      </w:pPr>
      <w:r w:rsidRPr="0081163C">
        <w:rPr>
          <w:rFonts w:ascii="Arial" w:hAnsi="Arial" w:cs="Arial"/>
          <w:bCs/>
          <w:szCs w:val="24"/>
        </w:rPr>
        <w:t>Artículo 643 de la Ley Nº 16.170, Decreto 161/991 y Decr</w:t>
      </w:r>
      <w:r>
        <w:rPr>
          <w:rFonts w:ascii="Arial" w:hAnsi="Arial" w:cs="Arial"/>
          <w:bCs/>
          <w:szCs w:val="24"/>
        </w:rPr>
        <w:t>eto 436/002 debido a que en el E</w:t>
      </w:r>
      <w:r w:rsidRPr="0081163C">
        <w:rPr>
          <w:rFonts w:ascii="Arial" w:hAnsi="Arial" w:cs="Arial"/>
          <w:bCs/>
          <w:szCs w:val="24"/>
        </w:rPr>
        <w:t>jercicio 201</w:t>
      </w:r>
      <w:r>
        <w:rPr>
          <w:rFonts w:ascii="Arial" w:hAnsi="Arial" w:cs="Arial"/>
          <w:bCs/>
          <w:szCs w:val="24"/>
        </w:rPr>
        <w:t>4</w:t>
      </w:r>
      <w:r w:rsidRPr="0081163C">
        <w:rPr>
          <w:rFonts w:ascii="Arial" w:hAnsi="Arial" w:cs="Arial"/>
          <w:bCs/>
          <w:szCs w:val="24"/>
        </w:rPr>
        <w:t xml:space="preserve"> no se realizaron transferencias al Ministerio de Economía y Finanzas.</w:t>
      </w:r>
    </w:p>
    <w:p w:rsidR="00C147ED" w:rsidRPr="005D11C3" w:rsidRDefault="00C147ED" w:rsidP="00471135">
      <w:pPr>
        <w:pStyle w:val="Prrafodelista1"/>
        <w:widowControl w:val="0"/>
        <w:numPr>
          <w:ilvl w:val="0"/>
          <w:numId w:val="1"/>
        </w:numPr>
        <w:spacing w:after="0" w:line="360" w:lineRule="auto"/>
        <w:jc w:val="both"/>
        <w:rPr>
          <w:rFonts w:ascii="Arial" w:hAnsi="Arial" w:cs="Arial"/>
          <w:bCs/>
          <w:szCs w:val="24"/>
        </w:rPr>
      </w:pPr>
      <w:r w:rsidRPr="005D11C3">
        <w:rPr>
          <w:rFonts w:ascii="Arial" w:eastAsia="Arial Unicode MS" w:hAnsi="Arial" w:cs="Arial"/>
          <w:bCs/>
          <w:szCs w:val="24"/>
          <w:lang w:val="es-ES"/>
        </w:rPr>
        <w:t xml:space="preserve">Artículo 14 del Decreto 336/2013 en lo relacionado con la cláusula 4 del Convenio Salarial suscrito el 19/12/2007, </w:t>
      </w:r>
      <w:r>
        <w:rPr>
          <w:rFonts w:ascii="Arial" w:eastAsia="Arial Unicode MS" w:hAnsi="Arial" w:cs="Arial"/>
          <w:bCs/>
          <w:szCs w:val="24"/>
          <w:lang w:val="es-ES"/>
        </w:rPr>
        <w:t xml:space="preserve">ya </w:t>
      </w:r>
      <w:r w:rsidRPr="005D11C3">
        <w:rPr>
          <w:rFonts w:ascii="Arial" w:eastAsia="Arial Unicode MS" w:hAnsi="Arial" w:cs="Arial"/>
          <w:bCs/>
          <w:szCs w:val="24"/>
          <w:lang w:val="es-ES"/>
        </w:rPr>
        <w:t>que el pago de horas extras excede el 1% de la masa salarial ejecutada.</w:t>
      </w:r>
    </w:p>
    <w:p w:rsidR="00C147ED" w:rsidRDefault="00C147ED" w:rsidP="00471135">
      <w:pPr>
        <w:pStyle w:val="Prrafodelista1"/>
        <w:widowControl w:val="0"/>
        <w:numPr>
          <w:ilvl w:val="0"/>
          <w:numId w:val="1"/>
        </w:numPr>
        <w:spacing w:after="0" w:line="360" w:lineRule="auto"/>
        <w:jc w:val="both"/>
        <w:rPr>
          <w:rFonts w:ascii="Arial" w:hAnsi="Arial" w:cs="Arial"/>
          <w:bCs/>
          <w:szCs w:val="24"/>
        </w:rPr>
      </w:pPr>
      <w:r w:rsidRPr="005D11C3">
        <w:rPr>
          <w:rFonts w:ascii="Arial" w:hAnsi="Arial" w:cs="Arial"/>
          <w:bCs/>
          <w:szCs w:val="24"/>
        </w:rPr>
        <w:t xml:space="preserve">Artículo 5 de la Ley </w:t>
      </w:r>
      <w:r>
        <w:rPr>
          <w:rFonts w:ascii="Arial" w:hAnsi="Arial" w:cs="Arial"/>
          <w:bCs/>
          <w:szCs w:val="24"/>
        </w:rPr>
        <w:t xml:space="preserve">Nº </w:t>
      </w:r>
      <w:r w:rsidRPr="005D11C3">
        <w:rPr>
          <w:rFonts w:ascii="Arial" w:hAnsi="Arial" w:cs="Arial"/>
          <w:bCs/>
          <w:szCs w:val="24"/>
        </w:rPr>
        <w:t>18.381 y Artículo</w:t>
      </w:r>
      <w:r>
        <w:rPr>
          <w:rFonts w:ascii="Arial" w:hAnsi="Arial" w:cs="Arial"/>
          <w:bCs/>
          <w:szCs w:val="24"/>
        </w:rPr>
        <w:t>s</w:t>
      </w:r>
      <w:r w:rsidRPr="005D11C3">
        <w:rPr>
          <w:rFonts w:ascii="Arial" w:hAnsi="Arial" w:cs="Arial"/>
          <w:bCs/>
          <w:szCs w:val="24"/>
        </w:rPr>
        <w:t xml:space="preserve"> 18 y 38 del Decreto 232/2010, al no publicar la totalidad de la información requerida, en el Sitio web del Organismo.</w:t>
      </w:r>
    </w:p>
    <w:p w:rsidR="00C147ED" w:rsidRDefault="00C147ED" w:rsidP="00471135">
      <w:pPr>
        <w:pStyle w:val="Prrafodelista1"/>
        <w:widowControl w:val="0"/>
        <w:numPr>
          <w:ilvl w:val="0"/>
          <w:numId w:val="1"/>
        </w:numPr>
        <w:spacing w:after="0" w:line="360" w:lineRule="auto"/>
        <w:jc w:val="both"/>
        <w:rPr>
          <w:rFonts w:ascii="Arial" w:hAnsi="Arial" w:cs="Arial"/>
          <w:bCs/>
          <w:szCs w:val="24"/>
        </w:rPr>
      </w:pPr>
      <w:r>
        <w:rPr>
          <w:rFonts w:ascii="Arial" w:hAnsi="Arial" w:cs="Arial"/>
          <w:bCs/>
          <w:szCs w:val="24"/>
        </w:rPr>
        <w:t>Artículo 468 de la Ley N°17.296 y Artículo 413 de la Ley Nº 17.930, al incurrir en error en el cálculo y pago de la Tasa del Tribunal de Cuentas en el trimestre enero – marzo 2014.</w:t>
      </w:r>
    </w:p>
    <w:p w:rsidR="00C147ED" w:rsidRDefault="00C147ED" w:rsidP="00471135">
      <w:pPr>
        <w:pStyle w:val="Prrafodelista1"/>
        <w:widowControl w:val="0"/>
        <w:numPr>
          <w:ilvl w:val="0"/>
          <w:numId w:val="1"/>
        </w:numPr>
        <w:spacing w:after="0" w:line="360" w:lineRule="auto"/>
        <w:jc w:val="both"/>
        <w:rPr>
          <w:rFonts w:ascii="Arial" w:hAnsi="Arial" w:cs="Arial"/>
          <w:bCs/>
          <w:szCs w:val="24"/>
        </w:rPr>
      </w:pPr>
      <w:r w:rsidRPr="005D11C3">
        <w:rPr>
          <w:rFonts w:ascii="Arial" w:hAnsi="Arial" w:cs="Arial"/>
          <w:bCs/>
          <w:szCs w:val="24"/>
        </w:rPr>
        <w:t>Ordenanza N° 85, por no comunicar la totalidad de las Sentencias que condenen al Estado al pago de una cantidad líquida y exigible, al Tribunal de Cuentas.</w:t>
      </w:r>
    </w:p>
    <w:p w:rsidR="00C147ED" w:rsidRDefault="00C147ED" w:rsidP="00471135">
      <w:pPr>
        <w:pStyle w:val="Prrafodelista1"/>
        <w:widowControl w:val="0"/>
        <w:numPr>
          <w:ilvl w:val="0"/>
          <w:numId w:val="1"/>
        </w:numPr>
        <w:spacing w:after="0" w:line="360" w:lineRule="auto"/>
        <w:jc w:val="both"/>
        <w:rPr>
          <w:rFonts w:ascii="Arial" w:hAnsi="Arial" w:cs="Arial"/>
          <w:bCs/>
          <w:szCs w:val="24"/>
        </w:rPr>
      </w:pPr>
      <w:r>
        <w:rPr>
          <w:rFonts w:ascii="Arial" w:hAnsi="Arial" w:cs="Arial"/>
          <w:bCs/>
          <w:szCs w:val="24"/>
        </w:rPr>
        <w:t xml:space="preserve">Artículo 5 </w:t>
      </w:r>
      <w:r w:rsidRPr="00BA269A">
        <w:rPr>
          <w:rFonts w:ascii="Arial" w:hAnsi="Arial" w:cs="Arial"/>
          <w:bCs/>
          <w:szCs w:val="24"/>
        </w:rPr>
        <w:t>Convenio N° 30 de OIT ratificado por la Ley N° 8.950 de 5/5/1933 y la Ordenanza N° 61 del Tribunal de Cuentas, por realizar algunos funcionarios un número de horas extras mayor al permitido por dicha norma.</w:t>
      </w:r>
    </w:p>
    <w:p w:rsidR="00C147ED" w:rsidRPr="00142395" w:rsidRDefault="00C147ED" w:rsidP="00471135">
      <w:pPr>
        <w:pStyle w:val="Prrafodelista1"/>
        <w:widowControl w:val="0"/>
        <w:spacing w:after="260" w:line="360" w:lineRule="auto"/>
        <w:ind w:left="0"/>
        <w:jc w:val="both"/>
        <w:rPr>
          <w:rFonts w:ascii="Arial" w:hAnsi="Arial" w:cs="Arial"/>
          <w:szCs w:val="24"/>
        </w:rPr>
      </w:pPr>
      <w:r w:rsidRPr="00BA269A">
        <w:rPr>
          <w:rFonts w:ascii="Arial" w:hAnsi="Arial" w:cs="Arial"/>
          <w:szCs w:val="24"/>
        </w:rPr>
        <w:t>Los gastos observados por los Contadores Deleg</w:t>
      </w:r>
      <w:r>
        <w:rPr>
          <w:rFonts w:ascii="Arial" w:hAnsi="Arial" w:cs="Arial"/>
          <w:szCs w:val="24"/>
        </w:rPr>
        <w:t>ados fueron reiterados por los O</w:t>
      </w:r>
      <w:r w:rsidRPr="00BA269A">
        <w:rPr>
          <w:rFonts w:ascii="Arial" w:hAnsi="Arial" w:cs="Arial"/>
          <w:szCs w:val="24"/>
        </w:rPr>
        <w:t>rdenadores competentes y comunicados a este Tribunal.</w:t>
      </w:r>
    </w:p>
    <w:p w:rsidR="00C147ED" w:rsidRDefault="00C147ED" w:rsidP="00471135">
      <w:pPr>
        <w:jc w:val="right"/>
        <w:rPr>
          <w:rFonts w:cs="Arial"/>
        </w:rPr>
      </w:pPr>
      <w:r w:rsidRPr="00B50B6E">
        <w:rPr>
          <w:rFonts w:cs="Arial"/>
        </w:rPr>
        <w:t>Montevideo 2</w:t>
      </w:r>
      <w:r>
        <w:rPr>
          <w:rFonts w:cs="Arial"/>
        </w:rPr>
        <w:t>6</w:t>
      </w:r>
      <w:r w:rsidR="00471135">
        <w:rPr>
          <w:rFonts w:cs="Arial"/>
        </w:rPr>
        <w:t xml:space="preserve"> de noviembre de 2015</w:t>
      </w:r>
    </w:p>
    <w:p w:rsidR="00C147ED" w:rsidRDefault="00C147ED" w:rsidP="00471135">
      <w:pPr>
        <w:jc w:val="right"/>
        <w:rPr>
          <w:rFonts w:cs="Arial"/>
        </w:rPr>
      </w:pPr>
    </w:p>
    <w:p w:rsidR="00C147ED" w:rsidRDefault="00C147ED" w:rsidP="00471135">
      <w:pPr>
        <w:jc w:val="right"/>
        <w:rPr>
          <w:rFonts w:cs="Arial"/>
        </w:rPr>
      </w:pPr>
    </w:p>
    <w:p w:rsidR="00C147ED" w:rsidRDefault="00C147ED" w:rsidP="00471135">
      <w:pPr>
        <w:jc w:val="right"/>
        <w:rPr>
          <w:rFonts w:cs="Arial"/>
        </w:rPr>
      </w:pPr>
    </w:p>
    <w:p w:rsidR="00C147ED" w:rsidRPr="00963319" w:rsidRDefault="00C147ED" w:rsidP="00471135">
      <w:pPr>
        <w:pStyle w:val="Ttulo7"/>
        <w:spacing w:before="0" w:after="0" w:line="360" w:lineRule="auto"/>
        <w:ind w:left="720" w:hanging="720"/>
        <w:jc w:val="center"/>
        <w:rPr>
          <w:rFonts w:ascii="Arial" w:hAnsi="Arial" w:cs="Arial"/>
          <w:b/>
          <w:bCs/>
        </w:rPr>
      </w:pPr>
      <w:r w:rsidRPr="00963319">
        <w:rPr>
          <w:rFonts w:ascii="Arial" w:hAnsi="Arial" w:cs="Arial"/>
          <w:b/>
          <w:bCs/>
        </w:rPr>
        <w:t>INFORME A LA ADMINISTRACIÓN</w:t>
      </w:r>
    </w:p>
    <w:p w:rsidR="00C147ED" w:rsidRPr="00963319" w:rsidRDefault="00C147ED" w:rsidP="00471135">
      <w:pPr>
        <w:suppressAutoHyphens/>
        <w:spacing w:line="360" w:lineRule="auto"/>
        <w:jc w:val="both"/>
        <w:rPr>
          <w:rFonts w:cs="Arial"/>
          <w:spacing w:val="-3"/>
          <w:lang w:val="es-ES_tradnl"/>
        </w:rPr>
      </w:pPr>
    </w:p>
    <w:p w:rsidR="00C147ED" w:rsidRPr="00963319" w:rsidRDefault="00C147ED" w:rsidP="00471135">
      <w:pPr>
        <w:pStyle w:val="Textoindependiente"/>
        <w:rPr>
          <w:rFonts w:ascii="Arial" w:hAnsi="Arial" w:cs="Arial"/>
        </w:rPr>
      </w:pPr>
      <w:r w:rsidRPr="00963319">
        <w:rPr>
          <w:rFonts w:ascii="Arial" w:hAnsi="Arial" w:cs="Arial"/>
        </w:rPr>
        <w:t xml:space="preserve">El Tribunal de Cuentas ha examinado el Estado de Ejecución Presupuestal del Banco </w:t>
      </w:r>
      <w:r>
        <w:rPr>
          <w:rFonts w:ascii="Arial" w:hAnsi="Arial" w:cs="Arial"/>
        </w:rPr>
        <w:t>de Seguros del Estado</w:t>
      </w:r>
      <w:r w:rsidRPr="00963319">
        <w:rPr>
          <w:rFonts w:ascii="Arial" w:hAnsi="Arial" w:cs="Arial"/>
        </w:rPr>
        <w:t xml:space="preserve"> (B</w:t>
      </w:r>
      <w:r>
        <w:rPr>
          <w:rFonts w:ascii="Arial" w:hAnsi="Arial" w:cs="Arial"/>
        </w:rPr>
        <w:t>SE) correspondiente al E</w:t>
      </w:r>
      <w:r w:rsidRPr="00963319">
        <w:rPr>
          <w:rFonts w:ascii="Arial" w:hAnsi="Arial" w:cs="Arial"/>
        </w:rPr>
        <w:t>jercicio 201</w:t>
      </w:r>
      <w:r>
        <w:rPr>
          <w:rFonts w:ascii="Arial" w:hAnsi="Arial" w:cs="Arial"/>
        </w:rPr>
        <w:t>4</w:t>
      </w:r>
      <w:r w:rsidRPr="00963319">
        <w:rPr>
          <w:rFonts w:ascii="Arial" w:hAnsi="Arial" w:cs="Arial"/>
        </w:rPr>
        <w:t xml:space="preserve"> y ha emitido su Dictamen.</w:t>
      </w:r>
    </w:p>
    <w:p w:rsidR="00C147ED" w:rsidRPr="00963319" w:rsidRDefault="00C147ED" w:rsidP="00471135">
      <w:pPr>
        <w:suppressAutoHyphens/>
        <w:spacing w:line="360" w:lineRule="auto"/>
        <w:jc w:val="both"/>
        <w:rPr>
          <w:rFonts w:cs="Arial"/>
          <w:spacing w:val="-3"/>
          <w:lang w:val="es-ES_tradnl"/>
        </w:rPr>
      </w:pPr>
      <w:r w:rsidRPr="00963319">
        <w:rPr>
          <w:rFonts w:cs="Arial"/>
          <w:spacing w:val="-3"/>
          <w:lang w:val="es-ES_tradnl"/>
        </w:rPr>
        <w:t>Este informe incluye comentarios que se ha entendido conveniente exponer, relacionados con la evaluación del sistema de control interno de la situación de determinados capítulos y rubros del estado examinado y las disposiciones legales vigentes.</w:t>
      </w:r>
    </w:p>
    <w:p w:rsidR="00C147ED" w:rsidRPr="00963319" w:rsidRDefault="00C147ED" w:rsidP="00471135">
      <w:pPr>
        <w:suppressAutoHyphens/>
        <w:spacing w:line="360" w:lineRule="auto"/>
        <w:jc w:val="both"/>
        <w:rPr>
          <w:rFonts w:cs="Arial"/>
          <w:spacing w:val="-3"/>
          <w:lang w:val="es-ES_tradnl"/>
        </w:rPr>
      </w:pPr>
      <w:r w:rsidRPr="00963319">
        <w:rPr>
          <w:rFonts w:cs="Arial"/>
          <w:spacing w:val="-3"/>
          <w:lang w:val="es-ES_tradnl"/>
        </w:rPr>
        <w:t xml:space="preserve">También se agregan las principales recomendaciones que </w:t>
      </w:r>
      <w:proofErr w:type="gramStart"/>
      <w:r>
        <w:rPr>
          <w:rFonts w:cs="Arial"/>
          <w:spacing w:val="-3"/>
          <w:lang w:val="es-ES_tradnl"/>
        </w:rPr>
        <w:t>deberá</w:t>
      </w:r>
      <w:proofErr w:type="gramEnd"/>
      <w:r w:rsidRPr="00963319">
        <w:rPr>
          <w:rFonts w:cs="Arial"/>
          <w:spacing w:val="-3"/>
          <w:lang w:val="es-ES_tradnl"/>
        </w:rPr>
        <w:t xml:space="preserve"> atender el Organismo y una evaluación del cumplimiento de las recomendaciones señaladas en el Informe de Auditoría correspondiente al </w:t>
      </w:r>
      <w:r>
        <w:rPr>
          <w:rFonts w:cs="Arial"/>
          <w:spacing w:val="-3"/>
          <w:lang w:val="es-ES_tradnl"/>
        </w:rPr>
        <w:t>E</w:t>
      </w:r>
      <w:r w:rsidRPr="00963319">
        <w:rPr>
          <w:rFonts w:cs="Arial"/>
          <w:spacing w:val="-3"/>
          <w:lang w:val="es-ES_tradnl"/>
        </w:rPr>
        <w:t>jercicio anterior.</w:t>
      </w:r>
    </w:p>
    <w:p w:rsidR="00C147ED" w:rsidRPr="00963319" w:rsidRDefault="00C147ED" w:rsidP="00471135">
      <w:pPr>
        <w:suppressAutoHyphens/>
        <w:spacing w:line="360" w:lineRule="auto"/>
        <w:jc w:val="both"/>
        <w:rPr>
          <w:rFonts w:cs="Arial"/>
          <w:spacing w:val="-3"/>
          <w:lang w:val="es-ES_tradnl"/>
        </w:rPr>
      </w:pPr>
    </w:p>
    <w:p w:rsidR="00C147ED" w:rsidRPr="00963319" w:rsidRDefault="00C147ED" w:rsidP="00C147ED">
      <w:pPr>
        <w:numPr>
          <w:ilvl w:val="0"/>
          <w:numId w:val="2"/>
        </w:numPr>
        <w:suppressAutoHyphens/>
        <w:spacing w:line="360" w:lineRule="auto"/>
        <w:jc w:val="both"/>
        <w:rPr>
          <w:rFonts w:cs="Arial"/>
          <w:b/>
          <w:bCs/>
          <w:spacing w:val="-3"/>
          <w:lang w:val="es-ES_tradnl"/>
        </w:rPr>
      </w:pPr>
      <w:r w:rsidRPr="00963319">
        <w:rPr>
          <w:rFonts w:cs="Arial"/>
          <w:b/>
          <w:bCs/>
          <w:spacing w:val="-3"/>
          <w:lang w:val="es-ES_tradnl"/>
        </w:rPr>
        <w:t>Aprobación y presentación del Estado de Ejecución Presupuestal</w:t>
      </w:r>
    </w:p>
    <w:p w:rsidR="00C147ED" w:rsidRPr="00963319" w:rsidRDefault="00C147ED" w:rsidP="00471135">
      <w:pPr>
        <w:suppressAutoHyphens/>
        <w:spacing w:line="360" w:lineRule="auto"/>
        <w:jc w:val="both"/>
        <w:rPr>
          <w:rFonts w:cs="Arial"/>
          <w:spacing w:val="-3"/>
          <w:lang w:val="es-ES_tradnl"/>
        </w:rPr>
      </w:pPr>
      <w:r w:rsidRPr="00963319">
        <w:rPr>
          <w:rFonts w:cs="Arial"/>
          <w:spacing w:val="-3"/>
          <w:lang w:val="es-ES_tradnl"/>
        </w:rPr>
        <w:t xml:space="preserve">El mencionado Estado de Ejecución Presupuestal fue aprobado por Resolución de Directorio Nº </w:t>
      </w:r>
      <w:r>
        <w:rPr>
          <w:rFonts w:cs="Arial"/>
          <w:spacing w:val="-3"/>
          <w:lang w:val="es-ES_tradnl"/>
        </w:rPr>
        <w:t>0277/2015</w:t>
      </w:r>
      <w:r w:rsidRPr="00963319">
        <w:rPr>
          <w:rFonts w:cs="Arial"/>
          <w:spacing w:val="-3"/>
          <w:lang w:val="es-ES_tradnl"/>
        </w:rPr>
        <w:t xml:space="preserve"> de fecha </w:t>
      </w:r>
      <w:r>
        <w:rPr>
          <w:rFonts w:cs="Arial"/>
          <w:spacing w:val="-3"/>
          <w:lang w:val="es-ES_tradnl"/>
        </w:rPr>
        <w:t>13</w:t>
      </w:r>
      <w:r w:rsidRPr="00963319">
        <w:rPr>
          <w:rFonts w:cs="Arial"/>
          <w:spacing w:val="-3"/>
          <w:lang w:val="es-ES_tradnl"/>
        </w:rPr>
        <w:t>/05/201</w:t>
      </w:r>
      <w:r>
        <w:rPr>
          <w:rFonts w:cs="Arial"/>
          <w:spacing w:val="-3"/>
          <w:lang w:val="es-ES_tradnl"/>
        </w:rPr>
        <w:t>5</w:t>
      </w:r>
      <w:r w:rsidRPr="00963319">
        <w:rPr>
          <w:rFonts w:cs="Arial"/>
          <w:spacing w:val="-3"/>
          <w:lang w:val="es-ES_tradnl"/>
        </w:rPr>
        <w:t xml:space="preserve"> y remitido a este Tribunal por Nota N</w:t>
      </w:r>
      <w:r w:rsidRPr="00963319">
        <w:rPr>
          <w:rFonts w:cs="Arial"/>
          <w:lang w:val="es-ES_tradnl"/>
        </w:rPr>
        <w:t>º</w:t>
      </w:r>
      <w:r w:rsidRPr="00963319">
        <w:rPr>
          <w:rFonts w:cs="Arial"/>
          <w:spacing w:val="-3"/>
          <w:lang w:val="es-ES_tradnl"/>
        </w:rPr>
        <w:t xml:space="preserve"> </w:t>
      </w:r>
      <w:r>
        <w:rPr>
          <w:rFonts w:cs="Arial"/>
          <w:spacing w:val="-3"/>
          <w:lang w:val="es-ES_tradnl"/>
        </w:rPr>
        <w:t xml:space="preserve">53/2015 </w:t>
      </w:r>
      <w:r w:rsidRPr="00963319">
        <w:rPr>
          <w:rFonts w:cs="Arial"/>
          <w:spacing w:val="-3"/>
          <w:lang w:val="es-ES_tradnl"/>
        </w:rPr>
        <w:t>de</w:t>
      </w:r>
      <w:r>
        <w:rPr>
          <w:rFonts w:cs="Arial"/>
          <w:spacing w:val="-3"/>
          <w:lang w:val="es-ES_tradnl"/>
        </w:rPr>
        <w:t>l 20 de mayo de 2015, dando cumplimiento con</w:t>
      </w:r>
      <w:r w:rsidRPr="00963319">
        <w:rPr>
          <w:rFonts w:cs="Arial"/>
          <w:spacing w:val="-3"/>
          <w:lang w:val="es-ES_tradnl"/>
        </w:rPr>
        <w:t xml:space="preserve"> lo establecido en el Numeral 1 de la Ordenanza Nº 75 de 16/09/1998.</w:t>
      </w:r>
    </w:p>
    <w:p w:rsidR="00C147ED" w:rsidRDefault="00C147ED" w:rsidP="00471135">
      <w:pPr>
        <w:suppressAutoHyphens/>
        <w:spacing w:line="360" w:lineRule="auto"/>
        <w:jc w:val="both"/>
        <w:rPr>
          <w:rFonts w:cs="Arial"/>
          <w:spacing w:val="-3"/>
          <w:lang w:val="es-ES_tradnl"/>
        </w:rPr>
      </w:pPr>
      <w:r w:rsidRPr="00963319">
        <w:rPr>
          <w:rFonts w:cs="Arial"/>
          <w:spacing w:val="-3"/>
          <w:lang w:val="es-ES_tradnl"/>
        </w:rPr>
        <w:t>Los créditos definitivos expuestos en el referido estado comprenden las asignaciones del Presupuesto 201</w:t>
      </w:r>
      <w:r>
        <w:rPr>
          <w:rFonts w:cs="Arial"/>
          <w:spacing w:val="-3"/>
          <w:lang w:val="es-ES_tradnl"/>
        </w:rPr>
        <w:t>4</w:t>
      </w:r>
      <w:r w:rsidRPr="00963319">
        <w:rPr>
          <w:rFonts w:cs="Arial"/>
          <w:spacing w:val="-3"/>
          <w:lang w:val="es-ES_tradnl"/>
        </w:rPr>
        <w:t xml:space="preserve">, aprobado por Decreto Nº </w:t>
      </w:r>
      <w:r>
        <w:rPr>
          <w:rFonts w:cs="Arial"/>
          <w:spacing w:val="-3"/>
          <w:lang w:val="es-ES_tradnl"/>
        </w:rPr>
        <w:t>336/013</w:t>
      </w:r>
      <w:r w:rsidRPr="00963319">
        <w:rPr>
          <w:rFonts w:cs="Arial"/>
          <w:spacing w:val="-3"/>
          <w:lang w:val="es-ES_tradnl"/>
        </w:rPr>
        <w:t xml:space="preserve"> de</w:t>
      </w:r>
      <w:r>
        <w:rPr>
          <w:rFonts w:cs="Arial"/>
          <w:spacing w:val="-3"/>
          <w:lang w:val="es-ES_tradnl"/>
        </w:rPr>
        <w:t>l</w:t>
      </w:r>
      <w:r w:rsidRPr="00963319">
        <w:rPr>
          <w:rFonts w:cs="Arial"/>
          <w:spacing w:val="-3"/>
          <w:lang w:val="es-ES_tradnl"/>
        </w:rPr>
        <w:t xml:space="preserve"> </w:t>
      </w:r>
      <w:r>
        <w:rPr>
          <w:rFonts w:cs="Arial"/>
          <w:spacing w:val="-3"/>
          <w:lang w:val="es-ES_tradnl"/>
        </w:rPr>
        <w:t>21/10/2013</w:t>
      </w:r>
      <w:r w:rsidRPr="00963319">
        <w:rPr>
          <w:rFonts w:cs="Arial"/>
          <w:spacing w:val="-3"/>
          <w:lang w:val="es-ES_tradnl"/>
        </w:rPr>
        <w:t xml:space="preserve"> y las correspondientes trasposiciones y adecuaciones realizadas durante</w:t>
      </w:r>
      <w:r>
        <w:rPr>
          <w:rFonts w:cs="Arial"/>
          <w:spacing w:val="-3"/>
          <w:lang w:val="es-ES_tradnl"/>
        </w:rPr>
        <w:t xml:space="preserve"> el E</w:t>
      </w:r>
      <w:r w:rsidRPr="00963319">
        <w:rPr>
          <w:rFonts w:cs="Arial"/>
          <w:spacing w:val="-3"/>
          <w:lang w:val="es-ES_tradnl"/>
        </w:rPr>
        <w:t>jercicio 201</w:t>
      </w:r>
      <w:r>
        <w:rPr>
          <w:rFonts w:cs="Arial"/>
          <w:spacing w:val="-3"/>
          <w:lang w:val="es-ES_tradnl"/>
        </w:rPr>
        <w:t>4</w:t>
      </w:r>
      <w:r w:rsidRPr="00963319">
        <w:rPr>
          <w:rFonts w:cs="Arial"/>
          <w:spacing w:val="-3"/>
          <w:lang w:val="es-ES_tradnl"/>
        </w:rPr>
        <w:t>, las que fueron aprobadas previamente por la Oficina de Planeamiento y Presupuesto y comunicadas al Tribunal de Cuentas.</w:t>
      </w:r>
    </w:p>
    <w:p w:rsidR="00C147ED" w:rsidRPr="00963319" w:rsidRDefault="00C147ED" w:rsidP="00C147ED">
      <w:pPr>
        <w:numPr>
          <w:ilvl w:val="0"/>
          <w:numId w:val="2"/>
        </w:numPr>
        <w:tabs>
          <w:tab w:val="left" w:pos="-720"/>
        </w:tabs>
        <w:suppressAutoHyphens/>
        <w:spacing w:line="360" w:lineRule="auto"/>
        <w:jc w:val="both"/>
        <w:rPr>
          <w:rFonts w:cs="Arial"/>
          <w:b/>
          <w:spacing w:val="-3"/>
        </w:rPr>
      </w:pPr>
      <w:r w:rsidRPr="00963319">
        <w:rPr>
          <w:rFonts w:cs="Arial"/>
          <w:b/>
          <w:spacing w:val="-3"/>
        </w:rPr>
        <w:t>Evaluación del Sistema de Control Interno</w:t>
      </w:r>
    </w:p>
    <w:p w:rsidR="00C147ED" w:rsidRPr="00276047" w:rsidRDefault="00C147ED" w:rsidP="00471135">
      <w:pPr>
        <w:pStyle w:val="Sangra3detindependiente"/>
        <w:spacing w:line="360" w:lineRule="auto"/>
        <w:ind w:left="0"/>
        <w:jc w:val="both"/>
        <w:rPr>
          <w:rFonts w:ascii="Arial" w:hAnsi="Arial" w:cs="Arial"/>
          <w:sz w:val="24"/>
          <w:szCs w:val="24"/>
        </w:rPr>
      </w:pPr>
      <w:r w:rsidRPr="00963319">
        <w:rPr>
          <w:rFonts w:ascii="Arial" w:hAnsi="Arial" w:cs="Arial"/>
          <w:sz w:val="24"/>
          <w:szCs w:val="24"/>
        </w:rPr>
        <w:t xml:space="preserve">Se ha evaluado el sistema de control interno, diseñado e implementado por el </w:t>
      </w:r>
      <w:r>
        <w:rPr>
          <w:rFonts w:ascii="Arial" w:hAnsi="Arial" w:cs="Arial"/>
          <w:sz w:val="24"/>
          <w:szCs w:val="24"/>
        </w:rPr>
        <w:t>BSE a</w:t>
      </w:r>
      <w:r w:rsidRPr="00963319">
        <w:rPr>
          <w:rFonts w:ascii="Arial" w:hAnsi="Arial" w:cs="Arial"/>
          <w:sz w:val="24"/>
          <w:szCs w:val="24"/>
        </w:rPr>
        <w:t xml:space="preserve"> efectos de verificar cual es el ambiente, las actividades y procedimientos de control, los canales de información y comunicación y el monitoreo del mismo llevado a cabo por la Dirección. El propósito de dicha evaluación fue determinar la confiabilidad de la información contable a efectos de determinar los procedimientos de auditoría a aplicar y el cumplimiento de las disposiciones </w:t>
      </w:r>
      <w:r w:rsidRPr="00276047">
        <w:rPr>
          <w:rFonts w:ascii="Arial" w:hAnsi="Arial" w:cs="Arial"/>
          <w:sz w:val="24"/>
          <w:szCs w:val="24"/>
        </w:rPr>
        <w:t>legales vigentes.</w:t>
      </w:r>
    </w:p>
    <w:p w:rsidR="00C147ED" w:rsidRDefault="00C147ED" w:rsidP="00471135">
      <w:pPr>
        <w:pStyle w:val="Sangra3detindependiente"/>
        <w:spacing w:line="360" w:lineRule="auto"/>
        <w:ind w:left="0"/>
        <w:jc w:val="both"/>
        <w:rPr>
          <w:rFonts w:ascii="Arial" w:hAnsi="Arial" w:cs="Arial"/>
          <w:sz w:val="24"/>
          <w:szCs w:val="24"/>
        </w:rPr>
      </w:pPr>
      <w:r w:rsidRPr="00276047">
        <w:rPr>
          <w:rFonts w:ascii="Arial" w:hAnsi="Arial" w:cs="Arial"/>
          <w:sz w:val="24"/>
          <w:szCs w:val="24"/>
        </w:rPr>
        <w:t>La evaluación practicada permitió constatar</w:t>
      </w:r>
      <w:r>
        <w:rPr>
          <w:rFonts w:ascii="Arial" w:hAnsi="Arial" w:cs="Arial"/>
          <w:sz w:val="24"/>
          <w:szCs w:val="24"/>
        </w:rPr>
        <w:t xml:space="preserve"> que</w:t>
      </w:r>
      <w:r w:rsidRPr="00276047">
        <w:rPr>
          <w:rFonts w:ascii="Arial" w:hAnsi="Arial" w:cs="Arial"/>
          <w:sz w:val="24"/>
          <w:szCs w:val="24"/>
        </w:rPr>
        <w:t>:</w:t>
      </w:r>
    </w:p>
    <w:p w:rsidR="00C147ED" w:rsidRDefault="00C147ED" w:rsidP="00471135">
      <w:pPr>
        <w:pStyle w:val="Sangra3detindependiente"/>
        <w:spacing w:after="0" w:line="360" w:lineRule="auto"/>
        <w:ind w:left="0"/>
        <w:jc w:val="both"/>
        <w:rPr>
          <w:rFonts w:ascii="Arial" w:hAnsi="Arial" w:cs="Arial"/>
          <w:sz w:val="24"/>
          <w:szCs w:val="24"/>
        </w:rPr>
      </w:pPr>
      <w:r>
        <w:rPr>
          <w:rFonts w:ascii="Arial" w:hAnsi="Arial" w:cs="Arial"/>
          <w:sz w:val="24"/>
          <w:szCs w:val="24"/>
        </w:rPr>
        <w:t>-</w:t>
      </w:r>
      <w:r w:rsidRPr="002D6F01">
        <w:rPr>
          <w:rFonts w:ascii="Arial" w:hAnsi="Arial" w:cs="Arial"/>
          <w:sz w:val="24"/>
          <w:szCs w:val="24"/>
        </w:rPr>
        <w:t>El importe total expuesto en el “Total de Ingresos” en el Estado de Ejecución Presupuestal asciende a $</w:t>
      </w:r>
      <w:r>
        <w:rPr>
          <w:rFonts w:ascii="Arial" w:hAnsi="Arial" w:cs="Arial"/>
          <w:sz w:val="24"/>
          <w:szCs w:val="24"/>
        </w:rPr>
        <w:t xml:space="preserve"> </w:t>
      </w:r>
      <w:r w:rsidRPr="009E473E">
        <w:rPr>
          <w:rFonts w:ascii="Arial" w:hAnsi="Arial" w:cs="Arial"/>
          <w:sz w:val="24"/>
          <w:szCs w:val="24"/>
        </w:rPr>
        <w:t>27.005</w:t>
      </w:r>
      <w:r>
        <w:rPr>
          <w:rFonts w:ascii="Arial" w:hAnsi="Arial" w:cs="Arial"/>
          <w:sz w:val="24"/>
          <w:szCs w:val="24"/>
        </w:rPr>
        <w:t>:</w:t>
      </w:r>
      <w:r w:rsidRPr="009E473E">
        <w:rPr>
          <w:rFonts w:ascii="Arial" w:hAnsi="Arial" w:cs="Arial"/>
          <w:sz w:val="24"/>
          <w:szCs w:val="24"/>
        </w:rPr>
        <w:t xml:space="preserve">628.698. </w:t>
      </w:r>
      <w:r w:rsidRPr="00144AE7">
        <w:rPr>
          <w:rFonts w:ascii="Arial" w:hAnsi="Arial" w:cs="Arial"/>
          <w:sz w:val="24"/>
          <w:szCs w:val="24"/>
        </w:rPr>
        <w:t>Corresponde señalar que no se consideró en la suma el saldo del rubro “Otros Ingresos del Giro” que asciende a $ 1</w:t>
      </w:r>
      <w:r>
        <w:rPr>
          <w:rFonts w:ascii="Arial" w:hAnsi="Arial" w:cs="Arial"/>
          <w:sz w:val="24"/>
          <w:szCs w:val="24"/>
        </w:rPr>
        <w:t>61:389.032</w:t>
      </w:r>
      <w:r w:rsidRPr="00144AE7">
        <w:rPr>
          <w:rFonts w:ascii="Arial" w:hAnsi="Arial" w:cs="Arial"/>
          <w:sz w:val="24"/>
          <w:szCs w:val="24"/>
        </w:rPr>
        <w:t>.</w:t>
      </w:r>
    </w:p>
    <w:p w:rsidR="00C147ED" w:rsidRDefault="00C147ED" w:rsidP="00471135">
      <w:pPr>
        <w:pStyle w:val="Sangra3detindependiente"/>
        <w:spacing w:after="0" w:line="360" w:lineRule="auto"/>
        <w:ind w:left="0"/>
        <w:jc w:val="both"/>
        <w:rPr>
          <w:rFonts w:ascii="Arial" w:hAnsi="Arial" w:cs="Arial"/>
          <w:sz w:val="24"/>
          <w:szCs w:val="24"/>
        </w:rPr>
      </w:pPr>
      <w:r>
        <w:rPr>
          <w:rFonts w:ascii="Arial" w:hAnsi="Arial" w:cs="Arial"/>
          <w:sz w:val="24"/>
          <w:szCs w:val="24"/>
        </w:rPr>
        <w:t xml:space="preserve">-En cuanto a las trasposiciones del Ejercicio, se padeció error en la exposición de los renglones </w:t>
      </w:r>
      <w:r w:rsidRPr="000C1655">
        <w:rPr>
          <w:rFonts w:ascii="Arial" w:hAnsi="Arial" w:cs="Arial"/>
          <w:sz w:val="24"/>
          <w:szCs w:val="24"/>
        </w:rPr>
        <w:t xml:space="preserve">1.9.9 “Otros” y 2.8.1 “Contratación de Estudios Por Empresas” por </w:t>
      </w:r>
      <w:r>
        <w:rPr>
          <w:rFonts w:ascii="Arial" w:hAnsi="Arial" w:cs="Arial"/>
          <w:sz w:val="24"/>
          <w:szCs w:val="24"/>
        </w:rPr>
        <w:t xml:space="preserve">un importe de </w:t>
      </w:r>
      <w:r w:rsidRPr="000C1655">
        <w:rPr>
          <w:rFonts w:ascii="Arial" w:hAnsi="Arial" w:cs="Arial"/>
          <w:sz w:val="24"/>
          <w:szCs w:val="24"/>
        </w:rPr>
        <w:t>$ 3:720.000 y $12:720.000, siendo los valores correctos</w:t>
      </w:r>
      <w:r>
        <w:rPr>
          <w:rFonts w:ascii="Arial" w:hAnsi="Arial" w:cs="Arial"/>
          <w:sz w:val="24"/>
          <w:szCs w:val="24"/>
        </w:rPr>
        <w:t xml:space="preserve">      </w:t>
      </w:r>
      <w:r w:rsidRPr="000C1655">
        <w:rPr>
          <w:rFonts w:ascii="Arial" w:hAnsi="Arial" w:cs="Arial"/>
          <w:sz w:val="24"/>
          <w:szCs w:val="24"/>
        </w:rPr>
        <w:t xml:space="preserve"> $ 3:270.000 y $ 12:270.000 respectivamente.</w:t>
      </w:r>
    </w:p>
    <w:p w:rsidR="00C147ED" w:rsidRDefault="00C147ED" w:rsidP="00471135">
      <w:pPr>
        <w:pStyle w:val="Sangra3detindependiente"/>
        <w:spacing w:after="0" w:line="360" w:lineRule="auto"/>
        <w:ind w:left="0"/>
        <w:jc w:val="both"/>
        <w:rPr>
          <w:rFonts w:ascii="Arial" w:hAnsi="Arial" w:cs="Arial"/>
          <w:sz w:val="24"/>
          <w:szCs w:val="24"/>
        </w:rPr>
      </w:pPr>
      <w:r>
        <w:rPr>
          <w:rFonts w:ascii="Arial" w:hAnsi="Arial" w:cs="Arial"/>
          <w:sz w:val="24"/>
          <w:szCs w:val="24"/>
        </w:rPr>
        <w:t xml:space="preserve">-El renglón 3.2.3 “Equipos de Informática” se expone subvaluado en                 $ 1:680.575 debido a que se duplicó la adquisición de </w:t>
      </w:r>
      <w:proofErr w:type="spellStart"/>
      <w:r>
        <w:rPr>
          <w:rFonts w:ascii="Arial" w:hAnsi="Arial" w:cs="Arial"/>
          <w:sz w:val="24"/>
          <w:szCs w:val="24"/>
        </w:rPr>
        <w:t>tablets</w:t>
      </w:r>
      <w:proofErr w:type="spellEnd"/>
      <w:r>
        <w:rPr>
          <w:rFonts w:ascii="Arial" w:hAnsi="Arial" w:cs="Arial"/>
          <w:sz w:val="24"/>
          <w:szCs w:val="24"/>
        </w:rPr>
        <w:t>.</w:t>
      </w:r>
    </w:p>
    <w:p w:rsidR="00C147ED" w:rsidRDefault="00C147ED" w:rsidP="00471135">
      <w:pPr>
        <w:pStyle w:val="Sangra3detindependiente"/>
        <w:spacing w:line="360" w:lineRule="auto"/>
        <w:ind w:left="0"/>
        <w:jc w:val="both"/>
        <w:rPr>
          <w:rFonts w:ascii="Arial" w:hAnsi="Arial" w:cs="Arial"/>
          <w:sz w:val="24"/>
          <w:szCs w:val="24"/>
        </w:rPr>
      </w:pPr>
    </w:p>
    <w:p w:rsidR="00C147ED" w:rsidRDefault="00C147ED" w:rsidP="00C147ED">
      <w:pPr>
        <w:numPr>
          <w:ilvl w:val="0"/>
          <w:numId w:val="2"/>
        </w:numPr>
        <w:suppressAutoHyphens/>
        <w:spacing w:line="360" w:lineRule="auto"/>
        <w:jc w:val="both"/>
        <w:rPr>
          <w:rFonts w:cs="Arial"/>
          <w:b/>
          <w:bCs/>
          <w:spacing w:val="-3"/>
          <w:lang w:val="es-ES_tradnl"/>
        </w:rPr>
      </w:pPr>
      <w:r w:rsidRPr="00276047">
        <w:rPr>
          <w:rFonts w:cs="Arial"/>
          <w:b/>
          <w:spacing w:val="-3"/>
          <w:lang w:val="es-ES_tradnl"/>
        </w:rPr>
        <w:t>Recomendaciones</w:t>
      </w:r>
    </w:p>
    <w:p w:rsidR="00C147ED" w:rsidRPr="00855413" w:rsidRDefault="00471135" w:rsidP="00C147ED">
      <w:pPr>
        <w:numPr>
          <w:ilvl w:val="1"/>
          <w:numId w:val="2"/>
        </w:numPr>
        <w:suppressAutoHyphens/>
        <w:spacing w:line="360" w:lineRule="auto"/>
        <w:ind w:left="426"/>
        <w:jc w:val="both"/>
        <w:rPr>
          <w:rFonts w:cs="Arial"/>
          <w:b/>
          <w:bCs/>
          <w:spacing w:val="-3"/>
          <w:lang w:val="es-ES_tradnl"/>
        </w:rPr>
      </w:pPr>
      <w:r>
        <w:rPr>
          <w:rFonts w:cs="Arial"/>
          <w:b/>
          <w:bCs/>
        </w:rPr>
        <w:t>Recomendaciones cumplidas</w:t>
      </w:r>
    </w:p>
    <w:p w:rsidR="00C147ED" w:rsidRPr="00C1238F" w:rsidRDefault="00C147ED" w:rsidP="00C147ED">
      <w:pPr>
        <w:numPr>
          <w:ilvl w:val="2"/>
          <w:numId w:val="2"/>
        </w:numPr>
        <w:suppressAutoHyphens/>
        <w:spacing w:line="360" w:lineRule="auto"/>
        <w:ind w:left="0" w:firstLine="0"/>
        <w:jc w:val="both"/>
        <w:rPr>
          <w:rFonts w:cs="Arial"/>
        </w:rPr>
      </w:pPr>
      <w:r>
        <w:rPr>
          <w:rFonts w:cs="Arial"/>
          <w:bCs/>
          <w:spacing w:val="-3"/>
          <w:lang w:val="es-ES_tradnl"/>
        </w:rPr>
        <w:t>Los contratos por arrendamiento de obra han sido realizados considerando las formalidades del Artículo 38 del TOCAF.</w:t>
      </w:r>
    </w:p>
    <w:p w:rsidR="00C147ED" w:rsidRPr="00AA21FC" w:rsidRDefault="00C147ED" w:rsidP="00C147ED">
      <w:pPr>
        <w:numPr>
          <w:ilvl w:val="2"/>
          <w:numId w:val="2"/>
        </w:numPr>
        <w:suppressAutoHyphens/>
        <w:spacing w:line="360" w:lineRule="auto"/>
        <w:ind w:left="0" w:firstLine="0"/>
        <w:jc w:val="both"/>
        <w:rPr>
          <w:rFonts w:cs="Arial"/>
        </w:rPr>
      </w:pPr>
      <w:r>
        <w:rPr>
          <w:rFonts w:cs="Arial"/>
        </w:rPr>
        <w:t>Las compras directas se ejecutaron de acuerdo al tope establecido por el Artículo 44 del TOCAF.</w:t>
      </w:r>
    </w:p>
    <w:p w:rsidR="00C147ED" w:rsidRPr="00CA16ED" w:rsidRDefault="00C147ED" w:rsidP="00C147ED">
      <w:pPr>
        <w:numPr>
          <w:ilvl w:val="2"/>
          <w:numId w:val="2"/>
        </w:numPr>
        <w:suppressAutoHyphens/>
        <w:spacing w:line="360" w:lineRule="auto"/>
        <w:ind w:left="0" w:firstLine="0"/>
        <w:jc w:val="both"/>
        <w:rPr>
          <w:rFonts w:cs="Arial"/>
        </w:rPr>
      </w:pPr>
      <w:r>
        <w:rPr>
          <w:rFonts w:cs="Arial"/>
          <w:bCs/>
        </w:rPr>
        <w:t>E</w:t>
      </w:r>
      <w:r w:rsidRPr="00C1238F">
        <w:rPr>
          <w:rFonts w:cs="Arial"/>
          <w:bCs/>
        </w:rPr>
        <w:t xml:space="preserve">l Organismo culminó con el proceso de Inventario de los Muebles y Útiles </w:t>
      </w:r>
      <w:r>
        <w:rPr>
          <w:rFonts w:cs="Arial"/>
          <w:bCs/>
        </w:rPr>
        <w:t xml:space="preserve">dando </w:t>
      </w:r>
      <w:r w:rsidRPr="00C1238F">
        <w:rPr>
          <w:rFonts w:cs="Arial"/>
          <w:bCs/>
        </w:rPr>
        <w:t>cumplimi</w:t>
      </w:r>
      <w:r w:rsidR="00471135">
        <w:rPr>
          <w:rFonts w:cs="Arial"/>
          <w:bCs/>
        </w:rPr>
        <w:t>ento al Artículo 84 del TOCAF.</w:t>
      </w:r>
    </w:p>
    <w:p w:rsidR="00C147ED" w:rsidRPr="00260623" w:rsidRDefault="00C147ED" w:rsidP="00C147ED">
      <w:pPr>
        <w:numPr>
          <w:ilvl w:val="2"/>
          <w:numId w:val="2"/>
        </w:numPr>
        <w:suppressAutoHyphens/>
        <w:spacing w:line="360" w:lineRule="auto"/>
        <w:ind w:left="0" w:firstLine="0"/>
        <w:jc w:val="both"/>
        <w:rPr>
          <w:rFonts w:cs="Arial"/>
          <w:bCs/>
          <w:spacing w:val="-3"/>
          <w:lang w:val="es-ES_tradnl"/>
        </w:rPr>
      </w:pPr>
      <w:r>
        <w:rPr>
          <w:rFonts w:cs="Arial"/>
          <w:bCs/>
          <w:spacing w:val="-3"/>
        </w:rPr>
        <w:t>Se</w:t>
      </w:r>
      <w:r w:rsidRPr="00F15313">
        <w:rPr>
          <w:rFonts w:cs="Arial"/>
          <w:bCs/>
          <w:spacing w:val="-3"/>
          <w:lang w:val="es-ES_tradnl"/>
        </w:rPr>
        <w:t xml:space="preserve"> comunicaron </w:t>
      </w:r>
      <w:r>
        <w:rPr>
          <w:rFonts w:cs="Arial"/>
          <w:bCs/>
          <w:spacing w:val="-3"/>
          <w:lang w:val="es-ES_tradnl"/>
        </w:rPr>
        <w:t xml:space="preserve">al Tribunal de Cuentas </w:t>
      </w:r>
      <w:r w:rsidRPr="00F15313">
        <w:rPr>
          <w:rFonts w:cs="Arial"/>
          <w:bCs/>
          <w:spacing w:val="-3"/>
          <w:lang w:val="es-ES_tradnl"/>
        </w:rPr>
        <w:t>las adecuaciones</w:t>
      </w:r>
      <w:r>
        <w:rPr>
          <w:rFonts w:cs="Arial"/>
          <w:bCs/>
          <w:spacing w:val="-3"/>
          <w:lang w:val="es-ES_tradnl"/>
        </w:rPr>
        <w:t xml:space="preserve"> de las asignaciones</w:t>
      </w:r>
      <w:r w:rsidRPr="00F15313">
        <w:rPr>
          <w:rFonts w:cs="Arial"/>
          <w:bCs/>
          <w:spacing w:val="-3"/>
          <w:lang w:val="es-ES_tradnl"/>
        </w:rPr>
        <w:t xml:space="preserve"> de carácter no limitativo.</w:t>
      </w:r>
    </w:p>
    <w:p w:rsidR="00C147ED" w:rsidRPr="00AB0869" w:rsidRDefault="00C147ED" w:rsidP="00471135">
      <w:pPr>
        <w:suppressAutoHyphens/>
        <w:spacing w:line="360" w:lineRule="auto"/>
        <w:ind w:left="426"/>
        <w:jc w:val="both"/>
        <w:rPr>
          <w:rFonts w:cs="Arial"/>
          <w:b/>
          <w:bCs/>
          <w:spacing w:val="-3"/>
          <w:lang w:val="es-ES_tradnl"/>
        </w:rPr>
      </w:pPr>
    </w:p>
    <w:p w:rsidR="00C147ED" w:rsidRPr="00276047" w:rsidRDefault="00C147ED" w:rsidP="00C147ED">
      <w:pPr>
        <w:numPr>
          <w:ilvl w:val="1"/>
          <w:numId w:val="2"/>
        </w:numPr>
        <w:suppressAutoHyphens/>
        <w:spacing w:line="360" w:lineRule="auto"/>
        <w:ind w:left="426"/>
        <w:jc w:val="both"/>
        <w:rPr>
          <w:rFonts w:cs="Arial"/>
          <w:b/>
          <w:bCs/>
          <w:spacing w:val="-3"/>
          <w:lang w:val="es-ES_tradnl"/>
        </w:rPr>
      </w:pPr>
      <w:r>
        <w:rPr>
          <w:rFonts w:cs="Arial"/>
          <w:b/>
          <w:bCs/>
        </w:rPr>
        <w:t>Recomendaciones de E</w:t>
      </w:r>
      <w:r w:rsidRPr="00276047">
        <w:rPr>
          <w:rFonts w:cs="Arial"/>
          <w:b/>
          <w:bCs/>
        </w:rPr>
        <w:t>je</w:t>
      </w:r>
      <w:r w:rsidR="005B50CB">
        <w:rPr>
          <w:rFonts w:cs="Arial"/>
          <w:b/>
          <w:bCs/>
        </w:rPr>
        <w:t>rcicios anteriores no cumplidas</w:t>
      </w:r>
    </w:p>
    <w:p w:rsidR="00C147ED" w:rsidRPr="00366BC1" w:rsidRDefault="00C147ED" w:rsidP="00C147ED">
      <w:pPr>
        <w:numPr>
          <w:ilvl w:val="2"/>
          <w:numId w:val="2"/>
        </w:numPr>
        <w:suppressAutoHyphens/>
        <w:spacing w:line="360" w:lineRule="auto"/>
        <w:ind w:left="0" w:firstLine="0"/>
        <w:jc w:val="both"/>
        <w:rPr>
          <w:rFonts w:cs="Arial"/>
          <w:b/>
          <w:bCs/>
          <w:spacing w:val="-3"/>
          <w:lang w:val="es-ES_tradnl"/>
        </w:rPr>
      </w:pPr>
      <w:r w:rsidRPr="00276047">
        <w:rPr>
          <w:rFonts w:cs="Arial"/>
        </w:rPr>
        <w:t>No se instrumentaron las acciones necesarias para lograr el cumplimiento de los A</w:t>
      </w:r>
      <w:r>
        <w:rPr>
          <w:rFonts w:cs="Arial"/>
        </w:rPr>
        <w:t>rtículos 15, 33 y 46</w:t>
      </w:r>
      <w:r w:rsidR="00471135">
        <w:rPr>
          <w:rFonts w:cs="Arial"/>
        </w:rPr>
        <w:t xml:space="preserve"> del TOCAF.</w:t>
      </w:r>
    </w:p>
    <w:p w:rsidR="00C147ED" w:rsidRDefault="00C147ED" w:rsidP="00C147ED">
      <w:pPr>
        <w:numPr>
          <w:ilvl w:val="2"/>
          <w:numId w:val="2"/>
        </w:numPr>
        <w:suppressAutoHyphens/>
        <w:spacing w:line="360" w:lineRule="auto"/>
        <w:ind w:left="0" w:firstLine="0"/>
        <w:jc w:val="both"/>
        <w:rPr>
          <w:rFonts w:cs="Arial"/>
          <w:bCs/>
        </w:rPr>
      </w:pPr>
      <w:r>
        <w:rPr>
          <w:rFonts w:cs="Arial"/>
          <w:bCs/>
        </w:rPr>
        <w:t>No</w:t>
      </w:r>
      <w:r w:rsidRPr="0081163C">
        <w:rPr>
          <w:rFonts w:cs="Arial"/>
          <w:bCs/>
        </w:rPr>
        <w:t xml:space="preserve"> se realizaron transferencias al Ministerio de Economía y Finanzas </w:t>
      </w:r>
      <w:r>
        <w:rPr>
          <w:rFonts w:cs="Arial"/>
          <w:bCs/>
        </w:rPr>
        <w:t xml:space="preserve">tal como lo dispone </w:t>
      </w:r>
      <w:r w:rsidRPr="0081163C">
        <w:rPr>
          <w:rFonts w:cs="Arial"/>
          <w:bCs/>
        </w:rPr>
        <w:t>Artículo 643 de la Ley Nº 16.170, De</w:t>
      </w:r>
      <w:r>
        <w:rPr>
          <w:rFonts w:cs="Arial"/>
          <w:bCs/>
        </w:rPr>
        <w:t>creto 161/991 y Decreto 436/002.</w:t>
      </w:r>
    </w:p>
    <w:p w:rsidR="00C147ED" w:rsidRPr="00AB2DFF" w:rsidRDefault="00C147ED" w:rsidP="00C147ED">
      <w:pPr>
        <w:numPr>
          <w:ilvl w:val="2"/>
          <w:numId w:val="2"/>
        </w:numPr>
        <w:suppressAutoHyphens/>
        <w:spacing w:line="360" w:lineRule="auto"/>
        <w:ind w:left="0" w:firstLine="0"/>
        <w:jc w:val="both"/>
        <w:rPr>
          <w:rFonts w:cs="Arial"/>
          <w:bCs/>
        </w:rPr>
      </w:pPr>
      <w:r w:rsidRPr="00AB2DFF">
        <w:rPr>
          <w:rFonts w:eastAsia="Arial Unicode MS" w:cs="Arial"/>
          <w:bCs/>
        </w:rPr>
        <w:t xml:space="preserve">No se consideró el tope del </w:t>
      </w:r>
      <w:r w:rsidRPr="005D11C3">
        <w:rPr>
          <w:rFonts w:eastAsia="Arial Unicode MS" w:cs="Arial"/>
          <w:bCs/>
        </w:rPr>
        <w:t>1</w:t>
      </w:r>
      <w:r>
        <w:rPr>
          <w:rFonts w:eastAsia="Arial Unicode MS" w:cs="Arial"/>
          <w:bCs/>
        </w:rPr>
        <w:t>% de la masa salarial ejecutada en el pago de las horas extras, tal como lo establece</w:t>
      </w:r>
      <w:r>
        <w:rPr>
          <w:rFonts w:cs="Arial"/>
          <w:bCs/>
        </w:rPr>
        <w:t xml:space="preserve"> </w:t>
      </w:r>
      <w:r w:rsidRPr="00AB2DFF">
        <w:rPr>
          <w:rFonts w:eastAsia="Arial Unicode MS" w:cs="Arial"/>
          <w:bCs/>
        </w:rPr>
        <w:t xml:space="preserve">el Artículo 14 del Decreto 336/2013,  </w:t>
      </w:r>
      <w:r>
        <w:rPr>
          <w:rFonts w:eastAsia="Arial Unicode MS" w:cs="Arial"/>
          <w:bCs/>
        </w:rPr>
        <w:t xml:space="preserve">al amparo de </w:t>
      </w:r>
      <w:r w:rsidRPr="00AB2DFF">
        <w:rPr>
          <w:rFonts w:eastAsia="Arial Unicode MS" w:cs="Arial"/>
          <w:bCs/>
        </w:rPr>
        <w:t>la cláusula 4 del Convenio S</w:t>
      </w:r>
      <w:r>
        <w:rPr>
          <w:rFonts w:eastAsia="Arial Unicode MS" w:cs="Arial"/>
          <w:bCs/>
        </w:rPr>
        <w:t>alarial suscrito el 19/12/2007.</w:t>
      </w:r>
    </w:p>
    <w:p w:rsidR="00C147ED" w:rsidRPr="00C93A40" w:rsidRDefault="00C147ED" w:rsidP="00C147ED">
      <w:pPr>
        <w:numPr>
          <w:ilvl w:val="2"/>
          <w:numId w:val="2"/>
        </w:numPr>
        <w:suppressAutoHyphens/>
        <w:spacing w:line="360" w:lineRule="auto"/>
        <w:ind w:left="0" w:firstLine="0"/>
        <w:jc w:val="both"/>
        <w:rPr>
          <w:rFonts w:cs="Arial"/>
          <w:b/>
          <w:bCs/>
          <w:spacing w:val="-3"/>
          <w:lang w:val="es-ES_tradnl"/>
        </w:rPr>
      </w:pPr>
      <w:r w:rsidRPr="00276047">
        <w:rPr>
          <w:rFonts w:cs="Arial"/>
          <w:bCs/>
          <w:spacing w:val="-3"/>
          <w:lang w:val="es-ES_tradnl"/>
        </w:rPr>
        <w:t>No se implementaron las acciones necesarias para dar cumplimiento al</w:t>
      </w:r>
      <w:r w:rsidRPr="00F15313">
        <w:rPr>
          <w:rFonts w:cs="Arial"/>
          <w:bCs/>
          <w:spacing w:val="-3"/>
          <w:lang w:val="es-ES_tradnl"/>
        </w:rPr>
        <w:t xml:space="preserve"> </w:t>
      </w:r>
      <w:r>
        <w:rPr>
          <w:rFonts w:cs="Arial"/>
          <w:bCs/>
          <w:spacing w:val="-3"/>
          <w:lang w:val="es-ES_tradnl"/>
        </w:rPr>
        <w:t xml:space="preserve">Artículo 5 del </w:t>
      </w:r>
      <w:r w:rsidRPr="00F15313">
        <w:rPr>
          <w:rFonts w:cs="Arial"/>
          <w:bCs/>
          <w:spacing w:val="-3"/>
          <w:lang w:val="es-ES_tradnl"/>
        </w:rPr>
        <w:t xml:space="preserve">Convenio N° 30 de </w:t>
      </w:r>
      <w:r>
        <w:rPr>
          <w:rFonts w:cs="Arial"/>
          <w:bCs/>
          <w:spacing w:val="-3"/>
          <w:lang w:val="es-ES_tradnl"/>
        </w:rPr>
        <w:t xml:space="preserve">la </w:t>
      </w:r>
      <w:r w:rsidRPr="00F15313">
        <w:rPr>
          <w:rFonts w:cs="Arial"/>
          <w:bCs/>
          <w:spacing w:val="-3"/>
          <w:lang w:val="es-ES_tradnl"/>
        </w:rPr>
        <w:t>OIT y a la Ordenanza N° 61 del Tribunal de Cuentas en lo referido al tope de realización de horas extras por los funcionarios del Organismo.</w:t>
      </w:r>
    </w:p>
    <w:p w:rsidR="00C147ED" w:rsidRPr="00ED51BD" w:rsidRDefault="00C147ED" w:rsidP="00C147ED">
      <w:pPr>
        <w:numPr>
          <w:ilvl w:val="2"/>
          <w:numId w:val="2"/>
        </w:numPr>
        <w:suppressAutoHyphens/>
        <w:spacing w:line="360" w:lineRule="auto"/>
        <w:ind w:left="0" w:firstLine="0"/>
        <w:jc w:val="both"/>
        <w:rPr>
          <w:rFonts w:cs="Arial"/>
          <w:bCs/>
          <w:spacing w:val="-3"/>
          <w:lang w:val="es-ES_tradnl"/>
        </w:rPr>
      </w:pPr>
      <w:r>
        <w:rPr>
          <w:rFonts w:cs="Arial"/>
          <w:bCs/>
          <w:spacing w:val="-3"/>
          <w:lang w:val="es-ES_tradnl"/>
        </w:rPr>
        <w:t xml:space="preserve">No se </w:t>
      </w:r>
      <w:r w:rsidRPr="0067217E">
        <w:rPr>
          <w:rFonts w:cs="Arial"/>
          <w:bCs/>
          <w:spacing w:val="-3"/>
          <w:lang w:val="es-ES_tradnl"/>
        </w:rPr>
        <w:t>Intensificar</w:t>
      </w:r>
      <w:r>
        <w:rPr>
          <w:rFonts w:cs="Arial"/>
          <w:bCs/>
          <w:spacing w:val="-3"/>
          <w:lang w:val="es-ES_tradnl"/>
        </w:rPr>
        <w:t xml:space="preserve">on </w:t>
      </w:r>
      <w:r w:rsidRPr="0067217E">
        <w:rPr>
          <w:rFonts w:cs="Arial"/>
          <w:bCs/>
          <w:spacing w:val="-3"/>
          <w:lang w:val="es-ES_tradnl"/>
        </w:rPr>
        <w:t xml:space="preserve">los controles previos a la presentación de la </w:t>
      </w:r>
      <w:r w:rsidRPr="00ED51BD">
        <w:rPr>
          <w:rFonts w:cs="Arial"/>
          <w:bCs/>
          <w:spacing w:val="-3"/>
          <w:lang w:val="es-ES_tradnl"/>
        </w:rPr>
        <w:t xml:space="preserve">información con el fin de evitar errores numéricos y de cálculo (Numeral </w:t>
      </w:r>
      <w:r w:rsidR="00471135">
        <w:rPr>
          <w:rFonts w:cs="Arial"/>
          <w:bCs/>
          <w:spacing w:val="-3"/>
          <w:lang w:val="es-ES_tradnl"/>
        </w:rPr>
        <w:t>1 de este Informe).</w:t>
      </w:r>
    </w:p>
    <w:p w:rsidR="00C147ED" w:rsidRPr="00F15313" w:rsidRDefault="00C147ED" w:rsidP="00471135">
      <w:pPr>
        <w:suppressAutoHyphens/>
        <w:spacing w:line="360" w:lineRule="auto"/>
        <w:jc w:val="both"/>
        <w:rPr>
          <w:rFonts w:cs="Arial"/>
          <w:b/>
          <w:bCs/>
          <w:spacing w:val="-3"/>
          <w:lang w:val="es-ES_tradnl"/>
        </w:rPr>
      </w:pPr>
    </w:p>
    <w:p w:rsidR="00C147ED" w:rsidRPr="003A7E62" w:rsidRDefault="00C147ED" w:rsidP="00C147ED">
      <w:pPr>
        <w:numPr>
          <w:ilvl w:val="1"/>
          <w:numId w:val="2"/>
        </w:numPr>
        <w:suppressAutoHyphens/>
        <w:spacing w:line="360" w:lineRule="auto"/>
        <w:ind w:left="426"/>
        <w:jc w:val="both"/>
        <w:rPr>
          <w:rFonts w:cs="Arial"/>
          <w:bCs/>
          <w:spacing w:val="-3"/>
          <w:lang w:val="es-ES_tradnl"/>
        </w:rPr>
      </w:pPr>
      <w:r w:rsidRPr="003A7E62">
        <w:rPr>
          <w:rFonts w:cs="Arial"/>
          <w:b/>
          <w:spacing w:val="-3"/>
          <w:lang w:val="es-ES_tradnl"/>
        </w:rPr>
        <w:t xml:space="preserve"> Recomendaciones</w:t>
      </w:r>
      <w:r>
        <w:rPr>
          <w:rFonts w:cs="Arial"/>
          <w:b/>
          <w:bCs/>
          <w:spacing w:val="-3"/>
          <w:lang w:val="es-ES_tradnl"/>
        </w:rPr>
        <w:t xml:space="preserve"> del presente E</w:t>
      </w:r>
      <w:r w:rsidRPr="003A7E62">
        <w:rPr>
          <w:rFonts w:cs="Arial"/>
          <w:b/>
          <w:bCs/>
          <w:spacing w:val="-3"/>
          <w:lang w:val="es-ES_tradnl"/>
        </w:rPr>
        <w:t>jercicio</w:t>
      </w:r>
    </w:p>
    <w:p w:rsidR="00C147ED" w:rsidRPr="00373EE7" w:rsidRDefault="00C147ED" w:rsidP="00C147ED">
      <w:pPr>
        <w:numPr>
          <w:ilvl w:val="2"/>
          <w:numId w:val="2"/>
        </w:numPr>
        <w:suppressAutoHyphens/>
        <w:spacing w:line="360" w:lineRule="auto"/>
        <w:ind w:left="0" w:firstLine="0"/>
        <w:jc w:val="both"/>
        <w:rPr>
          <w:rFonts w:cs="Arial"/>
          <w:bCs/>
          <w:spacing w:val="-3"/>
          <w:lang w:val="es-ES_tradnl"/>
        </w:rPr>
      </w:pPr>
      <w:r w:rsidRPr="005C644C">
        <w:rPr>
          <w:rFonts w:cs="Arial"/>
          <w:bCs/>
          <w:spacing w:val="-3"/>
          <w:lang w:val="es-ES_tradnl"/>
        </w:rPr>
        <w:t xml:space="preserve"> Se </w:t>
      </w:r>
      <w:r w:rsidRPr="005C644C">
        <w:rPr>
          <w:rFonts w:cs="Arial"/>
        </w:rPr>
        <w:t>reiteran las r</w:t>
      </w:r>
      <w:r>
        <w:rPr>
          <w:rFonts w:cs="Arial"/>
        </w:rPr>
        <w:t>ecomendaciones no cumplidas de E</w:t>
      </w:r>
      <w:r w:rsidRPr="005C644C">
        <w:rPr>
          <w:rFonts w:cs="Arial"/>
        </w:rPr>
        <w:t>jercicios anteriores.</w:t>
      </w:r>
    </w:p>
    <w:p w:rsidR="00C147ED" w:rsidRPr="002B30D4" w:rsidRDefault="00C147ED" w:rsidP="00C147ED">
      <w:pPr>
        <w:numPr>
          <w:ilvl w:val="2"/>
          <w:numId w:val="2"/>
        </w:numPr>
        <w:suppressAutoHyphens/>
        <w:spacing w:line="360" w:lineRule="auto"/>
        <w:ind w:left="0" w:firstLine="0"/>
        <w:jc w:val="both"/>
        <w:rPr>
          <w:rFonts w:cs="Arial"/>
          <w:bCs/>
          <w:spacing w:val="-3"/>
          <w:lang w:val="es-ES_tradnl"/>
        </w:rPr>
      </w:pPr>
      <w:r w:rsidRPr="002B30D4">
        <w:rPr>
          <w:rFonts w:cs="Arial"/>
          <w:bCs/>
          <w:spacing w:val="-3"/>
          <w:lang w:val="es-ES_tradnl"/>
        </w:rPr>
        <w:t>Implementar los mecanismos necesarios para evitar que se vuelvan a producir los incumplimientos de las disposiciones legales señalados en el Dictamen.</w:t>
      </w:r>
    </w:p>
    <w:p w:rsidR="00C147ED" w:rsidRDefault="00C147ED" w:rsidP="00471135">
      <w:pPr>
        <w:pStyle w:val="Prrafodelista"/>
        <w:suppressAutoHyphens/>
        <w:spacing w:line="360" w:lineRule="auto"/>
        <w:jc w:val="right"/>
        <w:rPr>
          <w:rFonts w:ascii="Arial" w:hAnsi="Arial" w:cs="Arial"/>
          <w:sz w:val="24"/>
          <w:szCs w:val="24"/>
        </w:rPr>
      </w:pPr>
      <w:r w:rsidRPr="00963319">
        <w:rPr>
          <w:rFonts w:ascii="Arial" w:hAnsi="Arial" w:cs="Arial"/>
          <w:sz w:val="24"/>
          <w:szCs w:val="24"/>
        </w:rPr>
        <w:t>Montevide</w:t>
      </w:r>
      <w:r w:rsidRPr="00E76EC2">
        <w:rPr>
          <w:rFonts w:ascii="Arial" w:hAnsi="Arial" w:cs="Arial"/>
          <w:sz w:val="24"/>
          <w:szCs w:val="24"/>
        </w:rPr>
        <w:t>o,</w:t>
      </w:r>
      <w:r>
        <w:rPr>
          <w:rFonts w:ascii="Arial" w:hAnsi="Arial" w:cs="Arial"/>
          <w:sz w:val="24"/>
          <w:szCs w:val="24"/>
        </w:rPr>
        <w:t xml:space="preserve"> 26 de noviembre de 2015</w:t>
      </w:r>
    </w:p>
    <w:p w:rsidR="00C147ED" w:rsidRDefault="00C147ED" w:rsidP="00471135">
      <w:pPr>
        <w:spacing w:line="360" w:lineRule="auto"/>
        <w:jc w:val="right"/>
        <w:rPr>
          <w:rFonts w:cs="Arial"/>
          <w:lang w:val="es-ES_tradnl"/>
        </w:rPr>
      </w:pPr>
      <w:r>
        <w:rPr>
          <w:rFonts w:cs="Arial"/>
          <w:lang w:val="es-ES_tradnl"/>
        </w:rPr>
        <w:t>Monte</w:t>
      </w:r>
      <w:r w:rsidR="00471135">
        <w:rPr>
          <w:rFonts w:cs="Arial"/>
          <w:lang w:val="es-ES_tradnl"/>
        </w:rPr>
        <w:t>video, 11 de diciembre de 2015</w:t>
      </w:r>
    </w:p>
    <w:p w:rsidR="00C147ED" w:rsidRDefault="00C147ED" w:rsidP="00471135">
      <w:pPr>
        <w:spacing w:line="360" w:lineRule="auto"/>
        <w:jc w:val="right"/>
        <w:rPr>
          <w:rFonts w:cs="Arial"/>
          <w:lang w:val="es-ES_tradnl"/>
        </w:rPr>
      </w:pPr>
    </w:p>
    <w:p w:rsidR="00C147ED" w:rsidRPr="002E3D37" w:rsidRDefault="00C147ED">
      <w:pPr>
        <w:suppressAutoHyphens/>
        <w:spacing w:line="360" w:lineRule="auto"/>
        <w:jc w:val="both"/>
        <w:rPr>
          <w:rFonts w:cs="Arial"/>
          <w:spacing w:val="-3"/>
          <w:lang w:val="es-ES_tradnl"/>
        </w:rPr>
      </w:pPr>
      <w:r>
        <w:rPr>
          <w:rFonts w:cs="Arial"/>
          <w:spacing w:val="-3"/>
          <w:lang w:val="es-ES_tradnl"/>
        </w:rPr>
        <w:t>Señor</w:t>
      </w:r>
    </w:p>
    <w:p w:rsidR="00C147ED" w:rsidRPr="002E3D37" w:rsidRDefault="00C147ED">
      <w:pPr>
        <w:suppressAutoHyphens/>
        <w:spacing w:line="360" w:lineRule="auto"/>
        <w:jc w:val="both"/>
        <w:rPr>
          <w:rFonts w:cs="Arial"/>
          <w:spacing w:val="-3"/>
          <w:lang w:val="es-ES_tradnl"/>
        </w:rPr>
      </w:pPr>
      <w:r>
        <w:rPr>
          <w:rFonts w:cs="Arial"/>
          <w:spacing w:val="-3"/>
          <w:lang w:val="es-ES_tradnl"/>
        </w:rPr>
        <w:t>Presidente</w:t>
      </w:r>
      <w:r w:rsidRPr="002E3D37">
        <w:rPr>
          <w:rFonts w:cs="Arial"/>
          <w:spacing w:val="-3"/>
          <w:lang w:val="es-ES_tradnl"/>
        </w:rPr>
        <w:t xml:space="preserve"> del</w:t>
      </w:r>
    </w:p>
    <w:p w:rsidR="00C147ED" w:rsidRPr="002E3D37" w:rsidRDefault="00C147ED">
      <w:pPr>
        <w:suppressAutoHyphens/>
        <w:spacing w:line="360" w:lineRule="auto"/>
        <w:jc w:val="both"/>
        <w:rPr>
          <w:rFonts w:cs="Arial"/>
          <w:spacing w:val="-3"/>
          <w:lang w:val="es-ES_tradnl"/>
        </w:rPr>
      </w:pPr>
      <w:r w:rsidRPr="002E3D37">
        <w:rPr>
          <w:rFonts w:cs="Arial"/>
          <w:spacing w:val="-3"/>
          <w:lang w:val="es-ES_tradnl"/>
        </w:rPr>
        <w:t>Servicio Oficial de Difusión,</w:t>
      </w:r>
    </w:p>
    <w:p w:rsidR="00C147ED" w:rsidRPr="002E3D37" w:rsidRDefault="00C147ED">
      <w:pPr>
        <w:suppressAutoHyphens/>
        <w:spacing w:line="360" w:lineRule="auto"/>
        <w:jc w:val="both"/>
        <w:rPr>
          <w:rFonts w:cs="Arial"/>
          <w:spacing w:val="-3"/>
          <w:lang w:val="es-ES_tradnl"/>
        </w:rPr>
      </w:pPr>
      <w:r w:rsidRPr="002E3D37">
        <w:rPr>
          <w:rFonts w:cs="Arial"/>
          <w:spacing w:val="-3"/>
          <w:lang w:val="es-ES_tradnl"/>
        </w:rPr>
        <w:t>Radiotelevisión y Espectáculos</w:t>
      </w:r>
    </w:p>
    <w:p w:rsidR="00C147ED" w:rsidRDefault="00C147ED" w:rsidP="00471135">
      <w:pPr>
        <w:pStyle w:val="Textoindependiente2"/>
        <w:suppressAutoHyphens w:val="0"/>
        <w:jc w:val="left"/>
        <w:rPr>
          <w:b w:val="0"/>
          <w:bCs/>
        </w:rPr>
      </w:pPr>
      <w:r>
        <w:rPr>
          <w:b w:val="0"/>
        </w:rPr>
        <w:t>Jorge Orrico</w:t>
      </w:r>
    </w:p>
    <w:p w:rsidR="00C147ED" w:rsidRDefault="00C147ED" w:rsidP="00471135">
      <w:pPr>
        <w:spacing w:line="360" w:lineRule="auto"/>
        <w:jc w:val="right"/>
        <w:rPr>
          <w:rFonts w:cs="Arial"/>
        </w:rPr>
      </w:pPr>
      <w:r>
        <w:rPr>
          <w:rFonts w:cs="Arial"/>
        </w:rPr>
        <w:t>E.E. 2015-17-1-0003294</w:t>
      </w:r>
    </w:p>
    <w:p w:rsidR="00C147ED" w:rsidRDefault="00C147ED" w:rsidP="00471135">
      <w:pPr>
        <w:spacing w:line="360" w:lineRule="auto"/>
        <w:jc w:val="right"/>
        <w:rPr>
          <w:rFonts w:cs="Arial"/>
        </w:rPr>
      </w:pPr>
      <w:r>
        <w:rPr>
          <w:rFonts w:cs="Arial"/>
        </w:rPr>
        <w:t>Entrada 2683/15</w:t>
      </w:r>
    </w:p>
    <w:p w:rsidR="00C147ED" w:rsidRDefault="00C147ED" w:rsidP="00471135">
      <w:pPr>
        <w:spacing w:line="360" w:lineRule="auto"/>
        <w:jc w:val="right"/>
        <w:rPr>
          <w:rFonts w:cs="Arial"/>
        </w:rPr>
      </w:pPr>
      <w:r>
        <w:rPr>
          <w:rFonts w:cs="Arial"/>
        </w:rPr>
        <w:t>Oficio 9980/15</w:t>
      </w:r>
    </w:p>
    <w:p w:rsidR="00471135" w:rsidRDefault="00471135" w:rsidP="00471135">
      <w:pPr>
        <w:spacing w:line="360" w:lineRule="auto"/>
        <w:jc w:val="right"/>
        <w:rPr>
          <w:rFonts w:cs="Arial"/>
        </w:rPr>
      </w:pPr>
    </w:p>
    <w:p w:rsidR="00C147ED" w:rsidRPr="00963319" w:rsidRDefault="00C147ED" w:rsidP="00471135">
      <w:pPr>
        <w:spacing w:line="360" w:lineRule="auto"/>
        <w:jc w:val="both"/>
        <w:rPr>
          <w:rFonts w:cs="Arial"/>
        </w:rPr>
      </w:pPr>
      <w:r w:rsidRPr="00963319">
        <w:rPr>
          <w:rFonts w:cs="Arial"/>
          <w:lang w:val="es-ES_tradnl"/>
        </w:rPr>
        <w:tab/>
      </w:r>
      <w:r w:rsidRPr="00963319">
        <w:rPr>
          <w:rFonts w:cs="Arial"/>
        </w:rPr>
        <w:t>El Tribunal de Cuentas, en oportunidad de dictaminar sobre el Estado</w:t>
      </w:r>
      <w:r>
        <w:rPr>
          <w:rFonts w:cs="Arial"/>
        </w:rPr>
        <w:t xml:space="preserve"> de Ejecución Presupuestal del E</w:t>
      </w:r>
      <w:r w:rsidRPr="00963319">
        <w:rPr>
          <w:rFonts w:cs="Arial"/>
        </w:rPr>
        <w:t>jercicio 201</w:t>
      </w:r>
      <w:r>
        <w:rPr>
          <w:rFonts w:cs="Arial"/>
        </w:rPr>
        <w:t>4</w:t>
      </w:r>
      <w:r w:rsidRPr="00963319">
        <w:rPr>
          <w:rFonts w:cs="Arial"/>
        </w:rPr>
        <w:t xml:space="preserve"> del Banco </w:t>
      </w:r>
      <w:r>
        <w:rPr>
          <w:rFonts w:cs="Arial"/>
        </w:rPr>
        <w:t>de Seguros del Estado</w:t>
      </w:r>
      <w:r w:rsidRPr="00963319">
        <w:rPr>
          <w:rFonts w:cs="Arial"/>
        </w:rPr>
        <w:t xml:space="preserve"> (</w:t>
      </w:r>
      <w:r>
        <w:rPr>
          <w:rFonts w:cs="Arial"/>
        </w:rPr>
        <w:t>BSE</w:t>
      </w:r>
      <w:r w:rsidRPr="00963319">
        <w:rPr>
          <w:rFonts w:cs="Arial"/>
        </w:rPr>
        <w:t xml:space="preserve">), verificó que dicho </w:t>
      </w:r>
      <w:r>
        <w:rPr>
          <w:rFonts w:cs="Arial"/>
        </w:rPr>
        <w:t>Organismo ha dado cumplimiento con</w:t>
      </w:r>
      <w:r w:rsidRPr="00963319">
        <w:rPr>
          <w:rFonts w:cs="Arial"/>
        </w:rPr>
        <w:t xml:space="preserve"> los Artículos 226 de la Ley Nº 18</w:t>
      </w:r>
      <w:r>
        <w:rPr>
          <w:rFonts w:cs="Arial"/>
        </w:rPr>
        <w:t>.</w:t>
      </w:r>
      <w:r w:rsidRPr="00963319">
        <w:rPr>
          <w:rFonts w:cs="Arial"/>
        </w:rPr>
        <w:t>172 de 31/08/2007 y 17 de la Ley Nº 17.904 de 7/10/2005.</w:t>
      </w:r>
    </w:p>
    <w:p w:rsidR="00C147ED" w:rsidRPr="00963319" w:rsidRDefault="00C147ED" w:rsidP="00471135">
      <w:pPr>
        <w:suppressAutoHyphens/>
        <w:spacing w:line="360" w:lineRule="auto"/>
        <w:ind w:firstLine="851"/>
        <w:jc w:val="both"/>
        <w:rPr>
          <w:rFonts w:cs="Arial"/>
        </w:rPr>
      </w:pPr>
      <w:r w:rsidRPr="00963319">
        <w:rPr>
          <w:rFonts w:cs="Arial"/>
        </w:rPr>
        <w:t xml:space="preserve">El </w:t>
      </w:r>
      <w:r>
        <w:rPr>
          <w:rFonts w:cs="Arial"/>
        </w:rPr>
        <w:t>BSE</w:t>
      </w:r>
      <w:r w:rsidRPr="00963319">
        <w:rPr>
          <w:rFonts w:cs="Arial"/>
        </w:rPr>
        <w:t xml:space="preserve"> realizó g</w:t>
      </w:r>
      <w:r>
        <w:rPr>
          <w:rFonts w:cs="Arial"/>
        </w:rPr>
        <w:t>astos en publicidad durante el E</w:t>
      </w:r>
      <w:r w:rsidRPr="00963319">
        <w:rPr>
          <w:rFonts w:cs="Arial"/>
        </w:rPr>
        <w:t>jercicio 20</w:t>
      </w:r>
      <w:r>
        <w:rPr>
          <w:rFonts w:cs="Arial"/>
        </w:rPr>
        <w:t xml:space="preserve">14 por pautas publicitarias </w:t>
      </w:r>
      <w:r w:rsidRPr="00963319">
        <w:rPr>
          <w:rFonts w:cs="Arial"/>
        </w:rPr>
        <w:t xml:space="preserve">por un total de $ </w:t>
      </w:r>
      <w:r>
        <w:rPr>
          <w:rFonts w:cs="Arial"/>
        </w:rPr>
        <w:t>7</w:t>
      </w:r>
      <w:r w:rsidRPr="00963319">
        <w:rPr>
          <w:rFonts w:cs="Arial"/>
        </w:rPr>
        <w:t>:</w:t>
      </w:r>
      <w:r>
        <w:rPr>
          <w:rFonts w:cs="Arial"/>
        </w:rPr>
        <w:t>627</w:t>
      </w:r>
      <w:r w:rsidRPr="00963319">
        <w:rPr>
          <w:rFonts w:cs="Arial"/>
        </w:rPr>
        <w:t>.</w:t>
      </w:r>
      <w:r>
        <w:rPr>
          <w:rFonts w:cs="Arial"/>
        </w:rPr>
        <w:t xml:space="preserve">119 y U$$ 411.150, correspondiendo </w:t>
      </w:r>
      <w:r w:rsidRPr="00963319">
        <w:rPr>
          <w:rFonts w:cs="Arial"/>
        </w:rPr>
        <w:t xml:space="preserve">$ </w:t>
      </w:r>
      <w:r>
        <w:rPr>
          <w:rFonts w:cs="Arial"/>
        </w:rPr>
        <w:t xml:space="preserve">3:244.356 y U$$ 411.150 a publicidad en televisión y $4:382.763 </w:t>
      </w:r>
      <w:r w:rsidRPr="00963319">
        <w:rPr>
          <w:rFonts w:cs="Arial"/>
        </w:rPr>
        <w:t xml:space="preserve">a publicidad en radio. Lo contratado para televisión en </w:t>
      </w:r>
      <w:r>
        <w:rPr>
          <w:rFonts w:cs="Arial"/>
        </w:rPr>
        <w:t>TNU</w:t>
      </w:r>
      <w:r w:rsidRPr="00963319">
        <w:rPr>
          <w:rFonts w:cs="Arial"/>
        </w:rPr>
        <w:t xml:space="preserve"> asciende a $ </w:t>
      </w:r>
      <w:r>
        <w:rPr>
          <w:rFonts w:cs="Arial"/>
        </w:rPr>
        <w:t xml:space="preserve">648.871 y U$$ 82.230, y </w:t>
      </w:r>
      <w:r w:rsidRPr="00963319">
        <w:rPr>
          <w:rFonts w:cs="Arial"/>
        </w:rPr>
        <w:t xml:space="preserve">para radio en las radiodifusoras del SODRE </w:t>
      </w:r>
      <w:r>
        <w:rPr>
          <w:rFonts w:cs="Arial"/>
        </w:rPr>
        <w:t>a</w:t>
      </w:r>
      <w:r w:rsidRPr="00963319">
        <w:rPr>
          <w:rFonts w:cs="Arial"/>
        </w:rPr>
        <w:t xml:space="preserve"> $ </w:t>
      </w:r>
      <w:r>
        <w:rPr>
          <w:rFonts w:cs="Arial"/>
        </w:rPr>
        <w:t xml:space="preserve">876.552, </w:t>
      </w:r>
      <w:r w:rsidRPr="00963319">
        <w:rPr>
          <w:rFonts w:cs="Arial"/>
        </w:rPr>
        <w:t>lo que representa el 20% en ambos casos.</w:t>
      </w:r>
    </w:p>
    <w:p w:rsidR="00C147ED" w:rsidRPr="009852D6" w:rsidRDefault="00471135" w:rsidP="00471135">
      <w:pPr>
        <w:widowControl w:val="0"/>
        <w:tabs>
          <w:tab w:val="left" w:pos="-720"/>
        </w:tabs>
        <w:suppressAutoHyphens/>
        <w:spacing w:line="360" w:lineRule="auto"/>
        <w:jc w:val="right"/>
        <w:rPr>
          <w:rFonts w:cs="Arial"/>
          <w:snapToGrid w:val="0"/>
        </w:rPr>
      </w:pPr>
      <w:r>
        <w:rPr>
          <w:rFonts w:cs="Arial"/>
        </w:rPr>
        <w:t>Saludamos a Usted atentamente</w:t>
      </w:r>
    </w:p>
    <w:p w:rsidR="00C147ED" w:rsidRPr="00963319" w:rsidRDefault="00C147ED" w:rsidP="00C147ED">
      <w:pPr>
        <w:ind w:hanging="426"/>
        <w:jc w:val="both"/>
        <w:rPr>
          <w:rFonts w:cs="Arial"/>
        </w:rPr>
      </w:pPr>
      <w:proofErr w:type="gramStart"/>
      <w:r>
        <w:rPr>
          <w:rFonts w:cs="Arial"/>
        </w:rPr>
        <w:t>dc</w:t>
      </w:r>
      <w:proofErr w:type="gramEnd"/>
    </w:p>
    <w:sectPr w:rsidR="00C147ED" w:rsidRPr="00963319" w:rsidSect="00077C17">
      <w:footerReference w:type="default" r:id="rId8"/>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0CB" w:rsidRDefault="005B50CB" w:rsidP="00E60F0D">
      <w:r>
        <w:separator/>
      </w:r>
    </w:p>
  </w:endnote>
  <w:endnote w:type="continuationSeparator" w:id="0">
    <w:p w:rsidR="005B50CB" w:rsidRDefault="005B50CB" w:rsidP="00E6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185208"/>
      <w:docPartObj>
        <w:docPartGallery w:val="Page Numbers (Bottom of Page)"/>
        <w:docPartUnique/>
      </w:docPartObj>
    </w:sdtPr>
    <w:sdtContent>
      <w:p w:rsidR="005B50CB" w:rsidRDefault="005B50CB">
        <w:pPr>
          <w:pStyle w:val="Piedepgina"/>
          <w:jc w:val="right"/>
        </w:pPr>
        <w:r>
          <w:fldChar w:fldCharType="begin"/>
        </w:r>
        <w:r>
          <w:instrText>PAGE   \* MERGEFORMAT</w:instrText>
        </w:r>
        <w:r>
          <w:fldChar w:fldCharType="separate"/>
        </w:r>
        <w:r w:rsidR="00EA3DCA">
          <w:rPr>
            <w:noProof/>
          </w:rPr>
          <w:t>1</w:t>
        </w:r>
        <w:r>
          <w:fldChar w:fldCharType="end"/>
        </w:r>
      </w:p>
    </w:sdtContent>
  </w:sdt>
  <w:p w:rsidR="005B50CB" w:rsidRDefault="005B50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0CB" w:rsidRDefault="005B50CB" w:rsidP="00E60F0D">
      <w:r>
        <w:separator/>
      </w:r>
    </w:p>
  </w:footnote>
  <w:footnote w:type="continuationSeparator" w:id="0">
    <w:p w:rsidR="005B50CB" w:rsidRDefault="005B50CB" w:rsidP="00E60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71B35"/>
    <w:multiLevelType w:val="multilevel"/>
    <w:tmpl w:val="C2BC52D6"/>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39A2514"/>
    <w:multiLevelType w:val="hybridMultilevel"/>
    <w:tmpl w:val="B628A458"/>
    <w:lvl w:ilvl="0" w:tplc="5CE4F968">
      <w:start w:val="1"/>
      <w:numFmt w:val="decimal"/>
      <w:lvlText w:val="%1)"/>
      <w:lvlJc w:val="left"/>
      <w:pPr>
        <w:ind w:left="720" w:hanging="360"/>
      </w:pPr>
      <w:rPr>
        <w:rFonts w:ascii="Arial" w:eastAsia="Times New Roman" w:hAnsi="Arial" w:cs="Arial"/>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4FC461F9"/>
    <w:multiLevelType w:val="multilevel"/>
    <w:tmpl w:val="380A001F"/>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lang w:val="es-E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77B4D1B"/>
    <w:multiLevelType w:val="hybridMultilevel"/>
    <w:tmpl w:val="D7EAE594"/>
    <w:lvl w:ilvl="0" w:tplc="380A0001">
      <w:start w:val="1"/>
      <w:numFmt w:val="bullet"/>
      <w:lvlText w:val=""/>
      <w:lvlJc w:val="left"/>
      <w:pPr>
        <w:ind w:left="644"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cs="Times New Roman" w:hint="default"/>
      </w:rPr>
    </w:lvl>
    <w:lvl w:ilvl="3" w:tplc="380A0001">
      <w:start w:val="1"/>
      <w:numFmt w:val="bullet"/>
      <w:lvlText w:val=""/>
      <w:lvlJc w:val="left"/>
      <w:pPr>
        <w:ind w:left="2880" w:hanging="360"/>
      </w:pPr>
      <w:rPr>
        <w:rFonts w:ascii="Symbol" w:hAnsi="Symbol" w:cs="Times New Roman"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cs="Times New Roman" w:hint="default"/>
      </w:rPr>
    </w:lvl>
    <w:lvl w:ilvl="6" w:tplc="380A0001">
      <w:start w:val="1"/>
      <w:numFmt w:val="bullet"/>
      <w:lvlText w:val=""/>
      <w:lvlJc w:val="left"/>
      <w:pPr>
        <w:ind w:left="5040" w:hanging="360"/>
      </w:pPr>
      <w:rPr>
        <w:rFonts w:ascii="Symbol" w:hAnsi="Symbol" w:cs="Times New Roman"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24"/>
    <w:rsid w:val="00000962"/>
    <w:rsid w:val="000031F4"/>
    <w:rsid w:val="00004175"/>
    <w:rsid w:val="0001192C"/>
    <w:rsid w:val="00013C3E"/>
    <w:rsid w:val="000209EA"/>
    <w:rsid w:val="00034E70"/>
    <w:rsid w:val="000408DC"/>
    <w:rsid w:val="00041D6E"/>
    <w:rsid w:val="00044BE9"/>
    <w:rsid w:val="00051E27"/>
    <w:rsid w:val="00061B7B"/>
    <w:rsid w:val="00063395"/>
    <w:rsid w:val="00063419"/>
    <w:rsid w:val="00071281"/>
    <w:rsid w:val="000737CF"/>
    <w:rsid w:val="00074006"/>
    <w:rsid w:val="00077C17"/>
    <w:rsid w:val="000852AD"/>
    <w:rsid w:val="00091C3A"/>
    <w:rsid w:val="00092CDE"/>
    <w:rsid w:val="000B7B57"/>
    <w:rsid w:val="000C1655"/>
    <w:rsid w:val="000E4790"/>
    <w:rsid w:val="000E6C0E"/>
    <w:rsid w:val="00123774"/>
    <w:rsid w:val="00142395"/>
    <w:rsid w:val="00144AE7"/>
    <w:rsid w:val="00146920"/>
    <w:rsid w:val="00157CCB"/>
    <w:rsid w:val="00167CB2"/>
    <w:rsid w:val="001843AD"/>
    <w:rsid w:val="00187A8E"/>
    <w:rsid w:val="00191191"/>
    <w:rsid w:val="001B6B97"/>
    <w:rsid w:val="001C0BE8"/>
    <w:rsid w:val="001C6C1D"/>
    <w:rsid w:val="001E0F5C"/>
    <w:rsid w:val="001E7AA4"/>
    <w:rsid w:val="001F44FF"/>
    <w:rsid w:val="002061EB"/>
    <w:rsid w:val="00211B16"/>
    <w:rsid w:val="00220947"/>
    <w:rsid w:val="0023439B"/>
    <w:rsid w:val="00260623"/>
    <w:rsid w:val="00274E3F"/>
    <w:rsid w:val="00276047"/>
    <w:rsid w:val="00280C74"/>
    <w:rsid w:val="002A255F"/>
    <w:rsid w:val="002B0207"/>
    <w:rsid w:val="002B30D4"/>
    <w:rsid w:val="002B42D3"/>
    <w:rsid w:val="002D6F01"/>
    <w:rsid w:val="002E06BD"/>
    <w:rsid w:val="002E079B"/>
    <w:rsid w:val="002E656E"/>
    <w:rsid w:val="00307B78"/>
    <w:rsid w:val="00322F86"/>
    <w:rsid w:val="0032450E"/>
    <w:rsid w:val="00324AFF"/>
    <w:rsid w:val="00331B8F"/>
    <w:rsid w:val="00333D86"/>
    <w:rsid w:val="0036528E"/>
    <w:rsid w:val="003661E1"/>
    <w:rsid w:val="00366BC1"/>
    <w:rsid w:val="00373EE7"/>
    <w:rsid w:val="00397F33"/>
    <w:rsid w:val="003A7E62"/>
    <w:rsid w:val="003B5E44"/>
    <w:rsid w:val="003C551B"/>
    <w:rsid w:val="003D1C91"/>
    <w:rsid w:val="003D3F6B"/>
    <w:rsid w:val="003E15EC"/>
    <w:rsid w:val="003E35F5"/>
    <w:rsid w:val="003F5422"/>
    <w:rsid w:val="003F66CC"/>
    <w:rsid w:val="004667A9"/>
    <w:rsid w:val="00470C8E"/>
    <w:rsid w:val="00471135"/>
    <w:rsid w:val="004846EE"/>
    <w:rsid w:val="00486F22"/>
    <w:rsid w:val="0049419D"/>
    <w:rsid w:val="004942CF"/>
    <w:rsid w:val="00497205"/>
    <w:rsid w:val="004B7FB0"/>
    <w:rsid w:val="004D7256"/>
    <w:rsid w:val="004D74E8"/>
    <w:rsid w:val="004D77C0"/>
    <w:rsid w:val="004F04D9"/>
    <w:rsid w:val="004F5A92"/>
    <w:rsid w:val="0050058B"/>
    <w:rsid w:val="005063AF"/>
    <w:rsid w:val="00525FB6"/>
    <w:rsid w:val="00527647"/>
    <w:rsid w:val="00564049"/>
    <w:rsid w:val="00570C45"/>
    <w:rsid w:val="00576FA4"/>
    <w:rsid w:val="005919F8"/>
    <w:rsid w:val="005A1101"/>
    <w:rsid w:val="005B50CB"/>
    <w:rsid w:val="005C644C"/>
    <w:rsid w:val="005D11C3"/>
    <w:rsid w:val="005D7677"/>
    <w:rsid w:val="005F287D"/>
    <w:rsid w:val="005F2D2C"/>
    <w:rsid w:val="0060461A"/>
    <w:rsid w:val="00610BB2"/>
    <w:rsid w:val="00611614"/>
    <w:rsid w:val="00650DC6"/>
    <w:rsid w:val="00654CBF"/>
    <w:rsid w:val="00655576"/>
    <w:rsid w:val="006555D1"/>
    <w:rsid w:val="00663106"/>
    <w:rsid w:val="0067217E"/>
    <w:rsid w:val="00672E2E"/>
    <w:rsid w:val="00685224"/>
    <w:rsid w:val="00693758"/>
    <w:rsid w:val="006A10FE"/>
    <w:rsid w:val="006E7051"/>
    <w:rsid w:val="006F615B"/>
    <w:rsid w:val="00726850"/>
    <w:rsid w:val="00736CC7"/>
    <w:rsid w:val="00741901"/>
    <w:rsid w:val="00742A74"/>
    <w:rsid w:val="00744798"/>
    <w:rsid w:val="00747BA8"/>
    <w:rsid w:val="00757680"/>
    <w:rsid w:val="00772E30"/>
    <w:rsid w:val="007811A2"/>
    <w:rsid w:val="007A07DB"/>
    <w:rsid w:val="007B1522"/>
    <w:rsid w:val="007C2D7E"/>
    <w:rsid w:val="007E326E"/>
    <w:rsid w:val="007E7745"/>
    <w:rsid w:val="007E7CF2"/>
    <w:rsid w:val="0081074F"/>
    <w:rsid w:val="0081163C"/>
    <w:rsid w:val="00811B2C"/>
    <w:rsid w:val="00832B61"/>
    <w:rsid w:val="00852549"/>
    <w:rsid w:val="00855413"/>
    <w:rsid w:val="008623EE"/>
    <w:rsid w:val="00865E6A"/>
    <w:rsid w:val="00867528"/>
    <w:rsid w:val="008737E5"/>
    <w:rsid w:val="008750FC"/>
    <w:rsid w:val="0092133E"/>
    <w:rsid w:val="009332B5"/>
    <w:rsid w:val="009361E2"/>
    <w:rsid w:val="0094397C"/>
    <w:rsid w:val="009527FA"/>
    <w:rsid w:val="00956F13"/>
    <w:rsid w:val="00963319"/>
    <w:rsid w:val="00971C21"/>
    <w:rsid w:val="00981579"/>
    <w:rsid w:val="009852D6"/>
    <w:rsid w:val="0099576D"/>
    <w:rsid w:val="009973BE"/>
    <w:rsid w:val="009A1A24"/>
    <w:rsid w:val="009B06B7"/>
    <w:rsid w:val="009B1E8A"/>
    <w:rsid w:val="009C72ED"/>
    <w:rsid w:val="009D4158"/>
    <w:rsid w:val="009E473E"/>
    <w:rsid w:val="00A115CB"/>
    <w:rsid w:val="00A15AC8"/>
    <w:rsid w:val="00A211D3"/>
    <w:rsid w:val="00A233AF"/>
    <w:rsid w:val="00A2720F"/>
    <w:rsid w:val="00A354FE"/>
    <w:rsid w:val="00A41D18"/>
    <w:rsid w:val="00AA21FC"/>
    <w:rsid w:val="00AA6FCC"/>
    <w:rsid w:val="00AB0869"/>
    <w:rsid w:val="00AB2DFF"/>
    <w:rsid w:val="00AB60CA"/>
    <w:rsid w:val="00AB7F87"/>
    <w:rsid w:val="00AC5782"/>
    <w:rsid w:val="00B50B6E"/>
    <w:rsid w:val="00B53378"/>
    <w:rsid w:val="00B5421B"/>
    <w:rsid w:val="00B62FCD"/>
    <w:rsid w:val="00B637AB"/>
    <w:rsid w:val="00B63C63"/>
    <w:rsid w:val="00B7326A"/>
    <w:rsid w:val="00B743CA"/>
    <w:rsid w:val="00B75824"/>
    <w:rsid w:val="00B846A0"/>
    <w:rsid w:val="00B92B87"/>
    <w:rsid w:val="00B95C9C"/>
    <w:rsid w:val="00B96CD1"/>
    <w:rsid w:val="00BA2510"/>
    <w:rsid w:val="00BA269A"/>
    <w:rsid w:val="00C1238F"/>
    <w:rsid w:val="00C147ED"/>
    <w:rsid w:val="00C14993"/>
    <w:rsid w:val="00C22A6E"/>
    <w:rsid w:val="00C47754"/>
    <w:rsid w:val="00C548AF"/>
    <w:rsid w:val="00C559EF"/>
    <w:rsid w:val="00C61D5D"/>
    <w:rsid w:val="00C655D2"/>
    <w:rsid w:val="00C70A93"/>
    <w:rsid w:val="00C86000"/>
    <w:rsid w:val="00C93A40"/>
    <w:rsid w:val="00CA16ED"/>
    <w:rsid w:val="00CA6573"/>
    <w:rsid w:val="00CA6845"/>
    <w:rsid w:val="00CA6937"/>
    <w:rsid w:val="00CC4C31"/>
    <w:rsid w:val="00CD72C9"/>
    <w:rsid w:val="00D049BA"/>
    <w:rsid w:val="00D36A58"/>
    <w:rsid w:val="00D52EDD"/>
    <w:rsid w:val="00D92B9C"/>
    <w:rsid w:val="00D93A36"/>
    <w:rsid w:val="00D977BD"/>
    <w:rsid w:val="00DA49A6"/>
    <w:rsid w:val="00DA6607"/>
    <w:rsid w:val="00DB28D9"/>
    <w:rsid w:val="00DB6D0D"/>
    <w:rsid w:val="00DC14CD"/>
    <w:rsid w:val="00DD5F5F"/>
    <w:rsid w:val="00DE7AA5"/>
    <w:rsid w:val="00DF06F1"/>
    <w:rsid w:val="00DF2649"/>
    <w:rsid w:val="00DF31A9"/>
    <w:rsid w:val="00DF64D5"/>
    <w:rsid w:val="00E05745"/>
    <w:rsid w:val="00E44CDA"/>
    <w:rsid w:val="00E554C9"/>
    <w:rsid w:val="00E56412"/>
    <w:rsid w:val="00E601A8"/>
    <w:rsid w:val="00E60F0D"/>
    <w:rsid w:val="00E64902"/>
    <w:rsid w:val="00E76EC2"/>
    <w:rsid w:val="00E93185"/>
    <w:rsid w:val="00EA3DCA"/>
    <w:rsid w:val="00EB57BC"/>
    <w:rsid w:val="00EC0179"/>
    <w:rsid w:val="00EC31C0"/>
    <w:rsid w:val="00ED51BD"/>
    <w:rsid w:val="00ED611F"/>
    <w:rsid w:val="00F128B2"/>
    <w:rsid w:val="00F15313"/>
    <w:rsid w:val="00F16FA6"/>
    <w:rsid w:val="00F2459E"/>
    <w:rsid w:val="00FA2D75"/>
    <w:rsid w:val="00FC2A4B"/>
    <w:rsid w:val="00FC7E5C"/>
    <w:rsid w:val="00FD3A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2C"/>
    <w:rPr>
      <w:rFonts w:ascii="Arial" w:hAnsi="Arial"/>
      <w:sz w:val="24"/>
      <w:szCs w:val="24"/>
    </w:rPr>
  </w:style>
  <w:style w:type="paragraph" w:styleId="Ttulo1">
    <w:name w:val="heading 1"/>
    <w:basedOn w:val="Normal"/>
    <w:next w:val="Normal"/>
    <w:qFormat/>
    <w:rsid w:val="005F2D2C"/>
    <w:pPr>
      <w:keepNext/>
      <w:tabs>
        <w:tab w:val="center" w:pos="4253"/>
      </w:tabs>
      <w:suppressAutoHyphens/>
      <w:spacing w:line="360" w:lineRule="auto"/>
      <w:jc w:val="both"/>
      <w:outlineLvl w:val="0"/>
    </w:pPr>
    <w:rPr>
      <w:rFonts w:ascii="Helvetica" w:hAnsi="Helvetica"/>
      <w:b/>
      <w:lang w:val="es-ES_tradnl"/>
    </w:rPr>
  </w:style>
  <w:style w:type="paragraph" w:styleId="Ttulo7">
    <w:name w:val="heading 7"/>
    <w:basedOn w:val="Normal"/>
    <w:next w:val="Normal"/>
    <w:link w:val="Ttulo7Car"/>
    <w:qFormat/>
    <w:rsid w:val="005F2D2C"/>
    <w:pPr>
      <w:widowControl w:val="0"/>
      <w:spacing w:before="240" w:after="60"/>
      <w:outlineLvl w:val="6"/>
    </w:pPr>
    <w:rPr>
      <w:rFonts w:ascii="Times New Roman" w:hAnsi="Times New Roman"/>
      <w:snapToGrid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F2D2C"/>
    <w:pPr>
      <w:spacing w:before="100" w:beforeAutospacing="1" w:after="119"/>
    </w:pPr>
    <w:rPr>
      <w:rFonts w:ascii="Times New Roman" w:hAnsi="Times New Roman"/>
      <w:lang w:val="es-UY" w:eastAsia="es-UY"/>
    </w:rPr>
  </w:style>
  <w:style w:type="paragraph" w:customStyle="1" w:styleId="Prrafodelista1">
    <w:name w:val="Párrafo de lista1"/>
    <w:basedOn w:val="Normal"/>
    <w:rsid w:val="005F2D2C"/>
    <w:pPr>
      <w:spacing w:after="200" w:line="276" w:lineRule="auto"/>
      <w:ind w:left="720"/>
    </w:pPr>
    <w:rPr>
      <w:rFonts w:ascii="Calibri" w:hAnsi="Calibri"/>
      <w:szCs w:val="22"/>
      <w:lang w:val="es-UY" w:eastAsia="es-UY"/>
    </w:rPr>
  </w:style>
  <w:style w:type="paragraph" w:styleId="Sangradetextonormal">
    <w:name w:val="Body Text Indent"/>
    <w:basedOn w:val="Normal"/>
    <w:link w:val="SangradetextonormalCar"/>
    <w:semiHidden/>
    <w:rsid w:val="005F2D2C"/>
    <w:pPr>
      <w:spacing w:after="120" w:line="480" w:lineRule="auto"/>
    </w:pPr>
    <w:rPr>
      <w:rFonts w:ascii="Calibri" w:hAnsi="Calibri"/>
      <w:sz w:val="22"/>
      <w:szCs w:val="22"/>
      <w:lang w:val="es-UY" w:eastAsia="es-UY"/>
    </w:rPr>
  </w:style>
  <w:style w:type="paragraph" w:styleId="Textoindependiente">
    <w:name w:val="Body Text"/>
    <w:basedOn w:val="Normal"/>
    <w:link w:val="TextoindependienteCar"/>
    <w:semiHidden/>
    <w:rsid w:val="005F2D2C"/>
    <w:pPr>
      <w:widowControl w:val="0"/>
      <w:tabs>
        <w:tab w:val="left" w:pos="-720"/>
      </w:tabs>
      <w:suppressAutoHyphens/>
      <w:spacing w:line="360" w:lineRule="auto"/>
      <w:jc w:val="both"/>
    </w:pPr>
    <w:rPr>
      <w:rFonts w:ascii="Bookman Old Style" w:hAnsi="Bookman Old Style"/>
      <w:snapToGrid w:val="0"/>
      <w:spacing w:val="-3"/>
      <w:szCs w:val="20"/>
      <w:lang w:val="es-ES_tradnl"/>
    </w:rPr>
  </w:style>
  <w:style w:type="paragraph" w:customStyle="1" w:styleId="Textonormal">
    <w:name w:val="Texto normal"/>
    <w:basedOn w:val="Textoindependiente"/>
    <w:rsid w:val="005F2D2C"/>
    <w:pPr>
      <w:spacing w:line="480" w:lineRule="auto"/>
    </w:pPr>
    <w:rPr>
      <w:rFonts w:ascii="Courier" w:hAnsi="Courier"/>
    </w:rPr>
  </w:style>
  <w:style w:type="paragraph" w:styleId="Sangra3detindependiente">
    <w:name w:val="Body Text Indent 3"/>
    <w:basedOn w:val="Normal"/>
    <w:link w:val="Sangra3detindependienteCar"/>
    <w:semiHidden/>
    <w:rsid w:val="005F2D2C"/>
    <w:pPr>
      <w:widowControl w:val="0"/>
      <w:spacing w:after="120"/>
      <w:ind w:left="283"/>
    </w:pPr>
    <w:rPr>
      <w:rFonts w:ascii="Courier New" w:hAnsi="Courier New"/>
      <w:snapToGrid w:val="0"/>
      <w:sz w:val="16"/>
      <w:szCs w:val="16"/>
    </w:rPr>
  </w:style>
  <w:style w:type="paragraph" w:styleId="Prrafodelista">
    <w:name w:val="List Paragraph"/>
    <w:basedOn w:val="Normal"/>
    <w:qFormat/>
    <w:rsid w:val="005F2D2C"/>
    <w:pPr>
      <w:widowControl w:val="0"/>
      <w:ind w:left="720"/>
    </w:pPr>
    <w:rPr>
      <w:rFonts w:ascii="Courier New" w:hAnsi="Courier New"/>
      <w:sz w:val="20"/>
      <w:szCs w:val="20"/>
    </w:rPr>
  </w:style>
  <w:style w:type="paragraph" w:styleId="Textoindependiente3">
    <w:name w:val="Body Text 3"/>
    <w:basedOn w:val="Normal"/>
    <w:semiHidden/>
    <w:rsid w:val="005F2D2C"/>
    <w:pPr>
      <w:spacing w:after="120"/>
    </w:pPr>
    <w:rPr>
      <w:sz w:val="16"/>
      <w:szCs w:val="16"/>
    </w:rPr>
  </w:style>
  <w:style w:type="paragraph" w:styleId="Textoindependiente2">
    <w:name w:val="Body Text 2"/>
    <w:basedOn w:val="Normal"/>
    <w:link w:val="Textoindependiente2Car"/>
    <w:rsid w:val="005F2D2C"/>
    <w:pPr>
      <w:widowControl w:val="0"/>
      <w:tabs>
        <w:tab w:val="left" w:pos="-720"/>
      </w:tabs>
      <w:suppressAutoHyphens/>
      <w:spacing w:line="360" w:lineRule="auto"/>
      <w:jc w:val="both"/>
    </w:pPr>
    <w:rPr>
      <w:rFonts w:ascii="Bookman Old Style" w:hAnsi="Bookman Old Style"/>
      <w:b/>
      <w:snapToGrid w:val="0"/>
      <w:spacing w:val="-3"/>
      <w:szCs w:val="20"/>
      <w:lang w:val="es-ES_tradnl"/>
    </w:rPr>
  </w:style>
  <w:style w:type="paragraph" w:styleId="Textodeglobo">
    <w:name w:val="Balloon Text"/>
    <w:basedOn w:val="Normal"/>
    <w:link w:val="TextodegloboCar"/>
    <w:uiPriority w:val="99"/>
    <w:semiHidden/>
    <w:unhideWhenUsed/>
    <w:rsid w:val="00B75824"/>
    <w:rPr>
      <w:rFonts w:ascii="Tahoma" w:hAnsi="Tahoma" w:cs="Tahoma"/>
      <w:sz w:val="16"/>
      <w:szCs w:val="16"/>
    </w:rPr>
  </w:style>
  <w:style w:type="character" w:customStyle="1" w:styleId="TextodegloboCar">
    <w:name w:val="Texto de globo Car"/>
    <w:link w:val="Textodeglobo"/>
    <w:uiPriority w:val="99"/>
    <w:semiHidden/>
    <w:rsid w:val="00B75824"/>
    <w:rPr>
      <w:rFonts w:ascii="Tahoma" w:hAnsi="Tahoma" w:cs="Tahoma"/>
      <w:sz w:val="16"/>
      <w:szCs w:val="16"/>
      <w:lang w:val="es-ES" w:eastAsia="es-ES"/>
    </w:rPr>
  </w:style>
  <w:style w:type="paragraph" w:styleId="Encabezado">
    <w:name w:val="header"/>
    <w:basedOn w:val="Normal"/>
    <w:link w:val="EncabezadoCar"/>
    <w:uiPriority w:val="99"/>
    <w:unhideWhenUsed/>
    <w:rsid w:val="00E60F0D"/>
    <w:pPr>
      <w:tabs>
        <w:tab w:val="center" w:pos="4252"/>
        <w:tab w:val="right" w:pos="8504"/>
      </w:tabs>
    </w:pPr>
  </w:style>
  <w:style w:type="character" w:customStyle="1" w:styleId="EncabezadoCar">
    <w:name w:val="Encabezado Car"/>
    <w:basedOn w:val="Fuentedeprrafopredeter"/>
    <w:link w:val="Encabezado"/>
    <w:uiPriority w:val="99"/>
    <w:rsid w:val="00E60F0D"/>
    <w:rPr>
      <w:rFonts w:ascii="Arial" w:hAnsi="Arial"/>
      <w:sz w:val="24"/>
      <w:szCs w:val="24"/>
    </w:rPr>
  </w:style>
  <w:style w:type="paragraph" w:styleId="Piedepgina">
    <w:name w:val="footer"/>
    <w:basedOn w:val="Normal"/>
    <w:link w:val="PiedepginaCar"/>
    <w:uiPriority w:val="99"/>
    <w:unhideWhenUsed/>
    <w:rsid w:val="00E60F0D"/>
    <w:pPr>
      <w:tabs>
        <w:tab w:val="center" w:pos="4252"/>
        <w:tab w:val="right" w:pos="8504"/>
      </w:tabs>
    </w:pPr>
  </w:style>
  <w:style w:type="character" w:customStyle="1" w:styleId="PiedepginaCar">
    <w:name w:val="Pie de página Car"/>
    <w:basedOn w:val="Fuentedeprrafopredeter"/>
    <w:link w:val="Piedepgina"/>
    <w:uiPriority w:val="99"/>
    <w:rsid w:val="00E60F0D"/>
    <w:rPr>
      <w:rFonts w:ascii="Arial" w:hAnsi="Arial"/>
      <w:sz w:val="24"/>
      <w:szCs w:val="24"/>
    </w:rPr>
  </w:style>
  <w:style w:type="character" w:customStyle="1" w:styleId="SangradetextonormalCar">
    <w:name w:val="Sangría de texto normal Car"/>
    <w:basedOn w:val="Fuentedeprrafopredeter"/>
    <w:link w:val="Sangradetextonormal"/>
    <w:semiHidden/>
    <w:rsid w:val="00C147ED"/>
    <w:rPr>
      <w:rFonts w:ascii="Calibri" w:hAnsi="Calibri"/>
      <w:sz w:val="22"/>
      <w:szCs w:val="22"/>
      <w:lang w:val="es-UY" w:eastAsia="es-UY"/>
    </w:rPr>
  </w:style>
  <w:style w:type="character" w:customStyle="1" w:styleId="Ttulo7Car">
    <w:name w:val="Título 7 Car"/>
    <w:basedOn w:val="Fuentedeprrafopredeter"/>
    <w:link w:val="Ttulo7"/>
    <w:rsid w:val="00C147ED"/>
    <w:rPr>
      <w:snapToGrid w:val="0"/>
      <w:sz w:val="24"/>
      <w:szCs w:val="24"/>
    </w:rPr>
  </w:style>
  <w:style w:type="character" w:customStyle="1" w:styleId="TextoindependienteCar">
    <w:name w:val="Texto independiente Car"/>
    <w:basedOn w:val="Fuentedeprrafopredeter"/>
    <w:link w:val="Textoindependiente"/>
    <w:semiHidden/>
    <w:rsid w:val="00C147ED"/>
    <w:rPr>
      <w:rFonts w:ascii="Bookman Old Style" w:hAnsi="Bookman Old Style"/>
      <w:snapToGrid w:val="0"/>
      <w:spacing w:val="-3"/>
      <w:sz w:val="24"/>
      <w:lang w:val="es-ES_tradnl"/>
    </w:rPr>
  </w:style>
  <w:style w:type="character" w:customStyle="1" w:styleId="Sangra3detindependienteCar">
    <w:name w:val="Sangría 3 de t. independiente Car"/>
    <w:basedOn w:val="Fuentedeprrafopredeter"/>
    <w:link w:val="Sangra3detindependiente"/>
    <w:semiHidden/>
    <w:rsid w:val="00C147ED"/>
    <w:rPr>
      <w:rFonts w:ascii="Courier New" w:hAnsi="Courier New"/>
      <w:snapToGrid w:val="0"/>
      <w:sz w:val="16"/>
      <w:szCs w:val="16"/>
    </w:rPr>
  </w:style>
  <w:style w:type="character" w:customStyle="1" w:styleId="Textoindependiente2Car">
    <w:name w:val="Texto independiente 2 Car"/>
    <w:basedOn w:val="Fuentedeprrafopredeter"/>
    <w:link w:val="Textoindependiente2"/>
    <w:rsid w:val="00C147ED"/>
    <w:rPr>
      <w:rFonts w:ascii="Bookman Old Style" w:hAnsi="Bookman Old Style"/>
      <w:b/>
      <w:snapToGrid w:val="0"/>
      <w:spacing w:val="-3"/>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2C"/>
    <w:rPr>
      <w:rFonts w:ascii="Arial" w:hAnsi="Arial"/>
      <w:sz w:val="24"/>
      <w:szCs w:val="24"/>
    </w:rPr>
  </w:style>
  <w:style w:type="paragraph" w:styleId="Ttulo1">
    <w:name w:val="heading 1"/>
    <w:basedOn w:val="Normal"/>
    <w:next w:val="Normal"/>
    <w:qFormat/>
    <w:rsid w:val="005F2D2C"/>
    <w:pPr>
      <w:keepNext/>
      <w:tabs>
        <w:tab w:val="center" w:pos="4253"/>
      </w:tabs>
      <w:suppressAutoHyphens/>
      <w:spacing w:line="360" w:lineRule="auto"/>
      <w:jc w:val="both"/>
      <w:outlineLvl w:val="0"/>
    </w:pPr>
    <w:rPr>
      <w:rFonts w:ascii="Helvetica" w:hAnsi="Helvetica"/>
      <w:b/>
      <w:lang w:val="es-ES_tradnl"/>
    </w:rPr>
  </w:style>
  <w:style w:type="paragraph" w:styleId="Ttulo7">
    <w:name w:val="heading 7"/>
    <w:basedOn w:val="Normal"/>
    <w:next w:val="Normal"/>
    <w:link w:val="Ttulo7Car"/>
    <w:qFormat/>
    <w:rsid w:val="005F2D2C"/>
    <w:pPr>
      <w:widowControl w:val="0"/>
      <w:spacing w:before="240" w:after="60"/>
      <w:outlineLvl w:val="6"/>
    </w:pPr>
    <w:rPr>
      <w:rFonts w:ascii="Times New Roman" w:hAnsi="Times New Roman"/>
      <w:snapToGrid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F2D2C"/>
    <w:pPr>
      <w:spacing w:before="100" w:beforeAutospacing="1" w:after="119"/>
    </w:pPr>
    <w:rPr>
      <w:rFonts w:ascii="Times New Roman" w:hAnsi="Times New Roman"/>
      <w:lang w:val="es-UY" w:eastAsia="es-UY"/>
    </w:rPr>
  </w:style>
  <w:style w:type="paragraph" w:customStyle="1" w:styleId="Prrafodelista1">
    <w:name w:val="Párrafo de lista1"/>
    <w:basedOn w:val="Normal"/>
    <w:rsid w:val="005F2D2C"/>
    <w:pPr>
      <w:spacing w:after="200" w:line="276" w:lineRule="auto"/>
      <w:ind w:left="720"/>
    </w:pPr>
    <w:rPr>
      <w:rFonts w:ascii="Calibri" w:hAnsi="Calibri"/>
      <w:szCs w:val="22"/>
      <w:lang w:val="es-UY" w:eastAsia="es-UY"/>
    </w:rPr>
  </w:style>
  <w:style w:type="paragraph" w:styleId="Sangradetextonormal">
    <w:name w:val="Body Text Indent"/>
    <w:basedOn w:val="Normal"/>
    <w:link w:val="SangradetextonormalCar"/>
    <w:semiHidden/>
    <w:rsid w:val="005F2D2C"/>
    <w:pPr>
      <w:spacing w:after="120" w:line="480" w:lineRule="auto"/>
    </w:pPr>
    <w:rPr>
      <w:rFonts w:ascii="Calibri" w:hAnsi="Calibri"/>
      <w:sz w:val="22"/>
      <w:szCs w:val="22"/>
      <w:lang w:val="es-UY" w:eastAsia="es-UY"/>
    </w:rPr>
  </w:style>
  <w:style w:type="paragraph" w:styleId="Textoindependiente">
    <w:name w:val="Body Text"/>
    <w:basedOn w:val="Normal"/>
    <w:link w:val="TextoindependienteCar"/>
    <w:semiHidden/>
    <w:rsid w:val="005F2D2C"/>
    <w:pPr>
      <w:widowControl w:val="0"/>
      <w:tabs>
        <w:tab w:val="left" w:pos="-720"/>
      </w:tabs>
      <w:suppressAutoHyphens/>
      <w:spacing w:line="360" w:lineRule="auto"/>
      <w:jc w:val="both"/>
    </w:pPr>
    <w:rPr>
      <w:rFonts w:ascii="Bookman Old Style" w:hAnsi="Bookman Old Style"/>
      <w:snapToGrid w:val="0"/>
      <w:spacing w:val="-3"/>
      <w:szCs w:val="20"/>
      <w:lang w:val="es-ES_tradnl"/>
    </w:rPr>
  </w:style>
  <w:style w:type="paragraph" w:customStyle="1" w:styleId="Textonormal">
    <w:name w:val="Texto normal"/>
    <w:basedOn w:val="Textoindependiente"/>
    <w:rsid w:val="005F2D2C"/>
    <w:pPr>
      <w:spacing w:line="480" w:lineRule="auto"/>
    </w:pPr>
    <w:rPr>
      <w:rFonts w:ascii="Courier" w:hAnsi="Courier"/>
    </w:rPr>
  </w:style>
  <w:style w:type="paragraph" w:styleId="Sangra3detindependiente">
    <w:name w:val="Body Text Indent 3"/>
    <w:basedOn w:val="Normal"/>
    <w:link w:val="Sangra3detindependienteCar"/>
    <w:semiHidden/>
    <w:rsid w:val="005F2D2C"/>
    <w:pPr>
      <w:widowControl w:val="0"/>
      <w:spacing w:after="120"/>
      <w:ind w:left="283"/>
    </w:pPr>
    <w:rPr>
      <w:rFonts w:ascii="Courier New" w:hAnsi="Courier New"/>
      <w:snapToGrid w:val="0"/>
      <w:sz w:val="16"/>
      <w:szCs w:val="16"/>
    </w:rPr>
  </w:style>
  <w:style w:type="paragraph" w:styleId="Prrafodelista">
    <w:name w:val="List Paragraph"/>
    <w:basedOn w:val="Normal"/>
    <w:qFormat/>
    <w:rsid w:val="005F2D2C"/>
    <w:pPr>
      <w:widowControl w:val="0"/>
      <w:ind w:left="720"/>
    </w:pPr>
    <w:rPr>
      <w:rFonts w:ascii="Courier New" w:hAnsi="Courier New"/>
      <w:sz w:val="20"/>
      <w:szCs w:val="20"/>
    </w:rPr>
  </w:style>
  <w:style w:type="paragraph" w:styleId="Textoindependiente3">
    <w:name w:val="Body Text 3"/>
    <w:basedOn w:val="Normal"/>
    <w:semiHidden/>
    <w:rsid w:val="005F2D2C"/>
    <w:pPr>
      <w:spacing w:after="120"/>
    </w:pPr>
    <w:rPr>
      <w:sz w:val="16"/>
      <w:szCs w:val="16"/>
    </w:rPr>
  </w:style>
  <w:style w:type="paragraph" w:styleId="Textoindependiente2">
    <w:name w:val="Body Text 2"/>
    <w:basedOn w:val="Normal"/>
    <w:link w:val="Textoindependiente2Car"/>
    <w:rsid w:val="005F2D2C"/>
    <w:pPr>
      <w:widowControl w:val="0"/>
      <w:tabs>
        <w:tab w:val="left" w:pos="-720"/>
      </w:tabs>
      <w:suppressAutoHyphens/>
      <w:spacing w:line="360" w:lineRule="auto"/>
      <w:jc w:val="both"/>
    </w:pPr>
    <w:rPr>
      <w:rFonts w:ascii="Bookman Old Style" w:hAnsi="Bookman Old Style"/>
      <w:b/>
      <w:snapToGrid w:val="0"/>
      <w:spacing w:val="-3"/>
      <w:szCs w:val="20"/>
      <w:lang w:val="es-ES_tradnl"/>
    </w:rPr>
  </w:style>
  <w:style w:type="paragraph" w:styleId="Textodeglobo">
    <w:name w:val="Balloon Text"/>
    <w:basedOn w:val="Normal"/>
    <w:link w:val="TextodegloboCar"/>
    <w:uiPriority w:val="99"/>
    <w:semiHidden/>
    <w:unhideWhenUsed/>
    <w:rsid w:val="00B75824"/>
    <w:rPr>
      <w:rFonts w:ascii="Tahoma" w:hAnsi="Tahoma" w:cs="Tahoma"/>
      <w:sz w:val="16"/>
      <w:szCs w:val="16"/>
    </w:rPr>
  </w:style>
  <w:style w:type="character" w:customStyle="1" w:styleId="TextodegloboCar">
    <w:name w:val="Texto de globo Car"/>
    <w:link w:val="Textodeglobo"/>
    <w:uiPriority w:val="99"/>
    <w:semiHidden/>
    <w:rsid w:val="00B75824"/>
    <w:rPr>
      <w:rFonts w:ascii="Tahoma" w:hAnsi="Tahoma" w:cs="Tahoma"/>
      <w:sz w:val="16"/>
      <w:szCs w:val="16"/>
      <w:lang w:val="es-ES" w:eastAsia="es-ES"/>
    </w:rPr>
  </w:style>
  <w:style w:type="paragraph" w:styleId="Encabezado">
    <w:name w:val="header"/>
    <w:basedOn w:val="Normal"/>
    <w:link w:val="EncabezadoCar"/>
    <w:uiPriority w:val="99"/>
    <w:unhideWhenUsed/>
    <w:rsid w:val="00E60F0D"/>
    <w:pPr>
      <w:tabs>
        <w:tab w:val="center" w:pos="4252"/>
        <w:tab w:val="right" w:pos="8504"/>
      </w:tabs>
    </w:pPr>
  </w:style>
  <w:style w:type="character" w:customStyle="1" w:styleId="EncabezadoCar">
    <w:name w:val="Encabezado Car"/>
    <w:basedOn w:val="Fuentedeprrafopredeter"/>
    <w:link w:val="Encabezado"/>
    <w:uiPriority w:val="99"/>
    <w:rsid w:val="00E60F0D"/>
    <w:rPr>
      <w:rFonts w:ascii="Arial" w:hAnsi="Arial"/>
      <w:sz w:val="24"/>
      <w:szCs w:val="24"/>
    </w:rPr>
  </w:style>
  <w:style w:type="paragraph" w:styleId="Piedepgina">
    <w:name w:val="footer"/>
    <w:basedOn w:val="Normal"/>
    <w:link w:val="PiedepginaCar"/>
    <w:uiPriority w:val="99"/>
    <w:unhideWhenUsed/>
    <w:rsid w:val="00E60F0D"/>
    <w:pPr>
      <w:tabs>
        <w:tab w:val="center" w:pos="4252"/>
        <w:tab w:val="right" w:pos="8504"/>
      </w:tabs>
    </w:pPr>
  </w:style>
  <w:style w:type="character" w:customStyle="1" w:styleId="PiedepginaCar">
    <w:name w:val="Pie de página Car"/>
    <w:basedOn w:val="Fuentedeprrafopredeter"/>
    <w:link w:val="Piedepgina"/>
    <w:uiPriority w:val="99"/>
    <w:rsid w:val="00E60F0D"/>
    <w:rPr>
      <w:rFonts w:ascii="Arial" w:hAnsi="Arial"/>
      <w:sz w:val="24"/>
      <w:szCs w:val="24"/>
    </w:rPr>
  </w:style>
  <w:style w:type="character" w:customStyle="1" w:styleId="SangradetextonormalCar">
    <w:name w:val="Sangría de texto normal Car"/>
    <w:basedOn w:val="Fuentedeprrafopredeter"/>
    <w:link w:val="Sangradetextonormal"/>
    <w:semiHidden/>
    <w:rsid w:val="00C147ED"/>
    <w:rPr>
      <w:rFonts w:ascii="Calibri" w:hAnsi="Calibri"/>
      <w:sz w:val="22"/>
      <w:szCs w:val="22"/>
      <w:lang w:val="es-UY" w:eastAsia="es-UY"/>
    </w:rPr>
  </w:style>
  <w:style w:type="character" w:customStyle="1" w:styleId="Ttulo7Car">
    <w:name w:val="Título 7 Car"/>
    <w:basedOn w:val="Fuentedeprrafopredeter"/>
    <w:link w:val="Ttulo7"/>
    <w:rsid w:val="00C147ED"/>
    <w:rPr>
      <w:snapToGrid w:val="0"/>
      <w:sz w:val="24"/>
      <w:szCs w:val="24"/>
    </w:rPr>
  </w:style>
  <w:style w:type="character" w:customStyle="1" w:styleId="TextoindependienteCar">
    <w:name w:val="Texto independiente Car"/>
    <w:basedOn w:val="Fuentedeprrafopredeter"/>
    <w:link w:val="Textoindependiente"/>
    <w:semiHidden/>
    <w:rsid w:val="00C147ED"/>
    <w:rPr>
      <w:rFonts w:ascii="Bookman Old Style" w:hAnsi="Bookman Old Style"/>
      <w:snapToGrid w:val="0"/>
      <w:spacing w:val="-3"/>
      <w:sz w:val="24"/>
      <w:lang w:val="es-ES_tradnl"/>
    </w:rPr>
  </w:style>
  <w:style w:type="character" w:customStyle="1" w:styleId="Sangra3detindependienteCar">
    <w:name w:val="Sangría 3 de t. independiente Car"/>
    <w:basedOn w:val="Fuentedeprrafopredeter"/>
    <w:link w:val="Sangra3detindependiente"/>
    <w:semiHidden/>
    <w:rsid w:val="00C147ED"/>
    <w:rPr>
      <w:rFonts w:ascii="Courier New" w:hAnsi="Courier New"/>
      <w:snapToGrid w:val="0"/>
      <w:sz w:val="16"/>
      <w:szCs w:val="16"/>
    </w:rPr>
  </w:style>
  <w:style w:type="character" w:customStyle="1" w:styleId="Textoindependiente2Car">
    <w:name w:val="Texto independiente 2 Car"/>
    <w:basedOn w:val="Fuentedeprrafopredeter"/>
    <w:link w:val="Textoindependiente2"/>
    <w:rsid w:val="00C147ED"/>
    <w:rPr>
      <w:rFonts w:ascii="Bookman Old Style" w:hAnsi="Bookman Old Style"/>
      <w:b/>
      <w:snapToGrid w:val="0"/>
      <w:spacing w:val="-3"/>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1840</Words>
  <Characters>9891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DICTAMEN</vt:lpstr>
    </vt:vector>
  </TitlesOfParts>
  <Company>Tribunal de Cuentas</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DICTAMEN</dc:title>
  <dc:creator>Tribunal de Cuentas</dc:creator>
  <cp:lastModifiedBy> </cp:lastModifiedBy>
  <cp:revision>5</cp:revision>
  <cp:lastPrinted>2015-12-11T21:39:00Z</cp:lastPrinted>
  <dcterms:created xsi:type="dcterms:W3CDTF">2015-12-11T21:40:00Z</dcterms:created>
  <dcterms:modified xsi:type="dcterms:W3CDTF">2016-01-12T13:53:00Z</dcterms:modified>
</cp:coreProperties>
</file>