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75" w:rsidRPr="009E2A5B" w:rsidRDefault="00985D75">
      <w:pPr>
        <w:tabs>
          <w:tab w:val="center" w:pos="4253"/>
        </w:tabs>
        <w:suppressAutoHyphens/>
        <w:jc w:val="center"/>
        <w:rPr>
          <w:rFonts w:cs="Arial"/>
          <w:b/>
          <w:lang w:val="es-ES_tradnl"/>
        </w:rPr>
      </w:pPr>
      <w:bookmarkStart w:id="0" w:name="_GoBack"/>
      <w:bookmarkEnd w:id="0"/>
      <w:r w:rsidRPr="009E2A5B">
        <w:rPr>
          <w:rFonts w:cs="Arial"/>
          <w:b/>
          <w:lang w:val="es-ES_tradnl"/>
        </w:rPr>
        <w:t>RESOLUCION ADOPTADA POR EL</w:t>
      </w:r>
    </w:p>
    <w:p w:rsidR="00985D75" w:rsidRPr="009E2A5B" w:rsidRDefault="00985D75">
      <w:pPr>
        <w:tabs>
          <w:tab w:val="left" w:pos="-720"/>
        </w:tabs>
        <w:suppressAutoHyphens/>
        <w:jc w:val="center"/>
        <w:rPr>
          <w:rFonts w:cs="Arial"/>
          <w:b/>
          <w:lang w:val="es-ES_tradnl"/>
        </w:rPr>
      </w:pPr>
    </w:p>
    <w:p w:rsidR="00985D75" w:rsidRPr="009E2A5B" w:rsidRDefault="00985D75">
      <w:pPr>
        <w:tabs>
          <w:tab w:val="center" w:pos="4253"/>
        </w:tabs>
        <w:suppressAutoHyphens/>
        <w:jc w:val="center"/>
        <w:rPr>
          <w:rFonts w:cs="Arial"/>
          <w:b/>
          <w:lang w:val="es-ES_tradnl"/>
        </w:rPr>
      </w:pPr>
      <w:r w:rsidRPr="009E2A5B">
        <w:rPr>
          <w:rFonts w:cs="Arial"/>
          <w:b/>
          <w:lang w:val="es-ES_tradnl"/>
        </w:rPr>
        <w:t>TRIBUNAL DE CUENTAS</w:t>
      </w:r>
    </w:p>
    <w:p w:rsidR="00985D75" w:rsidRPr="009E2A5B" w:rsidRDefault="00985D75">
      <w:pPr>
        <w:tabs>
          <w:tab w:val="left" w:pos="-720"/>
        </w:tabs>
        <w:suppressAutoHyphens/>
        <w:jc w:val="center"/>
        <w:rPr>
          <w:rFonts w:cs="Arial"/>
          <w:b/>
          <w:lang w:val="es-ES_tradnl"/>
        </w:rPr>
      </w:pPr>
    </w:p>
    <w:p w:rsidR="00985D75" w:rsidRPr="009E2A5B" w:rsidRDefault="00985D75">
      <w:pPr>
        <w:tabs>
          <w:tab w:val="center" w:pos="4253"/>
        </w:tabs>
        <w:suppressAutoHyphens/>
        <w:jc w:val="center"/>
        <w:rPr>
          <w:rFonts w:cs="Arial"/>
          <w:b/>
          <w:lang w:val="es-ES_tradnl"/>
        </w:rPr>
      </w:pPr>
      <w:r w:rsidRPr="009E2A5B">
        <w:rPr>
          <w:rFonts w:cs="Arial"/>
          <w:b/>
          <w:lang w:val="es-ES_tradnl"/>
        </w:rPr>
        <w:t>EN SESION DE FECHA 2 DE DICIEMBRE DE 2015</w:t>
      </w:r>
    </w:p>
    <w:p w:rsidR="00985D75" w:rsidRPr="009E2A5B" w:rsidRDefault="00985D75">
      <w:pPr>
        <w:tabs>
          <w:tab w:val="center" w:pos="4253"/>
        </w:tabs>
        <w:suppressAutoHyphens/>
        <w:jc w:val="center"/>
        <w:rPr>
          <w:rFonts w:cs="Arial"/>
          <w:b/>
          <w:lang w:val="es-ES_tradnl"/>
        </w:rPr>
      </w:pPr>
    </w:p>
    <w:p w:rsidR="00985D75" w:rsidRPr="009E2A5B" w:rsidRDefault="00985D75">
      <w:pPr>
        <w:tabs>
          <w:tab w:val="center" w:pos="4253"/>
        </w:tabs>
        <w:suppressAutoHyphens/>
        <w:jc w:val="center"/>
        <w:rPr>
          <w:rFonts w:cs="Arial"/>
          <w:b/>
          <w:lang w:val="es-AR"/>
        </w:rPr>
      </w:pPr>
      <w:r w:rsidRPr="009E2A5B">
        <w:rPr>
          <w:rFonts w:cs="Arial"/>
          <w:b/>
          <w:lang w:val="es-AR"/>
        </w:rPr>
        <w:t xml:space="preserve">(E. E. Nº 2015-17-1-0003512, </w:t>
      </w:r>
      <w:proofErr w:type="spellStart"/>
      <w:r w:rsidRPr="009E2A5B">
        <w:rPr>
          <w:rFonts w:cs="Arial"/>
          <w:b/>
          <w:lang w:val="es-AR"/>
        </w:rPr>
        <w:t>Ent</w:t>
      </w:r>
      <w:proofErr w:type="spellEnd"/>
      <w:r w:rsidRPr="009E2A5B">
        <w:rPr>
          <w:rFonts w:cs="Arial"/>
          <w:b/>
          <w:lang w:val="es-AR"/>
        </w:rPr>
        <w:t>. N° 2866/15)</w:t>
      </w:r>
    </w:p>
    <w:p w:rsidR="00985D75" w:rsidRPr="00985D75" w:rsidRDefault="00985D75">
      <w:pPr>
        <w:tabs>
          <w:tab w:val="center" w:pos="4253"/>
        </w:tabs>
        <w:suppressAutoHyphens/>
        <w:jc w:val="center"/>
        <w:rPr>
          <w:spacing w:val="-3"/>
          <w:lang w:val="es-AR"/>
        </w:rPr>
      </w:pPr>
    </w:p>
    <w:p w:rsidR="00985D75" w:rsidRPr="00985D75" w:rsidRDefault="00985D75">
      <w:pPr>
        <w:tabs>
          <w:tab w:val="center" w:pos="4253"/>
        </w:tabs>
        <w:suppressAutoHyphens/>
        <w:rPr>
          <w:spacing w:val="-3"/>
          <w:lang w:val="es-AR"/>
        </w:rPr>
      </w:pPr>
    </w:p>
    <w:p w:rsidR="00985D75" w:rsidRPr="00230162" w:rsidRDefault="00985D75" w:rsidP="00985D75">
      <w:pPr>
        <w:widowControl w:val="0"/>
        <w:tabs>
          <w:tab w:val="left" w:pos="708"/>
          <w:tab w:val="center" w:pos="4419"/>
          <w:tab w:val="right" w:pos="8838"/>
        </w:tabs>
        <w:spacing w:line="360" w:lineRule="auto"/>
        <w:ind w:firstLine="851"/>
        <w:jc w:val="both"/>
        <w:rPr>
          <w:szCs w:val="20"/>
        </w:rPr>
      </w:pPr>
      <w:r w:rsidRPr="00230162">
        <w:rPr>
          <w:b/>
          <w:szCs w:val="20"/>
        </w:rPr>
        <w:t>VISTO:</w:t>
      </w:r>
      <w:r w:rsidRPr="00230162">
        <w:rPr>
          <w:szCs w:val="20"/>
        </w:rPr>
        <w:t xml:space="preserve"> que se ha examinado el Estado de Ejecución Presupuestal de </w:t>
      </w:r>
      <w:smartTag w:uri="urn:schemas-microsoft-com:office:smarttags" w:element="PersonName">
        <w:smartTagPr>
          <w:attr w:name="ProductID" w:val="la Administraci￳n Nacional"/>
        </w:smartTagPr>
        <w:r w:rsidRPr="00230162">
          <w:rPr>
            <w:szCs w:val="20"/>
          </w:rPr>
          <w:t>la Administración Nacional</w:t>
        </w:r>
      </w:smartTag>
      <w:r w:rsidRPr="00230162">
        <w:rPr>
          <w:szCs w:val="20"/>
        </w:rPr>
        <w:t xml:space="preserve"> de Puertos (ANP) correspondiente al Ejercicio 2014;</w:t>
      </w:r>
    </w:p>
    <w:p w:rsidR="00985D75" w:rsidRPr="00230162" w:rsidRDefault="00985D75" w:rsidP="00985D75">
      <w:pPr>
        <w:spacing w:line="360" w:lineRule="auto"/>
        <w:ind w:firstLine="851"/>
        <w:jc w:val="both"/>
        <w:rPr>
          <w:rFonts w:cs="Arial"/>
        </w:rPr>
      </w:pPr>
      <w:r w:rsidRPr="00230162">
        <w:rPr>
          <w:b/>
          <w:szCs w:val="20"/>
        </w:rPr>
        <w:t>RESULTANDO:</w:t>
      </w:r>
      <w:r w:rsidRPr="00230162">
        <w:rPr>
          <w:szCs w:val="20"/>
        </w:rPr>
        <w:t xml:space="preserve"> </w:t>
      </w:r>
      <w:r w:rsidRPr="00230162">
        <w:rPr>
          <w:rFonts w:cs="Arial"/>
        </w:rPr>
        <w:t xml:space="preserve">que el examen fue realizado de acuerdo con los Principios Fundamentales de Auditoría (ISSAI 100 y 200) y las Directrices de Auditoría Financiera (ISSAI </w:t>
      </w:r>
      <w:smartTag w:uri="urn:schemas-microsoft-com:office:smarttags" w:element="metricconverter">
        <w:smartTagPr>
          <w:attr w:name="ProductID" w:val="1000 a"/>
        </w:smartTagPr>
        <w:r w:rsidRPr="00230162">
          <w:rPr>
            <w:rFonts w:cs="Arial"/>
          </w:rPr>
          <w:t>1000 a</w:t>
        </w:r>
      </w:smartTag>
      <w:r w:rsidRPr="00230162">
        <w:rPr>
          <w:rFonts w:cs="Arial"/>
        </w:rPr>
        <w:t xml:space="preserve"> 1810) de </w:t>
      </w:r>
      <w:smartTag w:uri="urn:schemas-microsoft-com:office:smarttags" w:element="PersonName">
        <w:smartTagPr>
          <w:attr w:name="ProductID" w:val="la Organizaci￳n Internacional"/>
        </w:smartTagPr>
        <w:r w:rsidRPr="00230162">
          <w:rPr>
            <w:rFonts w:cs="Arial"/>
          </w:rPr>
          <w:t>la Organización Internacional</w:t>
        </w:r>
      </w:smartTag>
      <w:r w:rsidRPr="00230162">
        <w:rPr>
          <w:rFonts w:cs="Arial"/>
        </w:rPr>
        <w:t xml:space="preserve"> de Entidades Fiscalizadoras Superiores (INTOSAI);"</w:t>
      </w:r>
    </w:p>
    <w:p w:rsidR="00985D75" w:rsidRPr="00230162" w:rsidRDefault="00985D75" w:rsidP="00985D75">
      <w:pPr>
        <w:widowControl w:val="0"/>
        <w:tabs>
          <w:tab w:val="left" w:pos="708"/>
          <w:tab w:val="center" w:pos="4419"/>
          <w:tab w:val="right" w:pos="8838"/>
        </w:tabs>
        <w:spacing w:line="360" w:lineRule="auto"/>
        <w:ind w:firstLine="851"/>
        <w:jc w:val="both"/>
        <w:rPr>
          <w:szCs w:val="20"/>
        </w:rPr>
      </w:pPr>
      <w:r w:rsidRPr="00230162">
        <w:rPr>
          <w:b/>
          <w:szCs w:val="20"/>
        </w:rPr>
        <w:t>CONSIDERANDO:</w:t>
      </w:r>
      <w:r w:rsidRPr="00230162">
        <w:rPr>
          <w:szCs w:val="20"/>
        </w:rPr>
        <w:t xml:space="preserve"> que las conclusiones y evidencias obtenidas son las que se expresan en el Informe de Auditoría, que incluye Dictamen e Informe a la Administración;</w:t>
      </w:r>
    </w:p>
    <w:p w:rsidR="00985D75" w:rsidRPr="00230162" w:rsidRDefault="00985D75" w:rsidP="00985D75">
      <w:pPr>
        <w:widowControl w:val="0"/>
        <w:tabs>
          <w:tab w:val="left" w:pos="708"/>
          <w:tab w:val="center" w:pos="4419"/>
          <w:tab w:val="right" w:pos="8838"/>
        </w:tabs>
        <w:spacing w:line="360" w:lineRule="auto"/>
        <w:ind w:firstLine="851"/>
        <w:jc w:val="both"/>
        <w:rPr>
          <w:szCs w:val="20"/>
        </w:rPr>
      </w:pPr>
      <w:r w:rsidRPr="00230162">
        <w:rPr>
          <w:b/>
          <w:szCs w:val="20"/>
        </w:rPr>
        <w:t>ATENTO:</w:t>
      </w:r>
      <w:r w:rsidRPr="00230162">
        <w:rPr>
          <w:szCs w:val="20"/>
        </w:rPr>
        <w:t xml:space="preserve"> a lo dispuesto por el Artículo 211 Literal C) de la Constitución de la República;</w:t>
      </w:r>
    </w:p>
    <w:p w:rsidR="00985D75" w:rsidRPr="00230162" w:rsidRDefault="00985D75" w:rsidP="00985D75">
      <w:pPr>
        <w:widowControl w:val="0"/>
        <w:spacing w:line="360" w:lineRule="auto"/>
        <w:ind w:firstLine="709"/>
        <w:jc w:val="center"/>
        <w:outlineLvl w:val="1"/>
        <w:rPr>
          <w:b/>
          <w:szCs w:val="20"/>
        </w:rPr>
      </w:pPr>
      <w:r w:rsidRPr="00230162">
        <w:rPr>
          <w:b/>
          <w:szCs w:val="20"/>
        </w:rPr>
        <w:t>EL TRIBUNAL ACUERDA</w:t>
      </w:r>
    </w:p>
    <w:p w:rsidR="00985D75" w:rsidRDefault="00985D75" w:rsidP="00985D75">
      <w:pPr>
        <w:pStyle w:val="Prrafodelista"/>
        <w:widowControl w:val="0"/>
        <w:numPr>
          <w:ilvl w:val="0"/>
          <w:numId w:val="1"/>
        </w:numPr>
        <w:tabs>
          <w:tab w:val="num" w:pos="284"/>
        </w:tabs>
        <w:spacing w:line="360" w:lineRule="auto"/>
        <w:ind w:left="284" w:hanging="284"/>
        <w:jc w:val="both"/>
        <w:rPr>
          <w:szCs w:val="20"/>
        </w:rPr>
      </w:pPr>
      <w:r w:rsidRPr="00985D75">
        <w:rPr>
          <w:szCs w:val="20"/>
        </w:rPr>
        <w:t xml:space="preserve">Expedirse respecto al Estado de Ejecución Presupuestal correspondiente al Ejercicio 2014 de </w:t>
      </w:r>
      <w:smartTag w:uri="urn:schemas-microsoft-com:office:smarttags" w:element="PersonName">
        <w:smartTagPr>
          <w:attr w:name="ProductID" w:val="la Administraci￳n Nacional"/>
        </w:smartTagPr>
        <w:r w:rsidRPr="00985D75">
          <w:rPr>
            <w:szCs w:val="20"/>
          </w:rPr>
          <w:t>la Administración Nacional</w:t>
        </w:r>
      </w:smartTag>
      <w:r w:rsidRPr="00985D75">
        <w:rPr>
          <w:szCs w:val="20"/>
        </w:rPr>
        <w:t xml:space="preserve"> de Puertos, en los términos del Informe que se adjunta;</w:t>
      </w:r>
    </w:p>
    <w:p w:rsidR="00985D75" w:rsidRPr="00230162" w:rsidRDefault="00985D75" w:rsidP="00985D75">
      <w:pPr>
        <w:pStyle w:val="Prrafodelista"/>
        <w:widowControl w:val="0"/>
        <w:numPr>
          <w:ilvl w:val="0"/>
          <w:numId w:val="1"/>
        </w:numPr>
        <w:tabs>
          <w:tab w:val="num" w:pos="284"/>
        </w:tabs>
        <w:spacing w:line="360" w:lineRule="auto"/>
        <w:ind w:left="284" w:hanging="284"/>
        <w:jc w:val="both"/>
        <w:rPr>
          <w:szCs w:val="20"/>
        </w:rPr>
      </w:pPr>
      <w:r w:rsidRPr="00230162">
        <w:rPr>
          <w:szCs w:val="20"/>
        </w:rPr>
        <w:t>Comunicar al Ministerio de Transporte y Obras Públicas, a la Oficina de Planeamiento y Presupuesto, al Organism</w:t>
      </w:r>
      <w:r w:rsidR="0058799F">
        <w:rPr>
          <w:szCs w:val="20"/>
        </w:rPr>
        <w:t>o y a los Contadores Delegados;</w:t>
      </w:r>
    </w:p>
    <w:p w:rsidR="00985D75" w:rsidRPr="00230162" w:rsidRDefault="00985D75" w:rsidP="00985D75">
      <w:pPr>
        <w:widowControl w:val="0"/>
        <w:numPr>
          <w:ilvl w:val="0"/>
          <w:numId w:val="1"/>
        </w:numPr>
        <w:tabs>
          <w:tab w:val="num" w:pos="284"/>
        </w:tabs>
        <w:spacing w:line="360" w:lineRule="auto"/>
        <w:ind w:left="284" w:hanging="284"/>
        <w:jc w:val="both"/>
        <w:rPr>
          <w:szCs w:val="20"/>
        </w:rPr>
      </w:pPr>
      <w:r w:rsidRPr="00230162">
        <w:rPr>
          <w:szCs w:val="20"/>
        </w:rPr>
        <w:t xml:space="preserve">Oficiar al Servicio Oficial </w:t>
      </w:r>
      <w:r>
        <w:rPr>
          <w:szCs w:val="20"/>
        </w:rPr>
        <w:t>de Radiodifusión y Espectáculos;</w:t>
      </w:r>
    </w:p>
    <w:p w:rsidR="00985D75" w:rsidRPr="00985D75" w:rsidRDefault="00985D75" w:rsidP="00985D75">
      <w:pPr>
        <w:widowControl w:val="0"/>
        <w:numPr>
          <w:ilvl w:val="0"/>
          <w:numId w:val="1"/>
        </w:numPr>
        <w:tabs>
          <w:tab w:val="num" w:pos="284"/>
        </w:tabs>
        <w:spacing w:line="360" w:lineRule="auto"/>
        <w:ind w:left="284" w:hanging="284"/>
        <w:jc w:val="both"/>
      </w:pPr>
      <w:r w:rsidRPr="00230162">
        <w:rPr>
          <w:szCs w:val="20"/>
        </w:rPr>
        <w:t>Dar cuenta a la Asamblea General.</w:t>
      </w:r>
    </w:p>
    <w:p w:rsidR="00985D75" w:rsidRDefault="00985D75" w:rsidP="00985D75">
      <w:pPr>
        <w:widowControl w:val="0"/>
        <w:spacing w:line="360" w:lineRule="auto"/>
        <w:jc w:val="both"/>
        <w:rPr>
          <w:szCs w:val="20"/>
        </w:rPr>
      </w:pPr>
    </w:p>
    <w:p w:rsidR="000A7097" w:rsidRDefault="000A7097" w:rsidP="00985D75">
      <w:pPr>
        <w:widowControl w:val="0"/>
        <w:spacing w:line="360" w:lineRule="auto"/>
        <w:ind w:hanging="567"/>
        <w:jc w:val="both"/>
        <w:rPr>
          <w:szCs w:val="20"/>
        </w:rPr>
      </w:pPr>
    </w:p>
    <w:p w:rsidR="005A0773" w:rsidRDefault="005A0773" w:rsidP="00985D75">
      <w:pPr>
        <w:widowControl w:val="0"/>
        <w:spacing w:line="360" w:lineRule="auto"/>
        <w:ind w:hanging="567"/>
        <w:jc w:val="both"/>
        <w:rPr>
          <w:szCs w:val="20"/>
        </w:rPr>
      </w:pPr>
    </w:p>
    <w:p w:rsidR="005A0773" w:rsidRDefault="005A0773">
      <w:pPr>
        <w:pStyle w:val="Ttulo1"/>
        <w:spacing w:before="480"/>
        <w:jc w:val="center"/>
        <w:rPr>
          <w:rFonts w:cs="Times New Roman"/>
          <w:bCs w:val="0"/>
          <w:kern w:val="0"/>
          <w:sz w:val="24"/>
          <w:szCs w:val="20"/>
        </w:rPr>
      </w:pPr>
      <w:r>
        <w:rPr>
          <w:rFonts w:cs="Times New Roman"/>
          <w:bCs w:val="0"/>
          <w:kern w:val="0"/>
          <w:sz w:val="24"/>
          <w:szCs w:val="20"/>
        </w:rPr>
        <w:lastRenderedPageBreak/>
        <w:t>DICTAMEN</w:t>
      </w:r>
    </w:p>
    <w:p w:rsidR="005A0773" w:rsidRDefault="005A0773">
      <w:pPr>
        <w:jc w:val="both"/>
      </w:pPr>
    </w:p>
    <w:p w:rsidR="005A0773" w:rsidRDefault="005A0773">
      <w:pPr>
        <w:pStyle w:val="Sangradetextonormal"/>
        <w:jc w:val="both"/>
        <w:rPr>
          <w:rFonts w:ascii="Arial" w:hAnsi="Arial" w:cs="Arial"/>
          <w:spacing w:val="-3"/>
          <w:lang w:val="es-ES_tradnl"/>
        </w:rPr>
      </w:pPr>
      <w:r>
        <w:rPr>
          <w:rFonts w:ascii="Arial" w:hAnsi="Arial" w:cs="Arial"/>
        </w:rPr>
        <w:t xml:space="preserve">El </w:t>
      </w:r>
      <w:smartTag w:uri="urn:schemas-microsoft-com:office:smarttags" w:element="PersonName">
        <w:smartTagPr>
          <w:attr w:name="ProductID" w:val="Tribunal de Cuentas"/>
        </w:smartTagPr>
        <w:r>
          <w:rPr>
            <w:rFonts w:ascii="Arial" w:hAnsi="Arial" w:cs="Arial"/>
          </w:rPr>
          <w:t>Tribunal de Cuentas</w:t>
        </w:r>
      </w:smartTag>
      <w:r>
        <w:rPr>
          <w:rFonts w:ascii="Arial" w:hAnsi="Arial" w:cs="Arial"/>
        </w:rPr>
        <w:t xml:space="preserve"> ha examinado el Estado de Ejecución Presupuestal de </w:t>
      </w:r>
      <w:smartTag w:uri="urn:schemas-microsoft-com:office:smarttags" w:element="PersonName">
        <w:smartTagPr>
          <w:attr w:name="ProductID" w:val="la Administraci￳n Nacional"/>
        </w:smartTagPr>
        <w:r>
          <w:rPr>
            <w:rFonts w:ascii="Arial" w:hAnsi="Arial" w:cs="Arial"/>
          </w:rPr>
          <w:t>la Administración Nacional</w:t>
        </w:r>
      </w:smartTag>
      <w:r>
        <w:rPr>
          <w:rFonts w:ascii="Arial" w:hAnsi="Arial" w:cs="Arial"/>
        </w:rPr>
        <w:t xml:space="preserve"> de Puertos (ANP) correspondiente al período 1° de enero al 31 de diciembre de 2014.</w:t>
      </w:r>
    </w:p>
    <w:p w:rsidR="005A0773" w:rsidRDefault="005A0773">
      <w:pPr>
        <w:pStyle w:val="Sangradetextonormal"/>
        <w:jc w:val="both"/>
        <w:rPr>
          <w:rFonts w:ascii="Arial" w:hAnsi="Arial" w:cs="Arial"/>
        </w:rPr>
      </w:pPr>
      <w:r>
        <w:rPr>
          <w:rFonts w:ascii="Arial" w:hAnsi="Arial" w:cs="Arial"/>
        </w:rPr>
        <w:t>También se presentan, en caso de corresponder, los incumplimientos legales constatados en el curso de la auditoría efectuada.</w:t>
      </w:r>
    </w:p>
    <w:p w:rsidR="005A0773" w:rsidRDefault="005A0773">
      <w:pPr>
        <w:pStyle w:val="Sangradetextonormal"/>
        <w:jc w:val="both"/>
        <w:rPr>
          <w:rFonts w:ascii="Arial" w:hAnsi="Arial" w:cs="Arial"/>
        </w:rPr>
      </w:pPr>
    </w:p>
    <w:p w:rsidR="005A0773" w:rsidRDefault="005A0773">
      <w:pPr>
        <w:pStyle w:val="Sangradetextonormal"/>
        <w:jc w:val="both"/>
        <w:rPr>
          <w:rFonts w:ascii="Arial" w:hAnsi="Arial" w:cs="Arial"/>
          <w:b/>
        </w:rPr>
      </w:pPr>
      <w:r>
        <w:rPr>
          <w:rFonts w:ascii="Arial" w:hAnsi="Arial" w:cs="Arial"/>
          <w:b/>
        </w:rPr>
        <w:t>Responsabilidad de la Dirección por el Estado de Ejecución Presupuestal</w:t>
      </w:r>
    </w:p>
    <w:p w:rsidR="005A0773" w:rsidRDefault="005A0773">
      <w:pPr>
        <w:pStyle w:val="Sangradetextonormal"/>
        <w:jc w:val="both"/>
        <w:rPr>
          <w:rFonts w:ascii="Arial" w:hAnsi="Arial" w:cs="Arial"/>
        </w:rPr>
      </w:pPr>
      <w:r>
        <w:rPr>
          <w:rFonts w:ascii="Arial" w:hAnsi="Arial" w:cs="Arial"/>
        </w:rPr>
        <w:t xml:space="preserve">La Dirección de ANP es responsable por la preparación y la razonable presentación de dicho estado de acuerdo con las disposiciones legales vigentes, las normas y criterios establecidos en el TOCAF, en la Ordenanza    Nº 75 de este Tribunal y el presupuesto vigente. Esta responsabilidad incluye diseñar, implementar y mantener un sistema de control interno adecuado para la preparación y presentación razonable del mencionado estado que esté libre de errores significativos, ya sea debido a fraude o error, seleccionar y aplicar </w:t>
      </w:r>
      <w:r w:rsidR="009E2A5B">
        <w:rPr>
          <w:rFonts w:ascii="Arial" w:hAnsi="Arial" w:cs="Arial"/>
        </w:rPr>
        <w:t>políticas contables apropiadas.</w:t>
      </w:r>
    </w:p>
    <w:p w:rsidR="005A0773" w:rsidRDefault="005A0773">
      <w:pPr>
        <w:widowControl w:val="0"/>
        <w:tabs>
          <w:tab w:val="left" w:pos="0"/>
        </w:tabs>
        <w:spacing w:line="360" w:lineRule="auto"/>
        <w:jc w:val="both"/>
        <w:rPr>
          <w:spacing w:val="-3"/>
          <w:lang w:val="es-ES_tradnl"/>
        </w:rPr>
      </w:pPr>
    </w:p>
    <w:p w:rsidR="005A0773" w:rsidRDefault="005A0773">
      <w:pPr>
        <w:widowControl w:val="0"/>
        <w:tabs>
          <w:tab w:val="left" w:pos="0"/>
        </w:tabs>
        <w:spacing w:line="360" w:lineRule="auto"/>
        <w:jc w:val="both"/>
        <w:rPr>
          <w:b/>
          <w:spacing w:val="-3"/>
          <w:lang w:val="es-ES_tradnl"/>
        </w:rPr>
      </w:pPr>
      <w:r>
        <w:rPr>
          <w:b/>
          <w:spacing w:val="-3"/>
          <w:lang w:val="es-ES_tradnl"/>
        </w:rPr>
        <w:t>Responsabilidad del auditor</w:t>
      </w:r>
    </w:p>
    <w:p w:rsidR="005A0773" w:rsidRPr="00887880" w:rsidRDefault="005A0773">
      <w:pPr>
        <w:spacing w:after="260" w:line="360" w:lineRule="auto"/>
        <w:jc w:val="both"/>
        <w:rPr>
          <w:rFonts w:cs="Arial"/>
        </w:rPr>
      </w:pPr>
      <w:r w:rsidRPr="00887880">
        <w:rPr>
          <w:spacing w:val="-3"/>
          <w:lang w:val="es-ES_tradnl"/>
        </w:rPr>
        <w:t xml:space="preserve">La responsabilidad del </w:t>
      </w:r>
      <w:smartTag w:uri="urn:schemas-microsoft-com:office:smarttags" w:element="PersonName">
        <w:smartTagPr>
          <w:attr w:name="ProductID" w:val="Tribunal de Cuentas"/>
        </w:smartTagPr>
        <w:r w:rsidRPr="00887880">
          <w:rPr>
            <w:spacing w:val="-3"/>
            <w:lang w:val="es-ES_tradnl"/>
          </w:rPr>
          <w:t>Tribunal de Cuentas</w:t>
        </w:r>
      </w:smartTag>
      <w:r w:rsidRPr="00887880">
        <w:rPr>
          <w:spacing w:val="-3"/>
          <w:lang w:val="es-ES_tradnl"/>
        </w:rPr>
        <w:t xml:space="preserve"> es expresar una opinión sobre el Estado de Ejecución Presupuestal basada en la auditoría realizada. Esta auditoría fue practicada </w:t>
      </w:r>
      <w:r w:rsidRPr="00887880">
        <w:rPr>
          <w:rFonts w:cs="Arial"/>
        </w:rPr>
        <w:t>de acuerdo con los Principios Fundam</w:t>
      </w:r>
      <w:r>
        <w:rPr>
          <w:rFonts w:cs="Arial"/>
        </w:rPr>
        <w:t>entales de Auditoría (ISSAI 100 y 200</w:t>
      </w:r>
      <w:r w:rsidRPr="00887880">
        <w:rPr>
          <w:rFonts w:cs="Arial"/>
        </w:rPr>
        <w:t xml:space="preserve">) y las Directrices de Auditoría Financiera (ISSAI </w:t>
      </w:r>
      <w:smartTag w:uri="urn:schemas-microsoft-com:office:smarttags" w:element="metricconverter">
        <w:smartTagPr>
          <w:attr w:name="ProductID" w:val="1000 a"/>
        </w:smartTagPr>
        <w:r w:rsidRPr="00887880">
          <w:rPr>
            <w:rFonts w:cs="Arial"/>
          </w:rPr>
          <w:t>1000 a</w:t>
        </w:r>
      </w:smartTag>
      <w:r w:rsidRPr="00887880">
        <w:rPr>
          <w:rFonts w:cs="Arial"/>
        </w:rPr>
        <w:t xml:space="preserve"> </w:t>
      </w:r>
      <w:r>
        <w:rPr>
          <w:rFonts w:cs="Arial"/>
        </w:rPr>
        <w:t>1810</w:t>
      </w:r>
      <w:r w:rsidRPr="00887880">
        <w:rPr>
          <w:rFonts w:cs="Arial"/>
        </w:rPr>
        <w:t xml:space="preserve">) de </w:t>
      </w:r>
      <w:smartTag w:uri="urn:schemas-microsoft-com:office:smarttags" w:element="PersonName">
        <w:smartTagPr>
          <w:attr w:name="ProductID" w:val="la Organizaci￳n Internacional"/>
        </w:smartTagPr>
        <w:r w:rsidRPr="00887880">
          <w:rPr>
            <w:rFonts w:cs="Arial"/>
          </w:rPr>
          <w:t>la Organización Internacional</w:t>
        </w:r>
      </w:smartTag>
      <w:r w:rsidRPr="00887880">
        <w:rPr>
          <w:rFonts w:cs="Arial"/>
        </w:rPr>
        <w:t xml:space="preserve"> de Entidades Fiscalizadoras Superiores (INTOSAI).</w:t>
      </w:r>
    </w:p>
    <w:p w:rsidR="005A0773" w:rsidRDefault="005A0773">
      <w:pPr>
        <w:widowControl w:val="0"/>
        <w:tabs>
          <w:tab w:val="left" w:pos="0"/>
        </w:tabs>
        <w:spacing w:line="360" w:lineRule="auto"/>
        <w:jc w:val="both"/>
        <w:rPr>
          <w:spacing w:val="-3"/>
          <w:lang w:val="es-ES_tradnl"/>
        </w:rPr>
      </w:pPr>
      <w:r w:rsidRPr="00887880">
        <w:rPr>
          <w:spacing w:val="-3"/>
          <w:lang w:val="es-ES_tradnl"/>
        </w:rPr>
        <w:t>Estas normas requieren que se cumpla con requisitos éticos, se planifique y se realice la auditoría para obtener seguridad razonable acerca de si el estado presentado está libre de errores significativos.</w:t>
      </w:r>
    </w:p>
    <w:p w:rsidR="005A0773" w:rsidRDefault="005A0773">
      <w:pPr>
        <w:widowControl w:val="0"/>
        <w:tabs>
          <w:tab w:val="left" w:pos="0"/>
        </w:tabs>
        <w:spacing w:line="360" w:lineRule="auto"/>
        <w:jc w:val="both"/>
        <w:rPr>
          <w:spacing w:val="-3"/>
          <w:lang w:val="es-ES_tradnl"/>
        </w:rPr>
      </w:pPr>
      <w:r>
        <w:rPr>
          <w:spacing w:val="-3"/>
          <w:lang w:val="es-ES_tradnl"/>
        </w:rPr>
        <w:t>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w:t>
      </w:r>
      <w:r w:rsidR="009E2A5B">
        <w:rPr>
          <w:spacing w:val="-3"/>
          <w:lang w:val="es-ES_tradnl"/>
        </w:rPr>
        <w:t>ción del estado en su conjunto.</w:t>
      </w:r>
    </w:p>
    <w:p w:rsidR="005A0773" w:rsidRDefault="005A0773">
      <w:pPr>
        <w:widowControl w:val="0"/>
        <w:tabs>
          <w:tab w:val="left" w:pos="0"/>
        </w:tabs>
        <w:spacing w:line="360" w:lineRule="auto"/>
        <w:jc w:val="both"/>
        <w:rPr>
          <w:spacing w:val="-3"/>
          <w:lang w:val="es-ES_tradnl"/>
        </w:rPr>
      </w:pPr>
      <w:r>
        <w:rPr>
          <w:spacing w:val="-3"/>
          <w:lang w:val="es-ES_tradnl"/>
        </w:rPr>
        <w:t>Se considera que la evidencia de auditoría obtenida brinda una base suficiente y apropiada para sustentar la opinión.</w:t>
      </w:r>
    </w:p>
    <w:p w:rsidR="005A0773" w:rsidRDefault="005A0773">
      <w:pPr>
        <w:widowControl w:val="0"/>
        <w:tabs>
          <w:tab w:val="left" w:pos="0"/>
        </w:tabs>
        <w:spacing w:line="360" w:lineRule="auto"/>
        <w:jc w:val="both"/>
        <w:rPr>
          <w:spacing w:val="-3"/>
          <w:lang w:val="es-ES_tradnl"/>
        </w:rPr>
      </w:pPr>
    </w:p>
    <w:p w:rsidR="005A0773" w:rsidRDefault="005A0773">
      <w:pPr>
        <w:widowControl w:val="0"/>
        <w:tabs>
          <w:tab w:val="left" w:pos="0"/>
        </w:tabs>
        <w:spacing w:line="360" w:lineRule="auto"/>
        <w:jc w:val="both"/>
        <w:rPr>
          <w:b/>
          <w:spacing w:val="-3"/>
          <w:lang w:val="es-ES_tradnl"/>
        </w:rPr>
      </w:pPr>
      <w:r>
        <w:rPr>
          <w:b/>
          <w:spacing w:val="-3"/>
          <w:lang w:val="es-ES_tradnl"/>
        </w:rPr>
        <w:t>Opinión</w:t>
      </w:r>
    </w:p>
    <w:p w:rsidR="005A0773" w:rsidRDefault="005A0773">
      <w:pPr>
        <w:widowControl w:val="0"/>
        <w:spacing w:line="360" w:lineRule="auto"/>
        <w:jc w:val="both"/>
        <w:rPr>
          <w:spacing w:val="-3"/>
          <w:lang w:val="es-ES_tradnl"/>
        </w:rPr>
      </w:pPr>
      <w:r>
        <w:rPr>
          <w:spacing w:val="-3"/>
          <w:lang w:val="es-ES_tradnl"/>
        </w:rPr>
        <w:t xml:space="preserve">En opinión del </w:t>
      </w:r>
      <w:smartTag w:uri="urn:schemas-microsoft-com:office:smarttags" w:element="PersonName">
        <w:smartTagPr>
          <w:attr w:name="ProductID" w:val="Tribunal de Cuentas"/>
        </w:smartTagPr>
        <w:r>
          <w:rPr>
            <w:spacing w:val="-3"/>
            <w:lang w:val="es-ES_tradnl"/>
          </w:rPr>
          <w:t>Tribunal de Cuentas</w:t>
        </w:r>
      </w:smartTag>
      <w:r>
        <w:rPr>
          <w:spacing w:val="-3"/>
          <w:lang w:val="es-ES_tradnl"/>
        </w:rPr>
        <w:t xml:space="preserve">, el estado mencionado presenta razonablemente en todos sus aspectos importantes, la ejecución presupuestal de </w:t>
      </w:r>
      <w:smartTag w:uri="urn:schemas-microsoft-com:office:smarttags" w:element="PersonName">
        <w:smartTagPr>
          <w:attr w:name="ProductID" w:val="la Administraci￳n Nacional"/>
        </w:smartTagPr>
        <w:r>
          <w:t>la Administración Nacional</w:t>
        </w:r>
      </w:smartTag>
      <w:r>
        <w:t xml:space="preserve"> de Puertos</w:t>
      </w:r>
      <w:r>
        <w:rPr>
          <w:spacing w:val="-3"/>
          <w:lang w:val="es-ES_tradnl"/>
        </w:rPr>
        <w:t xml:space="preserve">, </w:t>
      </w:r>
      <w:r>
        <w:t>correspondiente al período 1° de enero al 31 de diciembre de 2014</w:t>
      </w:r>
      <w:r>
        <w:rPr>
          <w:spacing w:val="-3"/>
          <w:lang w:val="es-ES_tradnl"/>
        </w:rPr>
        <w:t xml:space="preserve">, de acuerdo con las disposiciones legales aplicables, las normas y los criterios establecidos en el TOCAF, en </w:t>
      </w:r>
      <w:smartTag w:uri="urn:schemas-microsoft-com:office:smarttags" w:element="PersonName">
        <w:smartTagPr>
          <w:attr w:name="ProductID" w:val="la Ordenanza N"/>
        </w:smartTagPr>
        <w:r>
          <w:rPr>
            <w:spacing w:val="-3"/>
            <w:lang w:val="es-ES_tradnl"/>
          </w:rPr>
          <w:t>la Ordenanza N</w:t>
        </w:r>
      </w:smartTag>
      <w:r>
        <w:rPr>
          <w:spacing w:val="-3"/>
          <w:lang w:val="es-ES_tradnl"/>
        </w:rPr>
        <w:t>º 75 de este Tribunal y en el Decreto Nº 345</w:t>
      </w:r>
      <w:r>
        <w:rPr>
          <w:rFonts w:cs="Arial"/>
        </w:rPr>
        <w:t xml:space="preserve">/013 de 23/10/2013 </w:t>
      </w:r>
      <w:r>
        <w:rPr>
          <w:spacing w:val="-3"/>
          <w:lang w:val="es-ES_tradnl"/>
        </w:rPr>
        <w:t>aprobatorio del Presupuesto del Ejercicio 2014.</w:t>
      </w:r>
    </w:p>
    <w:p w:rsidR="005A0773" w:rsidRDefault="005A0773">
      <w:pPr>
        <w:spacing w:line="360" w:lineRule="auto"/>
        <w:jc w:val="both"/>
        <w:rPr>
          <w:rFonts w:cs="Arial"/>
          <w:spacing w:val="-3"/>
          <w:lang w:val="es-ES_tradnl"/>
        </w:rPr>
      </w:pPr>
    </w:p>
    <w:p w:rsidR="005A0773" w:rsidRDefault="005A0773">
      <w:pPr>
        <w:spacing w:line="360" w:lineRule="auto"/>
        <w:jc w:val="both"/>
        <w:rPr>
          <w:rFonts w:cs="Arial"/>
          <w:spacing w:val="-3"/>
          <w:lang w:val="es-ES_tradnl"/>
        </w:rPr>
      </w:pPr>
      <w:r>
        <w:rPr>
          <w:rFonts w:cs="Arial"/>
          <w:spacing w:val="-3"/>
          <w:lang w:val="es-ES_tradnl"/>
        </w:rPr>
        <w:t xml:space="preserve">Con  relación al cumplimiento de las disposiciones legales que fueron objeto del examen, el </w:t>
      </w:r>
      <w:smartTag w:uri="urn:schemas-microsoft-com:office:smarttags" w:element="PersonName">
        <w:smartTagPr>
          <w:attr w:name="ProductID" w:val="Tribunal de Cuentas"/>
        </w:smartTagPr>
        <w:r>
          <w:rPr>
            <w:rFonts w:cs="Arial"/>
            <w:spacing w:val="-3"/>
            <w:lang w:val="es-ES_tradnl"/>
          </w:rPr>
          <w:t>Tribunal de Cuentas</w:t>
        </w:r>
      </w:smartTag>
      <w:r>
        <w:rPr>
          <w:rFonts w:cs="Arial"/>
          <w:spacing w:val="-3"/>
          <w:lang w:val="es-ES_tradnl"/>
        </w:rPr>
        <w:t xml:space="preserve"> constató los siguientes incumplimientos:</w:t>
      </w:r>
    </w:p>
    <w:p w:rsidR="005A0773" w:rsidRDefault="005A0773">
      <w:pPr>
        <w:spacing w:line="360" w:lineRule="auto"/>
        <w:jc w:val="both"/>
        <w:rPr>
          <w:rFonts w:cs="Arial"/>
          <w:spacing w:val="-3"/>
          <w:sz w:val="20"/>
        </w:rPr>
      </w:pPr>
    </w:p>
    <w:p w:rsidR="005A0773" w:rsidRDefault="005A0773" w:rsidP="005A0773">
      <w:pPr>
        <w:widowControl w:val="0"/>
        <w:numPr>
          <w:ilvl w:val="0"/>
          <w:numId w:val="2"/>
        </w:numPr>
        <w:tabs>
          <w:tab w:val="clear" w:pos="907"/>
          <w:tab w:val="num" w:pos="360"/>
        </w:tabs>
        <w:spacing w:line="360" w:lineRule="auto"/>
        <w:ind w:left="720" w:hanging="720"/>
        <w:jc w:val="both"/>
        <w:rPr>
          <w:rFonts w:cs="Arial"/>
        </w:rPr>
      </w:pPr>
      <w:r>
        <w:rPr>
          <w:rFonts w:cs="Arial"/>
          <w:b/>
        </w:rPr>
        <w:t>Artículo 87 de la Ley N</w:t>
      </w:r>
      <w:r w:rsidR="009E2A5B">
        <w:rPr>
          <w:rFonts w:cs="Arial"/>
          <w:b/>
        </w:rPr>
        <w:t>º 14.416</w:t>
      </w:r>
    </w:p>
    <w:p w:rsidR="005A0773" w:rsidRDefault="005A0773">
      <w:pPr>
        <w:pStyle w:val="Textoindependiente21"/>
        <w:tabs>
          <w:tab w:val="clear" w:pos="-720"/>
        </w:tabs>
        <w:suppressAutoHyphens w:val="0"/>
        <w:spacing w:line="360" w:lineRule="auto"/>
        <w:rPr>
          <w:rFonts w:ascii="Arial" w:hAnsi="Arial" w:cs="Arial"/>
          <w:bCs/>
        </w:rPr>
      </w:pPr>
      <w:r>
        <w:rPr>
          <w:rFonts w:ascii="Arial" w:hAnsi="Arial"/>
          <w:lang w:val="es-ES"/>
        </w:rPr>
        <w:t>Por haber superado el tope establecido para las horas extras del</w:t>
      </w:r>
      <w:r>
        <w:rPr>
          <w:rFonts w:ascii="Arial" w:hAnsi="Arial" w:cs="Arial"/>
          <w:bCs/>
        </w:rPr>
        <w:t xml:space="preserve"> 5% de la imputación anual destinada al pago de sueldos básicos.</w:t>
      </w:r>
    </w:p>
    <w:p w:rsidR="005A0773" w:rsidRDefault="005A0773">
      <w:pPr>
        <w:pStyle w:val="Textoindependiente21"/>
        <w:tabs>
          <w:tab w:val="clear" w:pos="-720"/>
        </w:tabs>
        <w:suppressAutoHyphens w:val="0"/>
        <w:spacing w:line="360" w:lineRule="auto"/>
        <w:rPr>
          <w:rFonts w:ascii="Arial" w:hAnsi="Arial" w:cs="Arial"/>
          <w:bCs/>
        </w:rPr>
      </w:pPr>
    </w:p>
    <w:p w:rsidR="005A0773" w:rsidRDefault="005A0773" w:rsidP="005A0773">
      <w:pPr>
        <w:widowControl w:val="0"/>
        <w:numPr>
          <w:ilvl w:val="0"/>
          <w:numId w:val="2"/>
        </w:numPr>
        <w:tabs>
          <w:tab w:val="clear" w:pos="907"/>
          <w:tab w:val="num" w:pos="360"/>
        </w:tabs>
        <w:spacing w:line="360" w:lineRule="auto"/>
        <w:ind w:left="720" w:hanging="720"/>
        <w:jc w:val="both"/>
        <w:rPr>
          <w:rFonts w:cs="Arial"/>
          <w:b/>
        </w:rPr>
      </w:pPr>
      <w:r w:rsidRPr="00D26C78">
        <w:rPr>
          <w:rFonts w:cs="Arial"/>
          <w:b/>
        </w:rPr>
        <w:t xml:space="preserve">Artículo </w:t>
      </w:r>
      <w:r>
        <w:rPr>
          <w:rFonts w:cs="Arial"/>
          <w:b/>
        </w:rPr>
        <w:t xml:space="preserve">13 </w:t>
      </w:r>
      <w:r w:rsidRPr="00D26C78">
        <w:rPr>
          <w:rFonts w:cs="Arial"/>
          <w:b/>
        </w:rPr>
        <w:t xml:space="preserve"> del Decreto Nº </w:t>
      </w:r>
      <w:r>
        <w:rPr>
          <w:rFonts w:cs="Arial"/>
          <w:b/>
        </w:rPr>
        <w:t>345</w:t>
      </w:r>
      <w:r w:rsidRPr="00D26C78">
        <w:rPr>
          <w:rFonts w:cs="Arial"/>
          <w:b/>
        </w:rPr>
        <w:t>/01</w:t>
      </w:r>
      <w:r>
        <w:rPr>
          <w:rFonts w:cs="Arial"/>
          <w:b/>
        </w:rPr>
        <w:t>3</w:t>
      </w:r>
      <w:r w:rsidRPr="00D26C78">
        <w:rPr>
          <w:rFonts w:cs="Arial"/>
          <w:b/>
        </w:rPr>
        <w:t xml:space="preserve"> de </w:t>
      </w:r>
      <w:r>
        <w:rPr>
          <w:rFonts w:cs="Arial"/>
          <w:b/>
        </w:rPr>
        <w:t>23</w:t>
      </w:r>
      <w:r w:rsidRPr="00D26C78">
        <w:rPr>
          <w:rFonts w:cs="Arial"/>
          <w:b/>
        </w:rPr>
        <w:t>/</w:t>
      </w:r>
      <w:r>
        <w:rPr>
          <w:rFonts w:cs="Arial"/>
          <w:b/>
        </w:rPr>
        <w:t>10</w:t>
      </w:r>
      <w:r w:rsidRPr="00D26C78">
        <w:rPr>
          <w:rFonts w:cs="Arial"/>
          <w:b/>
        </w:rPr>
        <w:t>/201</w:t>
      </w:r>
      <w:r>
        <w:rPr>
          <w:rFonts w:cs="Arial"/>
          <w:b/>
        </w:rPr>
        <w:t>3</w:t>
      </w:r>
    </w:p>
    <w:p w:rsidR="005A0773" w:rsidRPr="00EE2A3B" w:rsidRDefault="005A0773" w:rsidP="009E2A5B">
      <w:pPr>
        <w:widowControl w:val="0"/>
        <w:spacing w:line="360" w:lineRule="auto"/>
        <w:jc w:val="both"/>
        <w:rPr>
          <w:rFonts w:cs="Arial"/>
        </w:rPr>
      </w:pPr>
      <w:r>
        <w:rPr>
          <w:rFonts w:cs="Arial"/>
        </w:rPr>
        <w:t>Por realizar adecuaciones de partidas no limitativas fuera del Ejercicio.</w:t>
      </w:r>
    </w:p>
    <w:p w:rsidR="005A0773" w:rsidRPr="000B78BB" w:rsidRDefault="005A0773" w:rsidP="005A0773">
      <w:pPr>
        <w:widowControl w:val="0"/>
        <w:numPr>
          <w:ilvl w:val="0"/>
          <w:numId w:val="2"/>
        </w:numPr>
        <w:tabs>
          <w:tab w:val="clear" w:pos="907"/>
          <w:tab w:val="num" w:pos="360"/>
        </w:tabs>
        <w:spacing w:line="360" w:lineRule="auto"/>
        <w:ind w:left="720" w:hanging="720"/>
        <w:jc w:val="both"/>
        <w:rPr>
          <w:rFonts w:cs="Arial"/>
          <w:b/>
        </w:rPr>
      </w:pPr>
      <w:r w:rsidRPr="000B78BB">
        <w:rPr>
          <w:rFonts w:cs="Arial"/>
          <w:b/>
        </w:rPr>
        <w:t>Decreto 395/998 de 30/12/98 Cl</w:t>
      </w:r>
      <w:r w:rsidR="007B57CA">
        <w:rPr>
          <w:rFonts w:cs="Arial"/>
          <w:b/>
        </w:rPr>
        <w:t>asificador por objeto del gasto</w:t>
      </w:r>
    </w:p>
    <w:p w:rsidR="005A0773" w:rsidRDefault="005A0773" w:rsidP="009E2A5B">
      <w:pPr>
        <w:widowControl w:val="0"/>
        <w:spacing w:line="360" w:lineRule="auto"/>
        <w:jc w:val="both"/>
        <w:rPr>
          <w:rFonts w:cs="Arial"/>
        </w:rPr>
      </w:pPr>
      <w:r>
        <w:rPr>
          <w:rFonts w:cs="Arial"/>
        </w:rPr>
        <w:t>Por imputar en rubros diferentes la adquisición de un mismo artículo.</w:t>
      </w:r>
    </w:p>
    <w:p w:rsidR="005A0773" w:rsidRPr="00422258" w:rsidRDefault="005A0773">
      <w:pPr>
        <w:pStyle w:val="Textoindependiente21"/>
        <w:tabs>
          <w:tab w:val="clear" w:pos="-720"/>
        </w:tabs>
        <w:suppressAutoHyphens w:val="0"/>
        <w:spacing w:line="360" w:lineRule="auto"/>
        <w:rPr>
          <w:rFonts w:ascii="Arial" w:hAnsi="Arial" w:cs="Arial"/>
          <w:b/>
          <w:bCs/>
          <w:sz w:val="20"/>
          <w:lang w:val="es-ES"/>
        </w:rPr>
      </w:pPr>
    </w:p>
    <w:p w:rsidR="005A0773" w:rsidRPr="00EE2A3B" w:rsidRDefault="005A0773" w:rsidP="005A0773">
      <w:pPr>
        <w:widowControl w:val="0"/>
        <w:numPr>
          <w:ilvl w:val="0"/>
          <w:numId w:val="2"/>
        </w:numPr>
        <w:tabs>
          <w:tab w:val="clear" w:pos="907"/>
          <w:tab w:val="num" w:pos="360"/>
        </w:tabs>
        <w:spacing w:line="360" w:lineRule="auto"/>
        <w:ind w:left="720" w:hanging="720"/>
        <w:jc w:val="both"/>
        <w:rPr>
          <w:rFonts w:cs="Arial"/>
          <w:b/>
        </w:rPr>
      </w:pPr>
      <w:r w:rsidRPr="00EE2A3B">
        <w:rPr>
          <w:rFonts w:cs="Arial"/>
          <w:b/>
        </w:rPr>
        <w:t>Artículos 33 y 90 del TOCAF</w:t>
      </w:r>
    </w:p>
    <w:p w:rsidR="005A0773" w:rsidRDefault="005A0773" w:rsidP="009E2A5B">
      <w:pPr>
        <w:pStyle w:val="Textoindependiente21"/>
        <w:tabs>
          <w:tab w:val="clear" w:pos="-720"/>
        </w:tabs>
        <w:suppressAutoHyphens w:val="0"/>
        <w:spacing w:line="360" w:lineRule="auto"/>
        <w:rPr>
          <w:rFonts w:ascii="Arial" w:hAnsi="Arial" w:cs="Arial"/>
          <w:szCs w:val="24"/>
        </w:rPr>
      </w:pPr>
      <w:r>
        <w:rPr>
          <w:rFonts w:ascii="Arial" w:hAnsi="Arial" w:cs="Arial"/>
          <w:szCs w:val="24"/>
        </w:rPr>
        <w:t>Por realizar compras con fondos de la Caja Chica que deberían haberse realizado por otro procedimiento.</w:t>
      </w:r>
    </w:p>
    <w:p w:rsidR="005A0773" w:rsidRDefault="005A0773">
      <w:pPr>
        <w:pStyle w:val="Textoindependiente21"/>
        <w:tabs>
          <w:tab w:val="clear" w:pos="-720"/>
        </w:tabs>
        <w:suppressAutoHyphens w:val="0"/>
        <w:spacing w:line="360" w:lineRule="auto"/>
        <w:rPr>
          <w:rFonts w:ascii="Arial" w:hAnsi="Arial" w:cs="Arial"/>
          <w:bCs/>
        </w:rPr>
      </w:pPr>
    </w:p>
    <w:p w:rsidR="005A0773" w:rsidRDefault="005A0773" w:rsidP="005A0773">
      <w:pPr>
        <w:widowControl w:val="0"/>
        <w:numPr>
          <w:ilvl w:val="0"/>
          <w:numId w:val="2"/>
        </w:numPr>
        <w:tabs>
          <w:tab w:val="clear" w:pos="907"/>
        </w:tabs>
        <w:spacing w:line="360" w:lineRule="auto"/>
        <w:ind w:left="426" w:hanging="426"/>
        <w:jc w:val="both"/>
        <w:rPr>
          <w:rFonts w:cs="Arial"/>
          <w:b/>
        </w:rPr>
      </w:pPr>
      <w:r w:rsidRPr="004200E0">
        <w:rPr>
          <w:rFonts w:cs="Arial"/>
          <w:b/>
        </w:rPr>
        <w:t>Artículo 21 del TOCAF</w:t>
      </w:r>
      <w:r>
        <w:rPr>
          <w:rFonts w:cs="Arial"/>
          <w:b/>
        </w:rPr>
        <w:t>, Decreto 345/2013 y cláusulas de remuneraciones de los contratos a término.</w:t>
      </w:r>
    </w:p>
    <w:p w:rsidR="005A0773" w:rsidRDefault="005A0773" w:rsidP="009E2A5B">
      <w:pPr>
        <w:widowControl w:val="0"/>
        <w:spacing w:line="360" w:lineRule="auto"/>
        <w:jc w:val="both"/>
        <w:rPr>
          <w:rFonts w:cs="Arial"/>
        </w:rPr>
      </w:pPr>
      <w:r>
        <w:rPr>
          <w:rFonts w:cs="Arial"/>
        </w:rPr>
        <w:t>Por abonar a los funcionarios con contrato a término la prima por productividad, la que no está comprendida como partida salarial.</w:t>
      </w:r>
    </w:p>
    <w:p w:rsidR="005A0773" w:rsidRPr="00390646" w:rsidRDefault="005A0773" w:rsidP="009E2A5B">
      <w:pPr>
        <w:pStyle w:val="Textoindependiente21"/>
        <w:tabs>
          <w:tab w:val="clear" w:pos="-720"/>
        </w:tabs>
        <w:suppressAutoHyphens w:val="0"/>
        <w:spacing w:line="360" w:lineRule="auto"/>
        <w:rPr>
          <w:rFonts w:ascii="Arial" w:hAnsi="Arial" w:cs="Arial"/>
          <w:szCs w:val="24"/>
          <w:lang w:val="es-ES"/>
        </w:rPr>
      </w:pPr>
    </w:p>
    <w:p w:rsidR="005A0773" w:rsidRPr="00B77871" w:rsidRDefault="005A0773" w:rsidP="005A0773">
      <w:pPr>
        <w:widowControl w:val="0"/>
        <w:numPr>
          <w:ilvl w:val="0"/>
          <w:numId w:val="2"/>
        </w:numPr>
        <w:tabs>
          <w:tab w:val="clear" w:pos="907"/>
          <w:tab w:val="num" w:pos="360"/>
        </w:tabs>
        <w:spacing w:line="360" w:lineRule="auto"/>
        <w:ind w:left="720" w:hanging="720"/>
        <w:jc w:val="both"/>
        <w:rPr>
          <w:spacing w:val="-3"/>
          <w:lang w:val="es-ES_tradnl"/>
        </w:rPr>
      </w:pPr>
      <w:r w:rsidRPr="00B77871">
        <w:rPr>
          <w:rFonts w:cs="Arial"/>
          <w:b/>
          <w:lang w:val="es-ES_tradnl"/>
        </w:rPr>
        <w:t>Incumplimientos relacionados con el proceso del gasto</w:t>
      </w:r>
    </w:p>
    <w:p w:rsidR="005A0773" w:rsidRDefault="005A0773" w:rsidP="009E2A5B">
      <w:pPr>
        <w:pStyle w:val="Textoindependiente21"/>
        <w:spacing w:line="360" w:lineRule="auto"/>
        <w:rPr>
          <w:rStyle w:val="nfasis"/>
          <w:rFonts w:ascii="Arial" w:hAnsi="Arial"/>
          <w:bCs/>
          <w:i w:val="0"/>
          <w:snapToGrid w:val="0"/>
          <w:szCs w:val="24"/>
        </w:rPr>
      </w:pPr>
      <w:r>
        <w:rPr>
          <w:rFonts w:ascii="Arial" w:hAnsi="Arial"/>
          <w:bCs/>
          <w:szCs w:val="24"/>
        </w:rPr>
        <w:t>En el transcurso del E</w:t>
      </w:r>
      <w:r w:rsidRPr="00A26FA7">
        <w:rPr>
          <w:rFonts w:ascii="Arial" w:hAnsi="Arial"/>
          <w:bCs/>
          <w:szCs w:val="24"/>
        </w:rPr>
        <w:t>jercicio 201</w:t>
      </w:r>
      <w:r>
        <w:rPr>
          <w:rFonts w:ascii="Arial" w:hAnsi="Arial"/>
          <w:bCs/>
          <w:szCs w:val="24"/>
        </w:rPr>
        <w:t>4 los Contadores Delegados</w:t>
      </w:r>
      <w:r w:rsidRPr="00A26FA7">
        <w:rPr>
          <w:rStyle w:val="nfasis"/>
          <w:rFonts w:ascii="Arial" w:hAnsi="Arial"/>
          <w:bCs/>
          <w:i w:val="0"/>
          <w:snapToGrid w:val="0"/>
          <w:szCs w:val="24"/>
        </w:rPr>
        <w:t xml:space="preserve"> y el </w:t>
      </w:r>
      <w:smartTag w:uri="urn:schemas-microsoft-com:office:smarttags" w:element="PersonName">
        <w:smartTagPr>
          <w:attr w:name="ProductID" w:val="Tribunal de Cuentas"/>
        </w:smartTagPr>
        <w:r w:rsidRPr="00A26FA7">
          <w:rPr>
            <w:rStyle w:val="nfasis"/>
            <w:rFonts w:ascii="Arial" w:hAnsi="Arial"/>
            <w:bCs/>
            <w:i w:val="0"/>
            <w:snapToGrid w:val="0"/>
            <w:szCs w:val="24"/>
          </w:rPr>
          <w:t>Tribunal de Cuentas</w:t>
        </w:r>
      </w:smartTag>
      <w:r w:rsidRPr="00A26FA7">
        <w:rPr>
          <w:rStyle w:val="nfasis"/>
          <w:rFonts w:ascii="Arial" w:hAnsi="Arial"/>
          <w:bCs/>
          <w:i w:val="0"/>
          <w:snapToGrid w:val="0"/>
          <w:szCs w:val="24"/>
        </w:rPr>
        <w:t xml:space="preserve"> observaron gastos por incumplimiento de</w:t>
      </w:r>
      <w:r>
        <w:rPr>
          <w:rStyle w:val="nfasis"/>
          <w:rFonts w:ascii="Arial" w:hAnsi="Arial"/>
          <w:bCs/>
          <w:i w:val="0"/>
          <w:snapToGrid w:val="0"/>
          <w:szCs w:val="24"/>
        </w:rPr>
        <w:t>:</w:t>
      </w:r>
    </w:p>
    <w:p w:rsidR="005A0773" w:rsidRDefault="005A0773" w:rsidP="009E2A5B">
      <w:pPr>
        <w:pStyle w:val="Textoindependiente21"/>
        <w:spacing w:line="360" w:lineRule="auto"/>
        <w:rPr>
          <w:rStyle w:val="nfasis"/>
          <w:rFonts w:ascii="Arial" w:hAnsi="Arial"/>
          <w:bCs/>
          <w:i w:val="0"/>
          <w:snapToGrid w:val="0"/>
          <w:szCs w:val="24"/>
        </w:rPr>
      </w:pPr>
      <w:r>
        <w:rPr>
          <w:rStyle w:val="nfasis"/>
          <w:rFonts w:ascii="Arial" w:hAnsi="Arial"/>
          <w:bCs/>
          <w:i w:val="0"/>
          <w:snapToGrid w:val="0"/>
          <w:szCs w:val="24"/>
        </w:rPr>
        <w:t>-A</w:t>
      </w:r>
      <w:r w:rsidRPr="007867FE">
        <w:rPr>
          <w:rStyle w:val="nfasis"/>
          <w:rFonts w:ascii="Arial" w:hAnsi="Arial"/>
          <w:bCs/>
          <w:i w:val="0"/>
          <w:snapToGrid w:val="0"/>
          <w:szCs w:val="24"/>
        </w:rPr>
        <w:t xml:space="preserve">rtículo 190 </w:t>
      </w:r>
      <w:r>
        <w:rPr>
          <w:rStyle w:val="nfasis"/>
          <w:rFonts w:ascii="Arial" w:hAnsi="Arial"/>
          <w:bCs/>
          <w:i w:val="0"/>
          <w:snapToGrid w:val="0"/>
          <w:szCs w:val="24"/>
        </w:rPr>
        <w:t>de la Constitución  de la República (gastos fuera del giro),</w:t>
      </w:r>
    </w:p>
    <w:p w:rsidR="005A0773" w:rsidRPr="007867FE" w:rsidRDefault="005A0773" w:rsidP="009E2A5B">
      <w:pPr>
        <w:pStyle w:val="Textoindependiente21"/>
        <w:spacing w:line="360" w:lineRule="auto"/>
        <w:rPr>
          <w:rStyle w:val="nfasis"/>
          <w:rFonts w:ascii="Arial" w:hAnsi="Arial"/>
          <w:bCs/>
          <w:i w:val="0"/>
          <w:snapToGrid w:val="0"/>
          <w:szCs w:val="24"/>
        </w:rPr>
      </w:pPr>
      <w:r>
        <w:rPr>
          <w:rStyle w:val="nfasis"/>
          <w:rFonts w:ascii="Arial" w:hAnsi="Arial"/>
          <w:bCs/>
          <w:i w:val="0"/>
          <w:snapToGrid w:val="0"/>
          <w:szCs w:val="24"/>
        </w:rPr>
        <w:t>-Artículo 2</w:t>
      </w:r>
      <w:r w:rsidRPr="007867FE">
        <w:rPr>
          <w:rStyle w:val="nfasis"/>
          <w:rFonts w:ascii="Arial" w:hAnsi="Arial"/>
          <w:bCs/>
          <w:i w:val="0"/>
          <w:snapToGrid w:val="0"/>
          <w:szCs w:val="24"/>
        </w:rPr>
        <w:t>11</w:t>
      </w:r>
      <w:r>
        <w:rPr>
          <w:rStyle w:val="nfasis"/>
          <w:rFonts w:ascii="Arial" w:hAnsi="Arial"/>
          <w:bCs/>
          <w:i w:val="0"/>
          <w:snapToGrid w:val="0"/>
          <w:szCs w:val="24"/>
        </w:rPr>
        <w:t xml:space="preserve"> Literal B)</w:t>
      </w:r>
      <w:r w:rsidRPr="007867FE">
        <w:rPr>
          <w:rStyle w:val="nfasis"/>
          <w:rFonts w:ascii="Arial" w:hAnsi="Arial"/>
          <w:bCs/>
          <w:i w:val="0"/>
          <w:snapToGrid w:val="0"/>
          <w:szCs w:val="24"/>
        </w:rPr>
        <w:t xml:space="preserve"> de </w:t>
      </w:r>
      <w:smartTag w:uri="urn:schemas-microsoft-com:office:smarttags" w:element="PersonName">
        <w:smartTagPr>
          <w:attr w:name="ProductID" w:val="la Constituci￳n"/>
        </w:smartTagPr>
        <w:r w:rsidRPr="007867FE">
          <w:rPr>
            <w:rStyle w:val="nfasis"/>
            <w:rFonts w:ascii="Arial" w:hAnsi="Arial"/>
            <w:bCs/>
            <w:i w:val="0"/>
            <w:snapToGrid w:val="0"/>
            <w:szCs w:val="24"/>
          </w:rPr>
          <w:t>la Constitución</w:t>
        </w:r>
      </w:smartTag>
      <w:r w:rsidRPr="007867FE">
        <w:rPr>
          <w:rStyle w:val="nfasis"/>
          <w:rFonts w:ascii="Arial" w:hAnsi="Arial"/>
          <w:bCs/>
          <w:i w:val="0"/>
          <w:snapToGrid w:val="0"/>
          <w:szCs w:val="24"/>
        </w:rPr>
        <w:t xml:space="preserve"> de </w:t>
      </w:r>
      <w:smartTag w:uri="urn:schemas-microsoft-com:office:smarttags" w:element="PersonName">
        <w:smartTagPr>
          <w:attr w:name="ProductID" w:val="la Rep￺blica"/>
        </w:smartTagPr>
        <w:r w:rsidRPr="007867FE">
          <w:rPr>
            <w:rStyle w:val="nfasis"/>
            <w:rFonts w:ascii="Arial" w:hAnsi="Arial"/>
            <w:bCs/>
            <w:i w:val="0"/>
            <w:snapToGrid w:val="0"/>
            <w:szCs w:val="24"/>
          </w:rPr>
          <w:t>la República</w:t>
        </w:r>
      </w:smartTag>
      <w:r w:rsidRPr="007867FE">
        <w:rPr>
          <w:rStyle w:val="nfasis"/>
          <w:rFonts w:ascii="Arial" w:hAnsi="Arial"/>
          <w:bCs/>
          <w:i w:val="0"/>
          <w:snapToGrid w:val="0"/>
          <w:szCs w:val="24"/>
        </w:rPr>
        <w:t>,</w:t>
      </w:r>
    </w:p>
    <w:p w:rsidR="005A0773" w:rsidRPr="00EB2AF0" w:rsidRDefault="005A0773" w:rsidP="009E2A5B">
      <w:pPr>
        <w:spacing w:line="360" w:lineRule="auto"/>
        <w:jc w:val="both"/>
        <w:rPr>
          <w:rFonts w:cs="Arial"/>
        </w:rPr>
      </w:pPr>
      <w:r>
        <w:rPr>
          <w:rFonts w:cs="Arial"/>
        </w:rPr>
        <w:t>-Art.</w:t>
      </w:r>
      <w:r w:rsidRPr="00EB2AF0">
        <w:rPr>
          <w:rFonts w:cs="Arial"/>
        </w:rPr>
        <w:t xml:space="preserve">37 Ley </w:t>
      </w:r>
      <w:r>
        <w:rPr>
          <w:rFonts w:cs="Arial"/>
        </w:rPr>
        <w:t>Nº 18834 (p</w:t>
      </w:r>
      <w:r w:rsidRPr="00EB2AF0">
        <w:rPr>
          <w:rFonts w:cs="Arial"/>
        </w:rPr>
        <w:t>erfeccionamiento del contrato)</w:t>
      </w:r>
      <w:r>
        <w:rPr>
          <w:rFonts w:cs="Arial"/>
        </w:rPr>
        <w:t>,</w:t>
      </w:r>
    </w:p>
    <w:p w:rsidR="005A0773" w:rsidRPr="00EB2AF0" w:rsidRDefault="005A0773" w:rsidP="009E2A5B">
      <w:pPr>
        <w:spacing w:line="360" w:lineRule="auto"/>
        <w:jc w:val="both"/>
        <w:rPr>
          <w:rFonts w:cs="Arial"/>
        </w:rPr>
      </w:pPr>
      <w:r>
        <w:rPr>
          <w:rFonts w:cs="Arial"/>
        </w:rPr>
        <w:t>-Art</w:t>
      </w:r>
      <w:r w:rsidRPr="00EB2AF0">
        <w:rPr>
          <w:rFonts w:cs="Arial"/>
        </w:rPr>
        <w:t xml:space="preserve">.34 Ley </w:t>
      </w:r>
      <w:r>
        <w:rPr>
          <w:rFonts w:cs="Arial"/>
        </w:rPr>
        <w:t xml:space="preserve">Nº </w:t>
      </w:r>
      <w:r w:rsidRPr="00EB2AF0">
        <w:rPr>
          <w:rFonts w:cs="Arial"/>
        </w:rPr>
        <w:t xml:space="preserve">17556 (vencimiento </w:t>
      </w:r>
      <w:r>
        <w:rPr>
          <w:rFonts w:cs="Arial"/>
        </w:rPr>
        <w:t xml:space="preserve">de </w:t>
      </w:r>
      <w:r w:rsidRPr="00EB2AF0">
        <w:rPr>
          <w:rFonts w:cs="Arial"/>
        </w:rPr>
        <w:t>contrato</w:t>
      </w:r>
      <w:r>
        <w:rPr>
          <w:rFonts w:cs="Arial"/>
        </w:rPr>
        <w:t>s</w:t>
      </w:r>
      <w:r w:rsidRPr="00EB2AF0">
        <w:rPr>
          <w:rFonts w:cs="Arial"/>
        </w:rPr>
        <w:t xml:space="preserve"> a término)</w:t>
      </w:r>
      <w:r>
        <w:rPr>
          <w:rFonts w:cs="Arial"/>
        </w:rPr>
        <w:t>,</w:t>
      </w:r>
    </w:p>
    <w:p w:rsidR="005A0773" w:rsidRDefault="005A0773" w:rsidP="009E2A5B">
      <w:pPr>
        <w:spacing w:line="360" w:lineRule="auto"/>
        <w:jc w:val="both"/>
        <w:rPr>
          <w:rFonts w:cs="Arial"/>
        </w:rPr>
      </w:pPr>
      <w:r>
        <w:rPr>
          <w:rFonts w:cs="Arial"/>
        </w:rPr>
        <w:t>-Art</w:t>
      </w:r>
      <w:r w:rsidRPr="00EB2AF0">
        <w:rPr>
          <w:rFonts w:cs="Arial"/>
        </w:rPr>
        <w:t xml:space="preserve">.4 Ley </w:t>
      </w:r>
      <w:r>
        <w:rPr>
          <w:rFonts w:cs="Arial"/>
        </w:rPr>
        <w:t xml:space="preserve">Nº </w:t>
      </w:r>
      <w:r w:rsidRPr="00EB2AF0">
        <w:rPr>
          <w:rFonts w:cs="Arial"/>
        </w:rPr>
        <w:t>18.834 (</w:t>
      </w:r>
      <w:r>
        <w:rPr>
          <w:rFonts w:cs="Arial"/>
        </w:rPr>
        <w:t>p</w:t>
      </w:r>
      <w:r w:rsidRPr="00EB2AF0">
        <w:rPr>
          <w:rFonts w:cs="Arial"/>
        </w:rPr>
        <w:t>ublicidad del llamado</w:t>
      </w:r>
      <w:r>
        <w:rPr>
          <w:rFonts w:cs="Arial"/>
        </w:rPr>
        <w:t xml:space="preserve"> a la </w:t>
      </w:r>
      <w:r w:rsidRPr="00EB2AF0">
        <w:rPr>
          <w:rFonts w:cs="Arial"/>
        </w:rPr>
        <w:t>Adm</w:t>
      </w:r>
      <w:r>
        <w:rPr>
          <w:rFonts w:cs="Arial"/>
        </w:rPr>
        <w:t>inistración</w:t>
      </w:r>
      <w:r w:rsidRPr="00EB2AF0">
        <w:rPr>
          <w:rFonts w:cs="Arial"/>
        </w:rPr>
        <w:t xml:space="preserve"> Pública)</w:t>
      </w:r>
      <w:r>
        <w:rPr>
          <w:rFonts w:cs="Arial"/>
        </w:rPr>
        <w:t>,</w:t>
      </w:r>
    </w:p>
    <w:p w:rsidR="005A0773" w:rsidRDefault="005A0773" w:rsidP="009E2A5B">
      <w:pPr>
        <w:spacing w:line="360" w:lineRule="auto"/>
        <w:jc w:val="both"/>
        <w:rPr>
          <w:rFonts w:cs="Arial"/>
        </w:rPr>
      </w:pPr>
      <w:r>
        <w:rPr>
          <w:rFonts w:cs="Arial"/>
        </w:rPr>
        <w:t>-Art. 153 Ley Nº 16713 (incumplimiento en el pago de aportes)</w:t>
      </w:r>
      <w:r w:rsidR="007B57CA">
        <w:rPr>
          <w:rFonts w:cs="Arial"/>
        </w:rPr>
        <w:t>,</w:t>
      </w:r>
    </w:p>
    <w:p w:rsidR="005A0773" w:rsidRDefault="005A0773" w:rsidP="009E2A5B">
      <w:pPr>
        <w:spacing w:line="360" w:lineRule="auto"/>
        <w:jc w:val="both"/>
        <w:rPr>
          <w:rFonts w:cs="Arial"/>
        </w:rPr>
      </w:pPr>
      <w:r>
        <w:rPr>
          <w:rFonts w:cs="Arial"/>
        </w:rPr>
        <w:t>-Art. 13  Ley Nº 18719 (falta de inscripción del contrato en ONSC),</w:t>
      </w:r>
    </w:p>
    <w:p w:rsidR="005A0773" w:rsidRDefault="005A0773" w:rsidP="009E2A5B">
      <w:pPr>
        <w:spacing w:line="360" w:lineRule="auto"/>
        <w:jc w:val="both"/>
        <w:rPr>
          <w:rFonts w:cs="Arial"/>
        </w:rPr>
      </w:pPr>
      <w:r>
        <w:rPr>
          <w:rFonts w:cs="Arial"/>
        </w:rPr>
        <w:t>-Art. 51 Ley Nº 18719 (no estar incluido en el registro de vínculos del Estado de la ONSC),</w:t>
      </w:r>
    </w:p>
    <w:p w:rsidR="005A0773" w:rsidRPr="00EB2AF0" w:rsidRDefault="005A0773" w:rsidP="009E2A5B">
      <w:pPr>
        <w:spacing w:line="360" w:lineRule="auto"/>
        <w:jc w:val="both"/>
        <w:rPr>
          <w:rFonts w:cs="Arial"/>
        </w:rPr>
      </w:pPr>
      <w:r>
        <w:rPr>
          <w:rFonts w:cs="Arial"/>
        </w:rPr>
        <w:t>-Art.</w:t>
      </w:r>
      <w:r w:rsidRPr="00EB2AF0">
        <w:rPr>
          <w:rFonts w:cs="Arial"/>
        </w:rPr>
        <w:t xml:space="preserve"> </w:t>
      </w:r>
      <w:r>
        <w:rPr>
          <w:rFonts w:cs="Arial"/>
        </w:rPr>
        <w:t>118</w:t>
      </w:r>
      <w:r w:rsidRPr="00EB2AF0">
        <w:rPr>
          <w:rFonts w:cs="Arial"/>
        </w:rPr>
        <w:t xml:space="preserve"> Ley </w:t>
      </w:r>
      <w:r>
        <w:rPr>
          <w:rFonts w:cs="Arial"/>
        </w:rPr>
        <w:t>Nº 9640</w:t>
      </w:r>
      <w:r w:rsidRPr="00EB2AF0">
        <w:rPr>
          <w:rFonts w:cs="Arial"/>
        </w:rPr>
        <w:t xml:space="preserve"> </w:t>
      </w:r>
      <w:r>
        <w:rPr>
          <w:rFonts w:cs="Arial"/>
        </w:rPr>
        <w:t>y art. 314 Ley Nº 14106 (aprobación preceptiva del Poder Ejecutivo en las designaciones)</w:t>
      </w:r>
      <w:r w:rsidR="009E2A5B">
        <w:rPr>
          <w:rFonts w:cs="Arial"/>
        </w:rPr>
        <w:t>,</w:t>
      </w:r>
    </w:p>
    <w:p w:rsidR="005A0773" w:rsidRPr="00EB2AF0" w:rsidRDefault="005A0773" w:rsidP="009E2A5B">
      <w:pPr>
        <w:spacing w:line="360" w:lineRule="auto"/>
        <w:jc w:val="both"/>
        <w:rPr>
          <w:rFonts w:cs="Arial"/>
        </w:rPr>
      </w:pPr>
      <w:r>
        <w:rPr>
          <w:rFonts w:cs="Arial"/>
        </w:rPr>
        <w:t>-Art.</w:t>
      </w:r>
      <w:r w:rsidRPr="00EB2AF0">
        <w:rPr>
          <w:rFonts w:cs="Arial"/>
        </w:rPr>
        <w:t xml:space="preserve"> 11 Ley </w:t>
      </w:r>
      <w:r>
        <w:rPr>
          <w:rFonts w:cs="Arial"/>
        </w:rPr>
        <w:t xml:space="preserve">Nº </w:t>
      </w:r>
      <w:r w:rsidRPr="00EB2AF0">
        <w:rPr>
          <w:rFonts w:cs="Arial"/>
        </w:rPr>
        <w:t>18362 (publicidad del llamado)</w:t>
      </w:r>
      <w:r>
        <w:rPr>
          <w:rFonts w:cs="Arial"/>
        </w:rPr>
        <w:t>,</w:t>
      </w:r>
    </w:p>
    <w:p w:rsidR="005A0773" w:rsidRPr="007867FE" w:rsidRDefault="005A0773" w:rsidP="009E2A5B">
      <w:pPr>
        <w:pStyle w:val="Textoindependiente21"/>
        <w:spacing w:line="360" w:lineRule="auto"/>
        <w:rPr>
          <w:rStyle w:val="nfasis"/>
          <w:rFonts w:ascii="Arial" w:hAnsi="Arial"/>
          <w:bCs/>
          <w:i w:val="0"/>
          <w:snapToGrid w:val="0"/>
          <w:szCs w:val="24"/>
        </w:rPr>
      </w:pPr>
      <w:r>
        <w:rPr>
          <w:rStyle w:val="nfasis"/>
          <w:rFonts w:ascii="Arial" w:hAnsi="Arial"/>
          <w:bCs/>
          <w:i w:val="0"/>
          <w:snapToGrid w:val="0"/>
          <w:szCs w:val="24"/>
        </w:rPr>
        <w:t>-A</w:t>
      </w:r>
      <w:r w:rsidRPr="007867FE">
        <w:rPr>
          <w:rStyle w:val="nfasis"/>
          <w:rFonts w:ascii="Arial" w:hAnsi="Arial"/>
          <w:bCs/>
          <w:i w:val="0"/>
          <w:snapToGrid w:val="0"/>
          <w:szCs w:val="24"/>
        </w:rPr>
        <w:t xml:space="preserve">rtículos 13, 15, </w:t>
      </w:r>
      <w:r>
        <w:rPr>
          <w:rStyle w:val="nfasis"/>
          <w:rFonts w:ascii="Arial" w:hAnsi="Arial"/>
          <w:bCs/>
          <w:i w:val="0"/>
          <w:snapToGrid w:val="0"/>
          <w:szCs w:val="24"/>
        </w:rPr>
        <w:t xml:space="preserve">21, 23, </w:t>
      </w:r>
      <w:r w:rsidRPr="007867FE">
        <w:rPr>
          <w:rStyle w:val="nfasis"/>
          <w:rFonts w:ascii="Arial" w:hAnsi="Arial"/>
          <w:bCs/>
          <w:i w:val="0"/>
          <w:snapToGrid w:val="0"/>
          <w:szCs w:val="24"/>
        </w:rPr>
        <w:t>3</w:t>
      </w:r>
      <w:r>
        <w:rPr>
          <w:rStyle w:val="nfasis"/>
          <w:rFonts w:ascii="Arial" w:hAnsi="Arial"/>
          <w:bCs/>
          <w:i w:val="0"/>
          <w:snapToGrid w:val="0"/>
          <w:szCs w:val="24"/>
        </w:rPr>
        <w:t>3</w:t>
      </w:r>
      <w:r w:rsidRPr="007867FE">
        <w:rPr>
          <w:rStyle w:val="nfasis"/>
          <w:rFonts w:ascii="Arial" w:hAnsi="Arial"/>
          <w:bCs/>
          <w:i w:val="0"/>
          <w:snapToGrid w:val="0"/>
          <w:szCs w:val="24"/>
        </w:rPr>
        <w:t xml:space="preserve">, </w:t>
      </w:r>
      <w:r>
        <w:rPr>
          <w:rStyle w:val="nfasis"/>
          <w:rFonts w:ascii="Arial" w:hAnsi="Arial"/>
          <w:bCs/>
          <w:i w:val="0"/>
          <w:snapToGrid w:val="0"/>
          <w:szCs w:val="24"/>
        </w:rPr>
        <w:t>74,</w:t>
      </w:r>
      <w:r w:rsidRPr="007867FE">
        <w:rPr>
          <w:rStyle w:val="nfasis"/>
          <w:rFonts w:ascii="Arial" w:hAnsi="Arial"/>
          <w:bCs/>
          <w:i w:val="0"/>
          <w:snapToGrid w:val="0"/>
          <w:szCs w:val="24"/>
        </w:rPr>
        <w:t xml:space="preserve"> 89</w:t>
      </w:r>
      <w:r>
        <w:rPr>
          <w:rStyle w:val="nfasis"/>
          <w:rFonts w:ascii="Arial" w:hAnsi="Arial"/>
          <w:bCs/>
          <w:i w:val="0"/>
          <w:snapToGrid w:val="0"/>
          <w:szCs w:val="24"/>
        </w:rPr>
        <w:t xml:space="preserve"> y</w:t>
      </w:r>
      <w:r w:rsidR="009E2A5B">
        <w:rPr>
          <w:rStyle w:val="nfasis"/>
          <w:rFonts w:ascii="Arial" w:hAnsi="Arial"/>
          <w:bCs/>
          <w:i w:val="0"/>
          <w:snapToGrid w:val="0"/>
          <w:szCs w:val="24"/>
        </w:rPr>
        <w:t xml:space="preserve"> 90 del TOCAF,</w:t>
      </w:r>
    </w:p>
    <w:p w:rsidR="005A0773" w:rsidRDefault="005A0773" w:rsidP="009E2A5B">
      <w:pPr>
        <w:spacing w:line="360" w:lineRule="auto"/>
        <w:rPr>
          <w:rFonts w:cs="Arial"/>
        </w:rPr>
      </w:pPr>
      <w:r>
        <w:rPr>
          <w:rFonts w:cs="Arial"/>
        </w:rPr>
        <w:t>-Decreto 345/013 de 23/10/13,</w:t>
      </w:r>
    </w:p>
    <w:p w:rsidR="005A0773" w:rsidRDefault="005A0773" w:rsidP="009E2A5B">
      <w:pPr>
        <w:spacing w:line="360" w:lineRule="auto"/>
        <w:rPr>
          <w:rFonts w:cs="Arial"/>
        </w:rPr>
      </w:pPr>
      <w:r>
        <w:rPr>
          <w:rFonts w:cs="Arial"/>
        </w:rPr>
        <w:t>-A</w:t>
      </w:r>
      <w:r w:rsidRPr="00EB2AF0">
        <w:rPr>
          <w:rFonts w:cs="Arial"/>
        </w:rPr>
        <w:t>rt. 19 Dec</w:t>
      </w:r>
      <w:r>
        <w:rPr>
          <w:rFonts w:cs="Arial"/>
        </w:rPr>
        <w:t>reto 85</w:t>
      </w:r>
      <w:r w:rsidRPr="00EB2AF0">
        <w:rPr>
          <w:rFonts w:cs="Arial"/>
        </w:rPr>
        <w:t>/003</w:t>
      </w:r>
      <w:r>
        <w:rPr>
          <w:rFonts w:cs="Arial"/>
        </w:rPr>
        <w:t xml:space="preserve"> </w:t>
      </w:r>
      <w:r w:rsidRPr="00EB2AF0">
        <w:rPr>
          <w:rFonts w:cs="Arial"/>
        </w:rPr>
        <w:t>(</w:t>
      </w:r>
      <w:r>
        <w:rPr>
          <w:rFonts w:cs="Arial"/>
        </w:rPr>
        <w:t>r</w:t>
      </w:r>
      <w:r w:rsidRPr="00EB2AF0">
        <w:rPr>
          <w:rFonts w:cs="Arial"/>
        </w:rPr>
        <w:t>etribución</w:t>
      </w:r>
      <w:r>
        <w:rPr>
          <w:rFonts w:cs="Arial"/>
        </w:rPr>
        <w:t xml:space="preserve"> de contratos a término),</w:t>
      </w:r>
    </w:p>
    <w:p w:rsidR="005A0773" w:rsidRPr="00EB2AF0" w:rsidRDefault="005A0773" w:rsidP="009E2A5B">
      <w:pPr>
        <w:spacing w:line="360" w:lineRule="auto"/>
        <w:jc w:val="both"/>
        <w:rPr>
          <w:rFonts w:cs="Arial"/>
        </w:rPr>
      </w:pPr>
      <w:r>
        <w:rPr>
          <w:rFonts w:cs="Arial"/>
        </w:rPr>
        <w:t>-Art. 6 Decreto 376/003 (reglamento de contratos a término)</w:t>
      </w:r>
      <w:r w:rsidR="009E2A5B">
        <w:rPr>
          <w:rFonts w:cs="Arial"/>
        </w:rPr>
        <w:t>,</w:t>
      </w:r>
    </w:p>
    <w:p w:rsidR="005A0773" w:rsidRDefault="005A0773" w:rsidP="009E2A5B">
      <w:pPr>
        <w:spacing w:line="360" w:lineRule="auto"/>
        <w:jc w:val="both"/>
        <w:rPr>
          <w:rFonts w:cs="Arial"/>
        </w:rPr>
      </w:pPr>
      <w:r>
        <w:rPr>
          <w:rFonts w:cs="Arial"/>
        </w:rPr>
        <w:t>-Boletín 3802/13 (Reglamento de partidas a rendir cuenta aprobado por RD 132/3675),</w:t>
      </w:r>
    </w:p>
    <w:p w:rsidR="005A0773" w:rsidRDefault="005A0773" w:rsidP="009E2A5B">
      <w:pPr>
        <w:spacing w:line="360" w:lineRule="auto"/>
        <w:jc w:val="both"/>
        <w:rPr>
          <w:rFonts w:cs="Arial"/>
        </w:rPr>
      </w:pPr>
      <w:r>
        <w:rPr>
          <w:rFonts w:cs="Arial"/>
        </w:rPr>
        <w:t>-Comunicado al personal Nº 35/14 (incumplimiento bases del llamado para usufructo de beca)</w:t>
      </w:r>
      <w:r w:rsidR="009E2A5B">
        <w:rPr>
          <w:rFonts w:cs="Arial"/>
        </w:rPr>
        <w:t>.</w:t>
      </w:r>
    </w:p>
    <w:p w:rsidR="005A0773" w:rsidRPr="00EB2AF0" w:rsidRDefault="005A0773" w:rsidP="009E2A5B">
      <w:pPr>
        <w:spacing w:line="360" w:lineRule="auto"/>
        <w:ind w:left="567"/>
        <w:rPr>
          <w:rFonts w:cs="Arial"/>
        </w:rPr>
      </w:pPr>
    </w:p>
    <w:p w:rsidR="005A0773" w:rsidRPr="007867FE" w:rsidRDefault="005A0773" w:rsidP="009E2A5B">
      <w:pPr>
        <w:pStyle w:val="Textoindependiente21"/>
        <w:spacing w:line="360" w:lineRule="auto"/>
        <w:rPr>
          <w:rStyle w:val="nfasis"/>
          <w:rFonts w:ascii="Arial" w:hAnsi="Arial"/>
          <w:bCs/>
          <w:i w:val="0"/>
          <w:snapToGrid w:val="0"/>
          <w:szCs w:val="24"/>
        </w:rPr>
      </w:pPr>
      <w:r>
        <w:rPr>
          <w:rStyle w:val="nfasis"/>
          <w:rFonts w:ascii="Arial" w:hAnsi="Arial"/>
          <w:bCs/>
          <w:i w:val="0"/>
          <w:snapToGrid w:val="0"/>
          <w:szCs w:val="24"/>
        </w:rPr>
        <w:t xml:space="preserve">Todos los gastos anteriores relacionados </w:t>
      </w:r>
      <w:r w:rsidRPr="007867FE">
        <w:rPr>
          <w:rStyle w:val="nfasis"/>
          <w:rFonts w:ascii="Arial" w:hAnsi="Arial"/>
          <w:bCs/>
          <w:i w:val="0"/>
          <w:snapToGrid w:val="0"/>
          <w:szCs w:val="24"/>
        </w:rPr>
        <w:t>fueron reiterados por el Ordenador competente.</w:t>
      </w:r>
    </w:p>
    <w:p w:rsidR="005A0773" w:rsidRDefault="005A0773">
      <w:pPr>
        <w:jc w:val="right"/>
        <w:rPr>
          <w:rFonts w:cs="Arial"/>
        </w:rPr>
      </w:pPr>
      <w:r w:rsidRPr="00017B83">
        <w:rPr>
          <w:rFonts w:cs="Arial"/>
        </w:rPr>
        <w:t xml:space="preserve">Montevideo, </w:t>
      </w:r>
      <w:r>
        <w:rPr>
          <w:rFonts w:cs="Arial"/>
        </w:rPr>
        <w:t>19</w:t>
      </w:r>
      <w:r w:rsidRPr="00017B83">
        <w:rPr>
          <w:rFonts w:cs="Arial"/>
        </w:rPr>
        <w:t xml:space="preserve"> de noviembre de 2015</w:t>
      </w:r>
    </w:p>
    <w:p w:rsidR="009E2A5B" w:rsidRDefault="009E2A5B">
      <w:pPr>
        <w:jc w:val="right"/>
        <w:rPr>
          <w:rFonts w:cs="Arial"/>
        </w:rPr>
      </w:pPr>
    </w:p>
    <w:p w:rsidR="009E2A5B" w:rsidRDefault="009E2A5B">
      <w:pPr>
        <w:jc w:val="right"/>
        <w:rPr>
          <w:rFonts w:cs="Arial"/>
        </w:rPr>
      </w:pPr>
    </w:p>
    <w:p w:rsidR="007B57CA" w:rsidRDefault="007B57CA">
      <w:pPr>
        <w:jc w:val="right"/>
        <w:rPr>
          <w:rFonts w:cs="Arial"/>
        </w:rPr>
      </w:pPr>
    </w:p>
    <w:p w:rsidR="00807637" w:rsidRDefault="00807637">
      <w:pPr>
        <w:jc w:val="right"/>
        <w:rPr>
          <w:rFonts w:cs="Arial"/>
        </w:rPr>
      </w:pPr>
    </w:p>
    <w:p w:rsidR="005A0773" w:rsidRDefault="005A0773" w:rsidP="009E2A5B">
      <w:pPr>
        <w:jc w:val="center"/>
        <w:rPr>
          <w:rFonts w:cs="Arial"/>
          <w:b/>
          <w:szCs w:val="20"/>
        </w:rPr>
      </w:pPr>
      <w:r w:rsidRPr="00230162">
        <w:rPr>
          <w:rFonts w:cs="Arial"/>
          <w:b/>
          <w:szCs w:val="20"/>
        </w:rPr>
        <w:t>INFORME A LA ADMINISTRACIÓN</w:t>
      </w:r>
    </w:p>
    <w:p w:rsidR="00807637" w:rsidRPr="00230162" w:rsidRDefault="00807637" w:rsidP="009E2A5B">
      <w:pPr>
        <w:jc w:val="center"/>
        <w:rPr>
          <w:rFonts w:cs="Arial"/>
          <w:b/>
          <w:szCs w:val="20"/>
        </w:rPr>
      </w:pPr>
    </w:p>
    <w:p w:rsidR="005A0773" w:rsidRPr="00230162" w:rsidRDefault="005A0773" w:rsidP="009E2A5B">
      <w:pPr>
        <w:jc w:val="both"/>
        <w:rPr>
          <w:rFonts w:cs="Arial"/>
          <w:b/>
          <w:szCs w:val="20"/>
        </w:rPr>
      </w:pPr>
    </w:p>
    <w:p w:rsidR="005A0773" w:rsidRPr="00230162" w:rsidRDefault="005A0773" w:rsidP="009E2A5B">
      <w:pPr>
        <w:spacing w:line="360" w:lineRule="auto"/>
        <w:jc w:val="both"/>
        <w:rPr>
          <w:rFonts w:cs="Arial"/>
          <w:szCs w:val="20"/>
        </w:rPr>
      </w:pPr>
      <w:r w:rsidRPr="00230162">
        <w:rPr>
          <w:rFonts w:cs="Arial"/>
          <w:szCs w:val="20"/>
        </w:rPr>
        <w:t>El Tribunal de Cuentas ha examinado el Estado de Ejecución Presupuestal al 31 de diciembre de 2014 de la Administración Nacional de Puertos (ANP) y ha emitido su Dictamen.</w:t>
      </w:r>
    </w:p>
    <w:p w:rsidR="005A0773" w:rsidRPr="00230162" w:rsidRDefault="005A0773" w:rsidP="009E2A5B">
      <w:pPr>
        <w:spacing w:line="360" w:lineRule="auto"/>
        <w:jc w:val="both"/>
        <w:rPr>
          <w:rFonts w:cs="Arial"/>
          <w:szCs w:val="20"/>
        </w:rPr>
      </w:pPr>
      <w:r w:rsidRPr="00230162">
        <w:rPr>
          <w:rFonts w:cs="Arial"/>
          <w:szCs w:val="20"/>
        </w:rPr>
        <w:t>Este informe incluye comentarios que se ha entendido conveniente exponer, relacionados a la situación de determinados capítulos y rubros del estado examinado y a disposiciones legales vigentes.</w:t>
      </w:r>
    </w:p>
    <w:p w:rsidR="005A0773" w:rsidRDefault="005A0773" w:rsidP="009E2A5B">
      <w:pPr>
        <w:spacing w:line="360" w:lineRule="auto"/>
        <w:jc w:val="both"/>
        <w:rPr>
          <w:rFonts w:cs="Arial"/>
          <w:szCs w:val="20"/>
        </w:rPr>
      </w:pPr>
      <w:r w:rsidRPr="00230162">
        <w:rPr>
          <w:rFonts w:cs="Arial"/>
          <w:szCs w:val="20"/>
        </w:rPr>
        <w:t xml:space="preserve">También se agregan las principales recomendaciones que </w:t>
      </w:r>
      <w:proofErr w:type="gramStart"/>
      <w:r w:rsidRPr="00230162">
        <w:rPr>
          <w:rFonts w:cs="Arial"/>
          <w:szCs w:val="20"/>
        </w:rPr>
        <w:t>deberá</w:t>
      </w:r>
      <w:proofErr w:type="gramEnd"/>
      <w:r w:rsidRPr="00230162">
        <w:rPr>
          <w:rFonts w:cs="Arial"/>
          <w:szCs w:val="20"/>
        </w:rPr>
        <w:t xml:space="preserve"> atender el Organismo y una evaluación del cumplimiento de las recomendaciones efectuadas </w:t>
      </w:r>
      <w:r>
        <w:rPr>
          <w:rFonts w:cs="Arial"/>
          <w:szCs w:val="20"/>
        </w:rPr>
        <w:t>en el informe de auditoría del E</w:t>
      </w:r>
      <w:r w:rsidRPr="00230162">
        <w:rPr>
          <w:rFonts w:cs="Arial"/>
          <w:szCs w:val="20"/>
        </w:rPr>
        <w:t>jercicio anterior.</w:t>
      </w:r>
    </w:p>
    <w:p w:rsidR="005A0773" w:rsidRDefault="005A0773" w:rsidP="009E2A5B">
      <w:pPr>
        <w:spacing w:line="360" w:lineRule="auto"/>
        <w:jc w:val="both"/>
        <w:rPr>
          <w:rFonts w:cs="Arial"/>
          <w:szCs w:val="20"/>
        </w:rPr>
      </w:pPr>
    </w:p>
    <w:p w:rsidR="005A0773" w:rsidRPr="00230162" w:rsidRDefault="005A0773" w:rsidP="009E2A5B">
      <w:pPr>
        <w:spacing w:line="360" w:lineRule="auto"/>
        <w:jc w:val="both"/>
        <w:rPr>
          <w:rFonts w:cs="Arial"/>
          <w:b/>
          <w:szCs w:val="20"/>
        </w:rPr>
      </w:pPr>
      <w:r w:rsidRPr="00230162">
        <w:rPr>
          <w:rFonts w:cs="Arial"/>
          <w:b/>
          <w:szCs w:val="20"/>
        </w:rPr>
        <w:t>1. Aprobación y presentación del Estado de Ejecución Presupuestal</w:t>
      </w:r>
    </w:p>
    <w:p w:rsidR="005A0773" w:rsidRPr="00230162" w:rsidRDefault="005A0773" w:rsidP="009E2A5B">
      <w:pPr>
        <w:spacing w:line="360" w:lineRule="auto"/>
        <w:jc w:val="both"/>
        <w:rPr>
          <w:rFonts w:cs="Arial"/>
          <w:szCs w:val="20"/>
        </w:rPr>
      </w:pPr>
      <w:r w:rsidRPr="00230162">
        <w:rPr>
          <w:rFonts w:cs="Arial"/>
          <w:szCs w:val="20"/>
        </w:rPr>
        <w:t xml:space="preserve">El mencionado Estado de Ejecución fue aprobado por Resolución de Presidencia Nº 33/15 de fecha 29/05/2015 (Expediente ANP 150895) y remitido a este Tribunal con fecha 29/05/2015, dentro del plazo establecido por </w:t>
      </w:r>
      <w:smartTag w:uri="urn:schemas-microsoft-com:office:smarttags" w:element="PersonName">
        <w:smartTagPr>
          <w:attr w:name="ProductID" w:val="la Ordenanza N"/>
        </w:smartTagPr>
        <w:r w:rsidRPr="00230162">
          <w:rPr>
            <w:rFonts w:cs="Arial"/>
            <w:szCs w:val="20"/>
          </w:rPr>
          <w:t>la Ordenanza N</w:t>
        </w:r>
      </w:smartTag>
      <w:r w:rsidRPr="00230162">
        <w:rPr>
          <w:rFonts w:cs="Arial"/>
          <w:szCs w:val="20"/>
        </w:rPr>
        <w:t>º 75.</w:t>
      </w:r>
    </w:p>
    <w:p w:rsidR="005A0773" w:rsidRPr="00230162" w:rsidRDefault="005A0773" w:rsidP="009E2A5B">
      <w:pPr>
        <w:spacing w:line="360" w:lineRule="auto"/>
        <w:jc w:val="both"/>
        <w:rPr>
          <w:rFonts w:cs="Arial"/>
          <w:szCs w:val="20"/>
        </w:rPr>
      </w:pPr>
    </w:p>
    <w:p w:rsidR="005A0773" w:rsidRPr="00230162" w:rsidRDefault="005A0773" w:rsidP="009E2A5B">
      <w:pPr>
        <w:spacing w:line="360" w:lineRule="auto"/>
        <w:jc w:val="both"/>
        <w:rPr>
          <w:rFonts w:cs="Arial"/>
          <w:b/>
          <w:szCs w:val="20"/>
        </w:rPr>
      </w:pPr>
      <w:r w:rsidRPr="00230162">
        <w:rPr>
          <w:rFonts w:cs="Arial"/>
          <w:b/>
          <w:szCs w:val="20"/>
        </w:rPr>
        <w:t>2. Situaciones constatadas</w:t>
      </w:r>
    </w:p>
    <w:p w:rsidR="005A0773" w:rsidRPr="00230162" w:rsidRDefault="005A0773" w:rsidP="009E2A5B">
      <w:pPr>
        <w:spacing w:line="360" w:lineRule="auto"/>
        <w:jc w:val="both"/>
        <w:rPr>
          <w:rFonts w:cs="Arial"/>
          <w:b/>
          <w:szCs w:val="20"/>
          <w:lang w:val="es-ES_tradnl"/>
        </w:rPr>
      </w:pPr>
      <w:r w:rsidRPr="00230162">
        <w:rPr>
          <w:rFonts w:cs="Arial"/>
          <w:b/>
          <w:szCs w:val="20"/>
          <w:lang w:val="es-ES_tradnl"/>
        </w:rPr>
        <w:t xml:space="preserve">2.1 Art. 87 de </w:t>
      </w:r>
      <w:smartTag w:uri="urn:schemas-microsoft-com:office:smarttags" w:element="PersonName">
        <w:smartTagPr>
          <w:attr w:name="ProductID" w:val="la Ley N"/>
        </w:smartTagPr>
        <w:r w:rsidRPr="00230162">
          <w:rPr>
            <w:rFonts w:cs="Arial"/>
            <w:b/>
            <w:szCs w:val="20"/>
            <w:lang w:val="es-ES_tradnl"/>
          </w:rPr>
          <w:t>la Ley N</w:t>
        </w:r>
      </w:smartTag>
      <w:r w:rsidRPr="00230162">
        <w:rPr>
          <w:rFonts w:cs="Arial"/>
          <w:b/>
          <w:szCs w:val="20"/>
          <w:lang w:val="es-ES_tradnl"/>
        </w:rPr>
        <w:t>° 14.416</w:t>
      </w:r>
    </w:p>
    <w:p w:rsidR="005A0773" w:rsidRPr="00230162" w:rsidRDefault="005A0773" w:rsidP="009E2A5B">
      <w:pPr>
        <w:spacing w:line="360" w:lineRule="auto"/>
        <w:jc w:val="both"/>
        <w:rPr>
          <w:rFonts w:cs="Arial"/>
          <w:szCs w:val="20"/>
        </w:rPr>
      </w:pPr>
      <w:r>
        <w:rPr>
          <w:rFonts w:cs="Arial"/>
          <w:szCs w:val="20"/>
        </w:rPr>
        <w:t>El Organismo abonó en el Ej</w:t>
      </w:r>
      <w:r w:rsidRPr="00230162">
        <w:rPr>
          <w:rFonts w:cs="Arial"/>
          <w:szCs w:val="20"/>
        </w:rPr>
        <w:t>ercicio 2014 por concepto d</w:t>
      </w:r>
      <w:r>
        <w:rPr>
          <w:rFonts w:cs="Arial"/>
          <w:szCs w:val="20"/>
        </w:rPr>
        <w:t>e horas extras $27:</w:t>
      </w:r>
      <w:r w:rsidRPr="00230162">
        <w:rPr>
          <w:rFonts w:cs="Arial"/>
          <w:szCs w:val="20"/>
        </w:rPr>
        <w:t>550</w:t>
      </w:r>
      <w:r>
        <w:rPr>
          <w:rFonts w:cs="Arial"/>
          <w:szCs w:val="20"/>
        </w:rPr>
        <w:t>.912, lo que representa el 9,02</w:t>
      </w:r>
      <w:r w:rsidRPr="00230162">
        <w:rPr>
          <w:rFonts w:cs="Arial"/>
          <w:szCs w:val="20"/>
        </w:rPr>
        <w:t>% del monto de las retribuciones básicas, superando así el tope del 5% sobre los sueldos bási</w:t>
      </w:r>
      <w:r w:rsidR="00EB5F68">
        <w:rPr>
          <w:rFonts w:cs="Arial"/>
          <w:szCs w:val="20"/>
        </w:rPr>
        <w:t>cos establecidos por dicha Ley.</w:t>
      </w:r>
    </w:p>
    <w:p w:rsidR="005A0773" w:rsidRPr="00230162" w:rsidRDefault="005A0773" w:rsidP="009E2A5B">
      <w:pPr>
        <w:spacing w:line="360" w:lineRule="auto"/>
        <w:ind w:left="709"/>
        <w:jc w:val="both"/>
        <w:rPr>
          <w:rFonts w:cs="Arial"/>
          <w:szCs w:val="20"/>
        </w:rPr>
      </w:pPr>
    </w:p>
    <w:p w:rsidR="005A0773" w:rsidRPr="00230162" w:rsidRDefault="005A0773" w:rsidP="009E2A5B">
      <w:pPr>
        <w:numPr>
          <w:ilvl w:val="1"/>
          <w:numId w:val="4"/>
        </w:numPr>
        <w:spacing w:line="360" w:lineRule="auto"/>
        <w:jc w:val="both"/>
        <w:rPr>
          <w:rFonts w:cs="Arial"/>
          <w:b/>
          <w:szCs w:val="20"/>
        </w:rPr>
      </w:pPr>
      <w:r w:rsidRPr="00230162">
        <w:rPr>
          <w:rFonts w:cs="Arial"/>
          <w:b/>
          <w:szCs w:val="20"/>
        </w:rPr>
        <w:t>Artículo 13  del D</w:t>
      </w:r>
      <w:r w:rsidR="00EB5F68">
        <w:rPr>
          <w:rFonts w:cs="Arial"/>
          <w:b/>
          <w:szCs w:val="20"/>
        </w:rPr>
        <w:t>ecreto Nº 345/013 de 23/10/2013</w:t>
      </w:r>
    </w:p>
    <w:p w:rsidR="005A0773" w:rsidRPr="00230162" w:rsidRDefault="005A0773" w:rsidP="009E2A5B">
      <w:pPr>
        <w:widowControl w:val="0"/>
        <w:spacing w:line="360" w:lineRule="auto"/>
        <w:jc w:val="both"/>
        <w:rPr>
          <w:rFonts w:cs="Arial"/>
          <w:szCs w:val="20"/>
        </w:rPr>
      </w:pPr>
      <w:r w:rsidRPr="00230162">
        <w:rPr>
          <w:rFonts w:cs="Arial"/>
          <w:szCs w:val="20"/>
        </w:rPr>
        <w:t>El Organismo por Resolución Nº 237/3773 de 20/05/2015 realizó una adecuación de pa</w:t>
      </w:r>
      <w:r>
        <w:rPr>
          <w:rFonts w:cs="Arial"/>
          <w:szCs w:val="20"/>
        </w:rPr>
        <w:t>rtidas no limitativas por $ 189:</w:t>
      </w:r>
      <w:r w:rsidRPr="00230162">
        <w:rPr>
          <w:rFonts w:cs="Arial"/>
          <w:szCs w:val="20"/>
        </w:rPr>
        <w:t>492.283, que fuera observada por el Tribunal de Cuentas por haberse comunicado fuera de fecha.</w:t>
      </w:r>
    </w:p>
    <w:p w:rsidR="005A0773" w:rsidRPr="00230162" w:rsidRDefault="005A0773" w:rsidP="009E2A5B">
      <w:pPr>
        <w:widowControl w:val="0"/>
        <w:spacing w:line="360" w:lineRule="auto"/>
        <w:jc w:val="both"/>
        <w:rPr>
          <w:rFonts w:cs="Arial"/>
          <w:szCs w:val="20"/>
          <w:lang w:val="es-ES_tradnl"/>
        </w:rPr>
      </w:pPr>
      <w:r w:rsidRPr="00230162">
        <w:rPr>
          <w:rFonts w:cs="Arial"/>
          <w:szCs w:val="20"/>
          <w:lang w:val="es-ES_tradnl"/>
        </w:rPr>
        <w:t>Por tal razón en los cuadros de ejecución presupuestal presentados se constató que, en el Presupuesto Operativo la asignación total y el saldo no ejecuta</w:t>
      </w:r>
      <w:r>
        <w:rPr>
          <w:rFonts w:cs="Arial"/>
          <w:szCs w:val="20"/>
          <w:lang w:val="es-ES_tradnl"/>
        </w:rPr>
        <w:t>do están sobrevaluados en $ 189:</w:t>
      </w:r>
      <w:r w:rsidRPr="00230162">
        <w:rPr>
          <w:rFonts w:cs="Arial"/>
          <w:szCs w:val="20"/>
          <w:lang w:val="es-ES_tradnl"/>
        </w:rPr>
        <w:t>492.283 por haber incluido la adecuación de partidas no limitativas mencionada.</w:t>
      </w:r>
    </w:p>
    <w:p w:rsidR="005A0773" w:rsidRPr="00230162" w:rsidRDefault="005A0773" w:rsidP="009E2A5B">
      <w:pPr>
        <w:widowControl w:val="0"/>
        <w:spacing w:line="360" w:lineRule="auto"/>
        <w:ind w:left="720"/>
        <w:jc w:val="both"/>
        <w:rPr>
          <w:rFonts w:cs="Arial"/>
          <w:szCs w:val="20"/>
          <w:lang w:val="es-ES_tradnl"/>
        </w:rPr>
      </w:pPr>
    </w:p>
    <w:p w:rsidR="005A0773" w:rsidRPr="00230162" w:rsidRDefault="005A0773" w:rsidP="009E2A5B">
      <w:pPr>
        <w:numPr>
          <w:ilvl w:val="1"/>
          <w:numId w:val="4"/>
        </w:numPr>
        <w:spacing w:line="360" w:lineRule="auto"/>
        <w:jc w:val="both"/>
        <w:rPr>
          <w:rFonts w:cs="Arial"/>
          <w:szCs w:val="20"/>
        </w:rPr>
      </w:pPr>
      <w:r w:rsidRPr="00230162">
        <w:rPr>
          <w:rFonts w:cs="Arial"/>
          <w:szCs w:val="20"/>
        </w:rPr>
        <w:t>En lo referente a la operativa de Caja Chica, se pudo constatar que:</w:t>
      </w:r>
    </w:p>
    <w:p w:rsidR="005A0773" w:rsidRPr="00230162" w:rsidRDefault="005A0773" w:rsidP="009E2A5B">
      <w:pPr>
        <w:numPr>
          <w:ilvl w:val="2"/>
          <w:numId w:val="4"/>
        </w:numPr>
        <w:spacing w:line="360" w:lineRule="auto"/>
        <w:ind w:left="709" w:hanging="709"/>
        <w:jc w:val="both"/>
        <w:rPr>
          <w:rFonts w:cs="Arial"/>
        </w:rPr>
      </w:pPr>
      <w:r w:rsidRPr="00230162">
        <w:rPr>
          <w:rFonts w:cs="Arial"/>
        </w:rPr>
        <w:t>Cada caja dispone de un monto máximo para gastar el cual está muy por encima de las rendiciones efectuadas (por ejemplo en Talleres el monto total es de $</w:t>
      </w:r>
      <w:r>
        <w:rPr>
          <w:rFonts w:cs="Arial"/>
        </w:rPr>
        <w:t xml:space="preserve"> </w:t>
      </w:r>
      <w:r w:rsidRPr="00230162">
        <w:rPr>
          <w:rFonts w:cs="Arial"/>
        </w:rPr>
        <w:t>721.500 y las rendiciones mensuales en promedio no superan los $ 202.000, en Unidad Compras el monto total es de             $ 962.000 y las rendiciones mensuales promedio no superan los              $ 183.000).</w:t>
      </w:r>
    </w:p>
    <w:p w:rsidR="005A0773" w:rsidRPr="00230162" w:rsidRDefault="005A0773" w:rsidP="009E2A5B">
      <w:pPr>
        <w:numPr>
          <w:ilvl w:val="2"/>
          <w:numId w:val="4"/>
        </w:numPr>
        <w:spacing w:line="360" w:lineRule="auto"/>
        <w:ind w:left="709" w:hanging="709"/>
        <w:jc w:val="both"/>
        <w:rPr>
          <w:rFonts w:cs="Arial"/>
        </w:rPr>
      </w:pPr>
      <w:r w:rsidRPr="00230162">
        <w:rPr>
          <w:rFonts w:cs="Arial"/>
        </w:rPr>
        <w:t>Se repiten los conceptos y proveedores en las compras, identificándose dentro de una rendición más de una factura al mismo proveedor.</w:t>
      </w:r>
    </w:p>
    <w:p w:rsidR="005A0773" w:rsidRPr="00230162" w:rsidRDefault="005A0773" w:rsidP="009E2A5B">
      <w:pPr>
        <w:numPr>
          <w:ilvl w:val="2"/>
          <w:numId w:val="4"/>
        </w:numPr>
        <w:spacing w:line="360" w:lineRule="auto"/>
        <w:ind w:left="709" w:hanging="709"/>
        <w:jc w:val="both"/>
        <w:rPr>
          <w:rFonts w:cs="Arial"/>
        </w:rPr>
      </w:pPr>
      <w:r w:rsidRPr="00230162">
        <w:rPr>
          <w:rFonts w:cs="Arial"/>
        </w:rPr>
        <w:t>Para un mismo artículo, la imputación fue a rubros diferentes, desvirtuando los registros contables e incidiendo en la ejecución final por rubro. No se aplica en forma uniforme el Clasificador por Objeto del Gasto, establecido en el Decreto 395/998 de 30/12/98 al imputar el mismo gasto en diferentes objetos.</w:t>
      </w:r>
    </w:p>
    <w:p w:rsidR="005A0773" w:rsidRPr="00230162" w:rsidRDefault="005A0773" w:rsidP="009E2A5B">
      <w:pPr>
        <w:numPr>
          <w:ilvl w:val="2"/>
          <w:numId w:val="4"/>
        </w:numPr>
        <w:spacing w:line="360" w:lineRule="auto"/>
        <w:ind w:left="709"/>
        <w:jc w:val="both"/>
        <w:rPr>
          <w:rFonts w:cs="Arial"/>
        </w:rPr>
      </w:pPr>
      <w:r w:rsidRPr="00230162">
        <w:rPr>
          <w:rFonts w:cs="Arial"/>
        </w:rPr>
        <w:t>En las c</w:t>
      </w:r>
      <w:r>
        <w:rPr>
          <w:rFonts w:cs="Arial"/>
        </w:rPr>
        <w:t>ajas chicas de los puertos del I</w:t>
      </w:r>
      <w:r w:rsidRPr="00230162">
        <w:rPr>
          <w:rFonts w:cs="Arial"/>
        </w:rPr>
        <w:t>nterior y División Talleres se  realizan pagos con cheque mediante una cuenta específica para ellos.</w:t>
      </w:r>
    </w:p>
    <w:p w:rsidR="005A0773" w:rsidRPr="00230162" w:rsidRDefault="005A0773" w:rsidP="009E2A5B">
      <w:pPr>
        <w:numPr>
          <w:ilvl w:val="2"/>
          <w:numId w:val="4"/>
        </w:numPr>
        <w:spacing w:line="360" w:lineRule="auto"/>
        <w:ind w:left="709" w:hanging="709"/>
        <w:jc w:val="both"/>
        <w:rPr>
          <w:rFonts w:cs="Arial"/>
        </w:rPr>
      </w:pPr>
      <w:r w:rsidRPr="00230162">
        <w:rPr>
          <w:rFonts w:cs="Arial"/>
        </w:rPr>
        <w:t>Realizado el análisis de la ejecución de los diferentes rubros a modo de ejemplo en los rubros 154, 156, 191 y 223, el 38% de lo ejecutado en ellos fue por compras realizadas utilizando el sistema de Caja Chica, situación que denota la utilización de este sistema para un monto importante de sus gastos corrientes.</w:t>
      </w:r>
    </w:p>
    <w:p w:rsidR="005A0773" w:rsidRPr="00230162" w:rsidRDefault="005A0773" w:rsidP="009E2A5B">
      <w:pPr>
        <w:spacing w:line="360" w:lineRule="auto"/>
        <w:jc w:val="both"/>
        <w:rPr>
          <w:rFonts w:cs="Arial"/>
          <w:szCs w:val="20"/>
        </w:rPr>
      </w:pPr>
      <w:r w:rsidRPr="00230162">
        <w:rPr>
          <w:rFonts w:cs="Arial"/>
        </w:rPr>
        <w:t xml:space="preserve"> </w:t>
      </w:r>
    </w:p>
    <w:p w:rsidR="005A0773" w:rsidRPr="00230162" w:rsidRDefault="005A0773" w:rsidP="009E2A5B">
      <w:pPr>
        <w:numPr>
          <w:ilvl w:val="1"/>
          <w:numId w:val="4"/>
        </w:numPr>
        <w:spacing w:line="360" w:lineRule="auto"/>
        <w:jc w:val="both"/>
        <w:rPr>
          <w:rFonts w:cs="Arial"/>
          <w:szCs w:val="20"/>
        </w:rPr>
      </w:pPr>
      <w:r w:rsidRPr="00230162">
        <w:rPr>
          <w:rFonts w:cs="Arial"/>
          <w:szCs w:val="20"/>
        </w:rPr>
        <w:t>El Organismo abonó a los funcionarios con contrato a término la prima por productividad, la que no está comprendida como partida salarial.</w:t>
      </w:r>
      <w:r w:rsidRPr="00230162">
        <w:rPr>
          <w:rFonts w:cs="Arial"/>
          <w:b/>
          <w:szCs w:val="20"/>
        </w:rPr>
        <w:t xml:space="preserve"> </w:t>
      </w:r>
      <w:r w:rsidRPr="00230162">
        <w:rPr>
          <w:rFonts w:cs="Arial"/>
          <w:szCs w:val="20"/>
        </w:rPr>
        <w:t>(</w:t>
      </w:r>
      <w:r>
        <w:rPr>
          <w:rFonts w:cs="Arial"/>
          <w:szCs w:val="20"/>
        </w:rPr>
        <w:t>A</w:t>
      </w:r>
      <w:r w:rsidRPr="00230162">
        <w:rPr>
          <w:rFonts w:cs="Arial"/>
          <w:szCs w:val="20"/>
        </w:rPr>
        <w:t>rtículo 21 del TOCAF, Decreto 345/2013 y cláusulas de remuneraciones de los contratos a término).</w:t>
      </w:r>
    </w:p>
    <w:p w:rsidR="005A0773" w:rsidRPr="00230162" w:rsidRDefault="005A0773" w:rsidP="009E2A5B">
      <w:pPr>
        <w:spacing w:line="360" w:lineRule="auto"/>
        <w:jc w:val="both"/>
        <w:rPr>
          <w:rFonts w:cs="Arial"/>
          <w:szCs w:val="20"/>
        </w:rPr>
      </w:pPr>
    </w:p>
    <w:p w:rsidR="005A0773" w:rsidRPr="00230162" w:rsidRDefault="005A0773" w:rsidP="009E2A5B">
      <w:pPr>
        <w:numPr>
          <w:ilvl w:val="1"/>
          <w:numId w:val="4"/>
        </w:numPr>
        <w:spacing w:line="360" w:lineRule="auto"/>
        <w:jc w:val="both"/>
        <w:rPr>
          <w:rFonts w:cs="Arial"/>
          <w:szCs w:val="20"/>
        </w:rPr>
      </w:pPr>
      <w:r w:rsidRPr="00230162">
        <w:rPr>
          <w:rFonts w:cs="Arial"/>
          <w:szCs w:val="20"/>
        </w:rPr>
        <w:t>El Organismo a efectos de la difusión permanente de información pública dispone en su página web un sitio específico de acceso a esta información. El mismo no contempla la información referida a las facultades de cada unidad administrativa, concesiones o permisos otorgados, perfil de los diferentes puestos de trabajo con los currículum requeridos y detalle de viáticos (</w:t>
      </w:r>
      <w:r>
        <w:rPr>
          <w:rFonts w:cs="Arial"/>
          <w:szCs w:val="20"/>
        </w:rPr>
        <w:t>A</w:t>
      </w:r>
      <w:r w:rsidRPr="00230162">
        <w:rPr>
          <w:rFonts w:cs="Arial"/>
          <w:szCs w:val="20"/>
        </w:rPr>
        <w:t xml:space="preserve">rtículo 5 de la Ley 18381 y </w:t>
      </w:r>
      <w:r>
        <w:rPr>
          <w:rFonts w:cs="Arial"/>
          <w:szCs w:val="20"/>
        </w:rPr>
        <w:t>A</w:t>
      </w:r>
      <w:r w:rsidRPr="00230162">
        <w:rPr>
          <w:rFonts w:cs="Arial"/>
          <w:szCs w:val="20"/>
        </w:rPr>
        <w:t>rtículos 18 y 38 del Decreto 232/2010).</w:t>
      </w:r>
    </w:p>
    <w:p w:rsidR="005A0773" w:rsidRPr="00230162" w:rsidRDefault="005A0773" w:rsidP="009E2A5B">
      <w:pPr>
        <w:widowControl w:val="0"/>
        <w:spacing w:line="360" w:lineRule="auto"/>
        <w:ind w:left="720"/>
        <w:jc w:val="both"/>
        <w:rPr>
          <w:rFonts w:cs="Arial"/>
          <w:szCs w:val="20"/>
        </w:rPr>
      </w:pPr>
    </w:p>
    <w:p w:rsidR="005A0773" w:rsidRPr="00230162" w:rsidRDefault="005A0773" w:rsidP="009E2A5B">
      <w:pPr>
        <w:numPr>
          <w:ilvl w:val="1"/>
          <w:numId w:val="4"/>
        </w:numPr>
        <w:spacing w:line="360" w:lineRule="auto"/>
        <w:jc w:val="both"/>
        <w:rPr>
          <w:rFonts w:cs="Arial"/>
          <w:szCs w:val="20"/>
          <w:lang w:val="es-ES_tradnl"/>
        </w:rPr>
      </w:pPr>
      <w:r w:rsidRPr="00230162">
        <w:rPr>
          <w:rFonts w:cs="Arial"/>
          <w:szCs w:val="20"/>
          <w:lang w:val="es-ES_tradnl"/>
        </w:rPr>
        <w:t>En relación a las asignaciones de los Grupos 1 y 2 y sus ejecuciones corresponde expresar:</w:t>
      </w:r>
    </w:p>
    <w:p w:rsidR="005A0773" w:rsidRPr="00230162" w:rsidRDefault="005A0773" w:rsidP="009E2A5B">
      <w:pPr>
        <w:numPr>
          <w:ilvl w:val="2"/>
          <w:numId w:val="4"/>
        </w:numPr>
        <w:spacing w:line="360" w:lineRule="auto"/>
        <w:ind w:left="709" w:hanging="709"/>
        <w:jc w:val="both"/>
        <w:rPr>
          <w:rFonts w:cs="Arial"/>
          <w:szCs w:val="20"/>
          <w:lang w:val="es-ES_tradnl"/>
        </w:rPr>
      </w:pPr>
      <w:r w:rsidRPr="00230162">
        <w:rPr>
          <w:rFonts w:cs="Arial"/>
          <w:szCs w:val="20"/>
          <w:lang w:val="es-ES_tradnl"/>
        </w:rPr>
        <w:t>A nivel de todos los puertos se presentaron excesos en el Grupo 2 por    $ 28.595.303, siendo un 2,87% del total asignado.</w:t>
      </w:r>
    </w:p>
    <w:p w:rsidR="005A0773" w:rsidRPr="00230162" w:rsidRDefault="005A0773" w:rsidP="009E2A5B">
      <w:pPr>
        <w:numPr>
          <w:ilvl w:val="2"/>
          <w:numId w:val="4"/>
        </w:numPr>
        <w:spacing w:line="360" w:lineRule="auto"/>
        <w:ind w:left="709" w:hanging="709"/>
        <w:jc w:val="both"/>
        <w:rPr>
          <w:rFonts w:cs="Arial"/>
          <w:szCs w:val="20"/>
          <w:lang w:val="es-ES_tradnl"/>
        </w:rPr>
      </w:pPr>
      <w:r w:rsidRPr="00230162">
        <w:rPr>
          <w:rFonts w:cs="Arial"/>
          <w:szCs w:val="20"/>
          <w:lang w:val="es-ES_tradnl"/>
        </w:rPr>
        <w:t xml:space="preserve">A nivel de todos los puertos, en el total del Grupo 2 se produjeron excesos en los Objetos: 212 “Agua”, 247 y 248 “Correspondencia dentro y fuera del país” y 261 “Impuestos Directos”, del 15%, 37% y 57% </w:t>
      </w:r>
      <w:r w:rsidR="00BC0EC7">
        <w:rPr>
          <w:rFonts w:cs="Arial"/>
          <w:szCs w:val="20"/>
          <w:lang w:val="es-ES_tradnl"/>
        </w:rPr>
        <w:t>de lo asignado respectivamente.</w:t>
      </w:r>
    </w:p>
    <w:p w:rsidR="005A0773" w:rsidRPr="00230162" w:rsidRDefault="005A0773" w:rsidP="009E2A5B">
      <w:pPr>
        <w:numPr>
          <w:ilvl w:val="2"/>
          <w:numId w:val="4"/>
        </w:numPr>
        <w:spacing w:line="360" w:lineRule="auto"/>
        <w:ind w:left="709" w:hanging="709"/>
        <w:jc w:val="both"/>
        <w:rPr>
          <w:rFonts w:cs="Arial"/>
          <w:szCs w:val="20"/>
          <w:lang w:val="es-ES_tradnl"/>
        </w:rPr>
      </w:pPr>
      <w:r w:rsidRPr="00230162">
        <w:rPr>
          <w:rFonts w:cs="Arial"/>
          <w:szCs w:val="20"/>
          <w:lang w:val="es-ES_tradnl"/>
        </w:rPr>
        <w:t>Del análisis de las imputaciones, a nivel general, se pudo constatar que, en los objetos cuyo nombre genérico es “Otros” (por ejemplo objetos 159, 169, 199, 229, 259, 279, 289 y 299), se asignaron y ejecutaron recursos los que con un mayor análisis podrían haberse registrado en objetos con una denominación más específica. Est</w:t>
      </w:r>
      <w:r>
        <w:rPr>
          <w:rFonts w:cs="Arial"/>
          <w:szCs w:val="20"/>
          <w:lang w:val="es-ES_tradnl"/>
        </w:rPr>
        <w:t>a situación es similar a la de E</w:t>
      </w:r>
      <w:r w:rsidRPr="00230162">
        <w:rPr>
          <w:rFonts w:cs="Arial"/>
          <w:szCs w:val="20"/>
          <w:lang w:val="es-ES_tradnl"/>
        </w:rPr>
        <w:t>jercicios anteriores.</w:t>
      </w:r>
    </w:p>
    <w:p w:rsidR="005A0773" w:rsidRPr="00BC0EC7" w:rsidRDefault="005A0773" w:rsidP="009E2A5B">
      <w:pPr>
        <w:numPr>
          <w:ilvl w:val="2"/>
          <w:numId w:val="4"/>
        </w:numPr>
        <w:spacing w:line="360" w:lineRule="auto"/>
        <w:ind w:left="709" w:hanging="862"/>
        <w:jc w:val="both"/>
        <w:rPr>
          <w:rFonts w:cs="Arial"/>
          <w:szCs w:val="20"/>
        </w:rPr>
      </w:pPr>
      <w:r w:rsidRPr="00230162">
        <w:rPr>
          <w:rFonts w:cs="Arial"/>
          <w:szCs w:val="20"/>
          <w:lang w:val="es-ES_tradnl"/>
        </w:rPr>
        <w:t>En los cuadros de ejecución presentados resulta una apertura mayor a nivel de objeto, a la aprobada en el presupuesto. Existen objetos con importes ejecutados que no tenían asignación presupuestal prevista.</w:t>
      </w:r>
    </w:p>
    <w:p w:rsidR="00BC0EC7" w:rsidRPr="00230162" w:rsidRDefault="00BC0EC7" w:rsidP="00BC0EC7">
      <w:pPr>
        <w:spacing w:line="360" w:lineRule="auto"/>
        <w:ind w:left="709"/>
        <w:jc w:val="both"/>
        <w:rPr>
          <w:rFonts w:cs="Arial"/>
          <w:szCs w:val="20"/>
        </w:rPr>
      </w:pPr>
    </w:p>
    <w:p w:rsidR="005A0773" w:rsidRPr="00230162" w:rsidRDefault="005A0773" w:rsidP="009E2A5B">
      <w:pPr>
        <w:numPr>
          <w:ilvl w:val="1"/>
          <w:numId w:val="4"/>
        </w:numPr>
        <w:spacing w:line="360" w:lineRule="auto"/>
        <w:jc w:val="both"/>
        <w:rPr>
          <w:rFonts w:cs="Arial"/>
          <w:szCs w:val="20"/>
        </w:rPr>
      </w:pPr>
      <w:r>
        <w:rPr>
          <w:rFonts w:cs="Arial"/>
          <w:szCs w:val="20"/>
        </w:rPr>
        <w:t>De acuerdo con</w:t>
      </w:r>
      <w:r w:rsidRPr="00230162">
        <w:rPr>
          <w:rFonts w:cs="Arial"/>
          <w:szCs w:val="20"/>
        </w:rPr>
        <w:t xml:space="preserve"> lo informado por el Organismo el criterio de imputación utilizado es el de lo “pagado” para los egresos y para los ingresos se considera lo “facturado”. Si bien a fin de ejercicio los gastos devengados en su gran mayoría están registrados, no lo están en el momento en que se compromete el gasto. En cuanto a los ingresos, un porcentaje de lo facturado se considera como percibido aunque no se haya realizado el cobro respectivo.</w:t>
      </w:r>
    </w:p>
    <w:p w:rsidR="005A0773" w:rsidRPr="00230162" w:rsidRDefault="005A0773" w:rsidP="009E2A5B">
      <w:pPr>
        <w:spacing w:line="360" w:lineRule="auto"/>
        <w:jc w:val="both"/>
        <w:rPr>
          <w:rFonts w:cs="Arial"/>
          <w:szCs w:val="20"/>
        </w:rPr>
      </w:pPr>
      <w:r w:rsidRPr="00230162">
        <w:rPr>
          <w:rFonts w:cs="Arial"/>
          <w:szCs w:val="20"/>
        </w:rPr>
        <w:t>Por lo señalado, no se cumple con el criterio de lo devengado establecido en el art. 20 del TOCAF. Este artículo dispone que el gasto se devenga cuando surge la obligación de pago, independientemente de que se haya efectuado el mismo.</w:t>
      </w:r>
    </w:p>
    <w:p w:rsidR="005A0773" w:rsidRPr="00230162" w:rsidRDefault="005A0773" w:rsidP="009E2A5B">
      <w:pPr>
        <w:spacing w:line="360" w:lineRule="auto"/>
        <w:jc w:val="both"/>
        <w:rPr>
          <w:rFonts w:cs="Arial"/>
          <w:szCs w:val="20"/>
        </w:rPr>
      </w:pPr>
      <w:r w:rsidRPr="00230162">
        <w:rPr>
          <w:rFonts w:cs="Arial"/>
          <w:szCs w:val="20"/>
        </w:rPr>
        <w:t xml:space="preserve">Respecto a los ingresos, no se da cumplimiento </w:t>
      </w:r>
      <w:r>
        <w:rPr>
          <w:rFonts w:cs="Arial"/>
          <w:szCs w:val="20"/>
        </w:rPr>
        <w:t>con el A</w:t>
      </w:r>
      <w:r w:rsidRPr="00230162">
        <w:rPr>
          <w:rFonts w:cs="Arial"/>
          <w:szCs w:val="20"/>
        </w:rPr>
        <w:t>rt</w:t>
      </w:r>
      <w:r>
        <w:rPr>
          <w:rFonts w:cs="Arial"/>
          <w:szCs w:val="20"/>
        </w:rPr>
        <w:t>ículo</w:t>
      </w:r>
      <w:r w:rsidRPr="00230162">
        <w:rPr>
          <w:rFonts w:cs="Arial"/>
          <w:szCs w:val="20"/>
        </w:rPr>
        <w:t xml:space="preserve"> 12 del TOCAF que establece </w:t>
      </w:r>
      <w:r>
        <w:rPr>
          <w:rFonts w:cs="Arial"/>
          <w:szCs w:val="20"/>
        </w:rPr>
        <w:t>que se consideran recursos del E</w:t>
      </w:r>
      <w:r w:rsidRPr="00230162">
        <w:rPr>
          <w:rFonts w:cs="Arial"/>
          <w:szCs w:val="20"/>
        </w:rPr>
        <w:t>jercicio lo efectivamente depositado o ingresado e</w:t>
      </w:r>
      <w:r>
        <w:rPr>
          <w:rFonts w:cs="Arial"/>
          <w:szCs w:val="20"/>
        </w:rPr>
        <w:t>n el O</w:t>
      </w:r>
      <w:r w:rsidRPr="00230162">
        <w:rPr>
          <w:rFonts w:cs="Arial"/>
          <w:szCs w:val="20"/>
        </w:rPr>
        <w:t>rganismo.</w:t>
      </w:r>
    </w:p>
    <w:p w:rsidR="005A0773" w:rsidRPr="00230162" w:rsidRDefault="005A0773" w:rsidP="009E2A5B">
      <w:pPr>
        <w:spacing w:line="360" w:lineRule="auto"/>
        <w:ind w:left="720"/>
        <w:jc w:val="both"/>
        <w:rPr>
          <w:rFonts w:cs="Arial"/>
          <w:szCs w:val="20"/>
        </w:rPr>
      </w:pPr>
    </w:p>
    <w:p w:rsidR="005A0773" w:rsidRPr="00230162" w:rsidRDefault="005A0773" w:rsidP="009E2A5B">
      <w:pPr>
        <w:numPr>
          <w:ilvl w:val="1"/>
          <w:numId w:val="4"/>
        </w:numPr>
        <w:spacing w:line="360" w:lineRule="auto"/>
        <w:jc w:val="both"/>
        <w:rPr>
          <w:rFonts w:cs="Arial"/>
          <w:szCs w:val="20"/>
        </w:rPr>
      </w:pPr>
      <w:r w:rsidRPr="00230162">
        <w:rPr>
          <w:rFonts w:cs="Arial"/>
          <w:szCs w:val="20"/>
        </w:rPr>
        <w:t xml:space="preserve">El Organismo ha constituido para el control de los servicios </w:t>
      </w:r>
      <w:proofErr w:type="spellStart"/>
      <w:r w:rsidRPr="00230162">
        <w:rPr>
          <w:rFonts w:cs="Arial"/>
          <w:szCs w:val="20"/>
        </w:rPr>
        <w:t>tercerizados</w:t>
      </w:r>
      <w:proofErr w:type="spellEnd"/>
      <w:r w:rsidRPr="00230162">
        <w:rPr>
          <w:rFonts w:cs="Arial"/>
          <w:szCs w:val="20"/>
        </w:rPr>
        <w:t xml:space="preserve"> un Grupo de Trabajo denominado “Control de Obligaciones Laborales”, el cual verifica el cumplimiento de los artículos 4 y 6 de la Ley Nº 18251</w:t>
      </w:r>
      <w:r>
        <w:rPr>
          <w:rFonts w:cs="Arial"/>
          <w:szCs w:val="20"/>
        </w:rPr>
        <w:t xml:space="preserve"> só</w:t>
      </w:r>
      <w:r w:rsidRPr="00230162">
        <w:rPr>
          <w:rFonts w:cs="Arial"/>
          <w:szCs w:val="20"/>
        </w:rPr>
        <w:t xml:space="preserve">lo en los contratos designados por </w:t>
      </w:r>
      <w:smartTag w:uri="urn:schemas-microsoft-com:office:smarttags" w:element="PersonName">
        <w:smartTagPr>
          <w:attr w:name="ProductID" w:val="la Gerencia General."/>
        </w:smartTagPr>
        <w:r w:rsidRPr="00230162">
          <w:rPr>
            <w:rFonts w:cs="Arial"/>
            <w:szCs w:val="20"/>
          </w:rPr>
          <w:t>la Gerencia General.</w:t>
        </w:r>
      </w:smartTag>
    </w:p>
    <w:p w:rsidR="005A0773" w:rsidRPr="00230162" w:rsidRDefault="005A0773" w:rsidP="009E2A5B">
      <w:pPr>
        <w:widowControl w:val="0"/>
        <w:spacing w:line="360" w:lineRule="auto"/>
        <w:ind w:left="720"/>
        <w:jc w:val="both"/>
        <w:rPr>
          <w:rFonts w:cs="Arial"/>
          <w:szCs w:val="20"/>
          <w:lang w:val="es-ES_tradnl"/>
        </w:rPr>
      </w:pPr>
      <w:r w:rsidRPr="00230162">
        <w:rPr>
          <w:rFonts w:cs="Arial"/>
          <w:b/>
          <w:szCs w:val="20"/>
        </w:rPr>
        <w:tab/>
      </w:r>
    </w:p>
    <w:p w:rsidR="005A0773" w:rsidRPr="00230162" w:rsidRDefault="005A0773" w:rsidP="005A0773">
      <w:pPr>
        <w:numPr>
          <w:ilvl w:val="0"/>
          <w:numId w:val="3"/>
        </w:numPr>
        <w:spacing w:line="360" w:lineRule="auto"/>
        <w:jc w:val="both"/>
        <w:rPr>
          <w:rFonts w:cs="Arial"/>
          <w:b/>
          <w:szCs w:val="20"/>
        </w:rPr>
      </w:pPr>
      <w:r w:rsidRPr="00230162">
        <w:rPr>
          <w:rFonts w:cs="Arial"/>
          <w:b/>
          <w:szCs w:val="20"/>
        </w:rPr>
        <w:t>Recomendaciones</w:t>
      </w:r>
    </w:p>
    <w:p w:rsidR="005A0773" w:rsidRPr="00230162" w:rsidRDefault="005A0773" w:rsidP="005A0773">
      <w:pPr>
        <w:numPr>
          <w:ilvl w:val="1"/>
          <w:numId w:val="3"/>
        </w:numPr>
        <w:tabs>
          <w:tab w:val="left" w:pos="284"/>
          <w:tab w:val="left" w:pos="709"/>
        </w:tabs>
        <w:spacing w:line="360" w:lineRule="auto"/>
        <w:jc w:val="both"/>
        <w:rPr>
          <w:rFonts w:cs="Arial"/>
          <w:b/>
          <w:szCs w:val="20"/>
        </w:rPr>
      </w:pPr>
      <w:r w:rsidRPr="00230162">
        <w:rPr>
          <w:rFonts w:cs="Arial"/>
          <w:b/>
          <w:szCs w:val="20"/>
        </w:rPr>
        <w:t xml:space="preserve">Recomendaciones de </w:t>
      </w:r>
      <w:r>
        <w:rPr>
          <w:rFonts w:cs="Arial"/>
          <w:b/>
          <w:szCs w:val="20"/>
        </w:rPr>
        <w:t>E</w:t>
      </w:r>
      <w:r w:rsidR="00BC0EC7">
        <w:rPr>
          <w:rFonts w:cs="Arial"/>
          <w:b/>
          <w:szCs w:val="20"/>
        </w:rPr>
        <w:t>jercicios anteriores</w:t>
      </w:r>
    </w:p>
    <w:p w:rsidR="005A0773" w:rsidRPr="00230162" w:rsidRDefault="005A0773" w:rsidP="005A0773">
      <w:pPr>
        <w:numPr>
          <w:ilvl w:val="2"/>
          <w:numId w:val="3"/>
        </w:numPr>
        <w:tabs>
          <w:tab w:val="left" w:pos="567"/>
        </w:tabs>
        <w:spacing w:line="360" w:lineRule="auto"/>
        <w:jc w:val="both"/>
        <w:rPr>
          <w:rFonts w:cs="Arial"/>
          <w:b/>
          <w:szCs w:val="20"/>
        </w:rPr>
      </w:pPr>
      <w:r w:rsidRPr="00230162">
        <w:rPr>
          <w:rFonts w:cs="Arial"/>
          <w:b/>
          <w:szCs w:val="20"/>
        </w:rPr>
        <w:t>Cumplidas</w:t>
      </w:r>
    </w:p>
    <w:p w:rsidR="005A0773" w:rsidRPr="00230162" w:rsidRDefault="005A0773" w:rsidP="005A0773">
      <w:pPr>
        <w:numPr>
          <w:ilvl w:val="3"/>
          <w:numId w:val="3"/>
        </w:numPr>
        <w:tabs>
          <w:tab w:val="left" w:pos="851"/>
        </w:tabs>
        <w:spacing w:line="360" w:lineRule="auto"/>
        <w:jc w:val="both"/>
        <w:rPr>
          <w:rFonts w:cs="Arial"/>
          <w:b/>
          <w:bCs/>
          <w:szCs w:val="20"/>
        </w:rPr>
      </w:pPr>
      <w:r w:rsidRPr="00230162">
        <w:rPr>
          <w:rFonts w:cs="Arial"/>
          <w:szCs w:val="20"/>
        </w:rPr>
        <w:t>Con la aprobación de la</w:t>
      </w:r>
      <w:r w:rsidRPr="00230162">
        <w:rPr>
          <w:bCs/>
        </w:rPr>
        <w:t xml:space="preserve"> Resolución de Gerencia General  Nº 193/14 de fecha 30/05/2014 por la que se establecen</w:t>
      </w:r>
      <w:r>
        <w:rPr>
          <w:rFonts w:cs="Arial"/>
          <w:szCs w:val="20"/>
        </w:rPr>
        <w:t xml:space="preserve"> regí</w:t>
      </w:r>
      <w:r w:rsidRPr="00230162">
        <w:rPr>
          <w:rFonts w:cs="Arial"/>
          <w:szCs w:val="20"/>
        </w:rPr>
        <w:t>menes especiales de trabajo para realizar horas extras,</w:t>
      </w:r>
      <w:r w:rsidRPr="00230162">
        <w:rPr>
          <w:bCs/>
        </w:rPr>
        <w:t xml:space="preserve"> se da por cumplida la recomendación que establecía que </w:t>
      </w:r>
      <w:r w:rsidRPr="00230162">
        <w:rPr>
          <w:rFonts w:cs="Arial"/>
          <w:szCs w:val="20"/>
        </w:rPr>
        <w:t>los funcionarios no podrán superar las 80 hor</w:t>
      </w:r>
      <w:r>
        <w:rPr>
          <w:rFonts w:cs="Arial"/>
          <w:szCs w:val="20"/>
        </w:rPr>
        <w:t>as extras mensuales de acuerdo con</w:t>
      </w:r>
      <w:r w:rsidR="00BC0EC7">
        <w:rPr>
          <w:rFonts w:cs="Arial"/>
          <w:szCs w:val="20"/>
        </w:rPr>
        <w:t xml:space="preserve"> las normas presupuestales.</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bCs/>
          <w:szCs w:val="20"/>
        </w:rPr>
        <w:t xml:space="preserve">Al remitir </w:t>
      </w:r>
      <w:r w:rsidRPr="00230162">
        <w:rPr>
          <w:rFonts w:cs="Arial"/>
          <w:szCs w:val="20"/>
        </w:rPr>
        <w:t>a la Oficina de Planeamiento y Presupuesto la lista de vacantes, se da por cumplida la recomendación que establecía que al 31 de enero de cada año, el Organismo deberá comunicar las vacantes eliminadas generadas entre el 1 de junio y 31 de diciembre del año anterior.</w:t>
      </w:r>
    </w:p>
    <w:p w:rsidR="005A0773" w:rsidRPr="00230162" w:rsidRDefault="005A0773" w:rsidP="005A0773">
      <w:pPr>
        <w:numPr>
          <w:ilvl w:val="3"/>
          <w:numId w:val="3"/>
        </w:numPr>
        <w:tabs>
          <w:tab w:val="left" w:pos="851"/>
          <w:tab w:val="num" w:pos="1800"/>
        </w:tabs>
        <w:spacing w:line="360" w:lineRule="auto"/>
        <w:jc w:val="both"/>
        <w:rPr>
          <w:rFonts w:cs="Arial"/>
          <w:snapToGrid w:val="0"/>
          <w:szCs w:val="20"/>
        </w:rPr>
      </w:pPr>
      <w:r w:rsidRPr="00230162">
        <w:rPr>
          <w:rFonts w:cs="Arial"/>
          <w:szCs w:val="20"/>
        </w:rPr>
        <w:t>Al no realizarse nuevos ingresos de personal en el año 2014, no es de a</w:t>
      </w:r>
      <w:r>
        <w:rPr>
          <w:rFonts w:cs="Arial"/>
          <w:szCs w:val="20"/>
        </w:rPr>
        <w:t>plicación lo establecido en el A</w:t>
      </w:r>
      <w:r w:rsidR="00BC0EC7">
        <w:rPr>
          <w:rFonts w:cs="Arial"/>
          <w:szCs w:val="20"/>
        </w:rPr>
        <w:t>rtículo 49 de la Ley Nº 18651.</w:t>
      </w:r>
    </w:p>
    <w:p w:rsidR="005A0773" w:rsidRPr="00230162" w:rsidRDefault="005A0773" w:rsidP="005A0773">
      <w:pPr>
        <w:numPr>
          <w:ilvl w:val="3"/>
          <w:numId w:val="3"/>
        </w:numPr>
        <w:tabs>
          <w:tab w:val="left" w:pos="851"/>
          <w:tab w:val="num" w:pos="1800"/>
        </w:tabs>
        <w:spacing w:line="360" w:lineRule="auto"/>
        <w:jc w:val="both"/>
        <w:rPr>
          <w:rFonts w:cs="Arial"/>
          <w:snapToGrid w:val="0"/>
          <w:szCs w:val="20"/>
        </w:rPr>
      </w:pPr>
      <w:r>
        <w:rPr>
          <w:rFonts w:cs="Arial"/>
          <w:szCs w:val="20"/>
        </w:rPr>
        <w:t xml:space="preserve"> Al verificarse que en el E</w:t>
      </w:r>
      <w:r w:rsidRPr="00230162">
        <w:rPr>
          <w:rFonts w:cs="Arial"/>
          <w:szCs w:val="20"/>
        </w:rPr>
        <w:t>jercicio 2014 el pago de compensaciones al personal  de operativa marítima no se supera</w:t>
      </w:r>
      <w:r>
        <w:rPr>
          <w:rFonts w:cs="Arial"/>
          <w:szCs w:val="20"/>
        </w:rPr>
        <w:t>n los topes establecidos en el Artículo 7 L</w:t>
      </w:r>
      <w:r w:rsidRPr="00230162">
        <w:rPr>
          <w:rFonts w:cs="Arial"/>
          <w:szCs w:val="20"/>
        </w:rPr>
        <w:t>iteral m) del Decreto 217/13 de 30/07/2013, se da por cumplida la recomendación que h</w:t>
      </w:r>
      <w:r w:rsidR="00BC0EC7">
        <w:rPr>
          <w:rFonts w:cs="Arial"/>
          <w:szCs w:val="20"/>
        </w:rPr>
        <w:t>acía referencia a estos topes.</w:t>
      </w:r>
    </w:p>
    <w:p w:rsidR="005A0773" w:rsidRPr="00230162" w:rsidRDefault="005A0773" w:rsidP="009E2A5B">
      <w:pPr>
        <w:spacing w:line="360" w:lineRule="auto"/>
        <w:jc w:val="both"/>
        <w:rPr>
          <w:rFonts w:cs="Arial"/>
          <w:szCs w:val="20"/>
          <w:highlight w:val="yellow"/>
          <w:lang w:val="es-UY"/>
        </w:rPr>
      </w:pPr>
    </w:p>
    <w:p w:rsidR="005A0773" w:rsidRPr="00230162" w:rsidRDefault="005A0773" w:rsidP="005A0773">
      <w:pPr>
        <w:numPr>
          <w:ilvl w:val="2"/>
          <w:numId w:val="3"/>
        </w:numPr>
        <w:tabs>
          <w:tab w:val="left" w:pos="567"/>
        </w:tabs>
        <w:spacing w:line="360" w:lineRule="auto"/>
        <w:jc w:val="both"/>
        <w:rPr>
          <w:rFonts w:cs="Arial"/>
          <w:b/>
          <w:szCs w:val="20"/>
        </w:rPr>
      </w:pPr>
      <w:r w:rsidRPr="00230162">
        <w:rPr>
          <w:rFonts w:cs="Arial"/>
          <w:b/>
          <w:szCs w:val="20"/>
        </w:rPr>
        <w:t xml:space="preserve">   No Cumplidas</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zCs w:val="20"/>
        </w:rPr>
        <w:t xml:space="preserve">Las horas extras realizadas por los funcionarios no deben exceder el tope del 5% de la dotación </w:t>
      </w:r>
      <w:r w:rsidR="00BC0EC7">
        <w:rPr>
          <w:rFonts w:cs="Arial"/>
          <w:szCs w:val="20"/>
        </w:rPr>
        <w:t>asignada a los sueldos básicos.</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rPr>
        <w:t>La apertura a nivel de objeto en los cuadros de ejecución debe</w:t>
      </w:r>
      <w:r w:rsidRPr="00230162">
        <w:rPr>
          <w:rFonts w:cs="Arial"/>
          <w:szCs w:val="20"/>
        </w:rPr>
        <w:t xml:space="preserve"> coincidir con la aprobada en los cuadros del presupuesto y éste debe contener una apertura adecuada a la ejec</w:t>
      </w:r>
      <w:r w:rsidR="00BC0EC7">
        <w:rPr>
          <w:rFonts w:cs="Arial"/>
          <w:szCs w:val="20"/>
        </w:rPr>
        <w:t>ución de ejercicios anteriores.</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zCs w:val="20"/>
        </w:rPr>
        <w:t xml:space="preserve">Implementar mecanismos para que al proyectar en la etapa presupuestal las asignaciones para todos los grupos, y en especial los grupos 1 y 2, se consideren  los importes ejecutados en el </w:t>
      </w:r>
      <w:r>
        <w:rPr>
          <w:rFonts w:cs="Arial"/>
          <w:szCs w:val="20"/>
        </w:rPr>
        <w:t>E</w:t>
      </w:r>
      <w:r w:rsidRPr="00230162">
        <w:rPr>
          <w:rFonts w:cs="Arial"/>
          <w:szCs w:val="20"/>
        </w:rPr>
        <w:t>jercicio anterior.</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zCs w:val="20"/>
        </w:rPr>
        <w:t>Implementar los mecanismos necesarios para contabilizar la eje</w:t>
      </w:r>
      <w:r>
        <w:rPr>
          <w:rFonts w:cs="Arial"/>
          <w:szCs w:val="20"/>
        </w:rPr>
        <w:t>cución presupuestal de acuerdo con</w:t>
      </w:r>
      <w:r w:rsidRPr="00230162">
        <w:rPr>
          <w:rFonts w:cs="Arial"/>
          <w:szCs w:val="20"/>
        </w:rPr>
        <w:t xml:space="preserve"> los criterios establecidos en lo</w:t>
      </w:r>
      <w:r>
        <w:rPr>
          <w:rFonts w:cs="Arial"/>
          <w:szCs w:val="20"/>
        </w:rPr>
        <w:t>s A</w:t>
      </w:r>
      <w:r w:rsidRPr="00230162">
        <w:rPr>
          <w:rFonts w:cs="Arial"/>
          <w:szCs w:val="20"/>
        </w:rPr>
        <w:t>rt</w:t>
      </w:r>
      <w:r>
        <w:rPr>
          <w:rFonts w:cs="Arial"/>
          <w:szCs w:val="20"/>
        </w:rPr>
        <w:t>ículos</w:t>
      </w:r>
      <w:r w:rsidRPr="00230162">
        <w:rPr>
          <w:rFonts w:cs="Arial"/>
          <w:szCs w:val="20"/>
        </w:rPr>
        <w:t xml:space="preserve"> 12 y 20 del TOCAF.</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zCs w:val="20"/>
        </w:rPr>
        <w:t>Adoptar las medidas necesarias para cu</w:t>
      </w:r>
      <w:r>
        <w:rPr>
          <w:rFonts w:cs="Arial"/>
          <w:szCs w:val="20"/>
        </w:rPr>
        <w:t>mplir con lo establecido en el A</w:t>
      </w:r>
      <w:r w:rsidRPr="00230162">
        <w:rPr>
          <w:rFonts w:cs="Arial"/>
          <w:szCs w:val="20"/>
        </w:rPr>
        <w:t>rtículo 13 del Decreto 345/13 de 23/10/2013.</w:t>
      </w:r>
    </w:p>
    <w:p w:rsidR="005A0773" w:rsidRPr="00230162" w:rsidRDefault="005A0773" w:rsidP="005A0773">
      <w:pPr>
        <w:numPr>
          <w:ilvl w:val="3"/>
          <w:numId w:val="3"/>
        </w:numPr>
        <w:tabs>
          <w:tab w:val="left" w:pos="851"/>
          <w:tab w:val="num" w:pos="1800"/>
        </w:tabs>
        <w:spacing w:line="360" w:lineRule="auto"/>
        <w:jc w:val="both"/>
        <w:rPr>
          <w:rFonts w:cs="Arial"/>
          <w:snapToGrid w:val="0"/>
          <w:szCs w:val="20"/>
        </w:rPr>
      </w:pPr>
      <w:r w:rsidRPr="00230162">
        <w:rPr>
          <w:rFonts w:cs="Arial"/>
          <w:szCs w:val="20"/>
        </w:rPr>
        <w:t>Implementar los mecanismos necesarios para que la información revelada en los cuadros de ejecución concuerde con las asignaciones autorizadas y los totales ejecutados.</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napToGrid w:val="0"/>
          <w:szCs w:val="20"/>
        </w:rPr>
        <w:t>Adoptar las medidas necesarias para que los montos autorizados en cada Caja Chica estén en relación  con las rendiciones efectuadas.</w:t>
      </w:r>
    </w:p>
    <w:p w:rsidR="005A0773" w:rsidRPr="00230162" w:rsidRDefault="005A0773" w:rsidP="005A0773">
      <w:pPr>
        <w:numPr>
          <w:ilvl w:val="3"/>
          <w:numId w:val="3"/>
        </w:numPr>
        <w:tabs>
          <w:tab w:val="left" w:pos="851"/>
          <w:tab w:val="num" w:pos="1800"/>
        </w:tabs>
        <w:spacing w:line="360" w:lineRule="auto"/>
        <w:jc w:val="both"/>
        <w:rPr>
          <w:rFonts w:cs="Arial"/>
          <w:snapToGrid w:val="0"/>
          <w:szCs w:val="20"/>
        </w:rPr>
      </w:pPr>
      <w:r w:rsidRPr="00230162">
        <w:rPr>
          <w:rFonts w:cs="Arial"/>
          <w:szCs w:val="20"/>
        </w:rPr>
        <w:t>Implementar los controles necesarios a efectos de que las imputaciones de gastos se hagan al obj</w:t>
      </w:r>
      <w:r>
        <w:rPr>
          <w:rFonts w:cs="Arial"/>
          <w:szCs w:val="20"/>
        </w:rPr>
        <w:t>eto que corresponda de acuerdo con el</w:t>
      </w:r>
      <w:r w:rsidRPr="00230162">
        <w:rPr>
          <w:rFonts w:cs="Arial"/>
          <w:szCs w:val="20"/>
        </w:rPr>
        <w:t xml:space="preserve"> Clasificador por Objeto del Gasto (Decreto 395/1998).</w:t>
      </w:r>
    </w:p>
    <w:p w:rsidR="005A0773" w:rsidRPr="00230162" w:rsidRDefault="005A0773" w:rsidP="005A0773">
      <w:pPr>
        <w:numPr>
          <w:ilvl w:val="3"/>
          <w:numId w:val="3"/>
        </w:numPr>
        <w:tabs>
          <w:tab w:val="left" w:pos="851"/>
          <w:tab w:val="num" w:pos="1800"/>
        </w:tabs>
        <w:spacing w:line="360" w:lineRule="auto"/>
        <w:jc w:val="both"/>
        <w:rPr>
          <w:rFonts w:cs="Arial"/>
          <w:snapToGrid w:val="0"/>
          <w:szCs w:val="20"/>
        </w:rPr>
      </w:pPr>
      <w:r w:rsidRPr="00230162">
        <w:rPr>
          <w:rFonts w:cs="Arial"/>
          <w:snapToGrid w:val="0"/>
          <w:szCs w:val="20"/>
        </w:rPr>
        <w:t>Utilizar los fondos asignados a las Cajas Chicas únicamente para aquellos gastos de menor cuantía, al contado y en efectivo.</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napToGrid w:val="0"/>
          <w:szCs w:val="20"/>
        </w:rPr>
        <w:t>Implementar las medidas necesarias a efectos de que las compras por la ope</w:t>
      </w:r>
      <w:r>
        <w:rPr>
          <w:rFonts w:cs="Arial"/>
          <w:snapToGrid w:val="0"/>
          <w:szCs w:val="20"/>
        </w:rPr>
        <w:t>rativa de Caja Chica se ajuste con lo establecido en el A</w:t>
      </w:r>
      <w:r w:rsidRPr="00230162">
        <w:rPr>
          <w:rFonts w:cs="Arial"/>
          <w:snapToGrid w:val="0"/>
          <w:szCs w:val="20"/>
        </w:rPr>
        <w:t>rtículo 90 del TOCAF y para el resto de las adquisiciones aplicar los pro</w:t>
      </w:r>
      <w:r>
        <w:rPr>
          <w:rFonts w:cs="Arial"/>
          <w:snapToGrid w:val="0"/>
          <w:szCs w:val="20"/>
        </w:rPr>
        <w:t>cedimientos establecidos en el A</w:t>
      </w:r>
      <w:r w:rsidRPr="00230162">
        <w:rPr>
          <w:rFonts w:cs="Arial"/>
          <w:snapToGrid w:val="0"/>
          <w:szCs w:val="20"/>
        </w:rPr>
        <w:t>rtículo 33 del TOCAF.</w:t>
      </w:r>
    </w:p>
    <w:p w:rsidR="005A0773" w:rsidRPr="00230162" w:rsidRDefault="005A0773" w:rsidP="005A0773">
      <w:pPr>
        <w:numPr>
          <w:ilvl w:val="3"/>
          <w:numId w:val="3"/>
        </w:numPr>
        <w:tabs>
          <w:tab w:val="left" w:pos="851"/>
          <w:tab w:val="num" w:pos="1800"/>
        </w:tabs>
        <w:spacing w:line="360" w:lineRule="auto"/>
        <w:jc w:val="both"/>
        <w:rPr>
          <w:rFonts w:cs="Arial"/>
          <w:szCs w:val="20"/>
        </w:rPr>
      </w:pPr>
      <w:r w:rsidRPr="00230162">
        <w:rPr>
          <w:rFonts w:cs="Arial"/>
          <w:szCs w:val="20"/>
        </w:rPr>
        <w:t xml:space="preserve">Implementar los procedimientos para que todos los servicios </w:t>
      </w:r>
      <w:proofErr w:type="spellStart"/>
      <w:r w:rsidRPr="00230162">
        <w:rPr>
          <w:rFonts w:cs="Arial"/>
          <w:szCs w:val="20"/>
        </w:rPr>
        <w:t>tercerizados</w:t>
      </w:r>
      <w:proofErr w:type="spellEnd"/>
      <w:r w:rsidRPr="00230162">
        <w:rPr>
          <w:rFonts w:cs="Arial"/>
          <w:szCs w:val="20"/>
        </w:rPr>
        <w:t xml:space="preserve"> sean controlad</w:t>
      </w:r>
      <w:r>
        <w:rPr>
          <w:rFonts w:cs="Arial"/>
          <w:szCs w:val="20"/>
        </w:rPr>
        <w:t>os por el Organismo de acuerdo con</w:t>
      </w:r>
      <w:r w:rsidRPr="00230162">
        <w:rPr>
          <w:rFonts w:cs="Arial"/>
          <w:szCs w:val="20"/>
        </w:rPr>
        <w:t xml:space="preserve"> las potestades otorgadas por</w:t>
      </w:r>
      <w:r w:rsidR="00BC0EC7">
        <w:rPr>
          <w:rFonts w:cs="Arial"/>
          <w:szCs w:val="20"/>
        </w:rPr>
        <w:t xml:space="preserve"> las Leyes Nº 18099 y Nº 18251.</w:t>
      </w:r>
    </w:p>
    <w:p w:rsidR="005A0773" w:rsidRPr="00230162" w:rsidRDefault="005A0773" w:rsidP="009E2A5B">
      <w:pPr>
        <w:tabs>
          <w:tab w:val="left" w:pos="851"/>
          <w:tab w:val="num" w:pos="1440"/>
        </w:tabs>
        <w:spacing w:line="360" w:lineRule="auto"/>
        <w:jc w:val="both"/>
        <w:rPr>
          <w:rFonts w:cs="Arial"/>
          <w:szCs w:val="20"/>
        </w:rPr>
      </w:pPr>
    </w:p>
    <w:p w:rsidR="005A0773" w:rsidRPr="00230162" w:rsidRDefault="005A0773" w:rsidP="005A0773">
      <w:pPr>
        <w:numPr>
          <w:ilvl w:val="1"/>
          <w:numId w:val="3"/>
        </w:numPr>
        <w:tabs>
          <w:tab w:val="left" w:pos="284"/>
        </w:tabs>
        <w:spacing w:line="360" w:lineRule="auto"/>
        <w:jc w:val="both"/>
        <w:rPr>
          <w:rFonts w:cs="Arial"/>
          <w:szCs w:val="20"/>
        </w:rPr>
      </w:pPr>
      <w:r>
        <w:rPr>
          <w:rFonts w:cs="Arial"/>
          <w:b/>
          <w:szCs w:val="20"/>
        </w:rPr>
        <w:t>Recomendaciones del presente E</w:t>
      </w:r>
      <w:r w:rsidRPr="00230162">
        <w:rPr>
          <w:rFonts w:cs="Arial"/>
          <w:b/>
          <w:szCs w:val="20"/>
        </w:rPr>
        <w:t>jercicio</w:t>
      </w:r>
    </w:p>
    <w:p w:rsidR="005A0773" w:rsidRDefault="005A0773" w:rsidP="009E2A5B">
      <w:pPr>
        <w:tabs>
          <w:tab w:val="num" w:pos="1276"/>
        </w:tabs>
        <w:spacing w:line="360" w:lineRule="auto"/>
        <w:jc w:val="both"/>
        <w:rPr>
          <w:rFonts w:cs="Arial"/>
          <w:szCs w:val="20"/>
          <w:lang w:val="es-UY"/>
        </w:rPr>
      </w:pPr>
      <w:r w:rsidRPr="00230162">
        <w:rPr>
          <w:rFonts w:cs="Arial"/>
          <w:szCs w:val="20"/>
          <w:lang w:val="es-UY"/>
        </w:rPr>
        <w:t>Se reiteran las recomendacione</w:t>
      </w:r>
      <w:r>
        <w:rPr>
          <w:rFonts w:cs="Arial"/>
          <w:szCs w:val="20"/>
          <w:lang w:val="es-UY"/>
        </w:rPr>
        <w:t>s no cumplidas de E</w:t>
      </w:r>
      <w:r w:rsidRPr="00230162">
        <w:rPr>
          <w:rFonts w:cs="Arial"/>
          <w:szCs w:val="20"/>
          <w:lang w:val="es-UY"/>
        </w:rPr>
        <w:t>jercicios anteriores, a las que se agregan las siguientes:</w:t>
      </w:r>
    </w:p>
    <w:p w:rsidR="005A0773" w:rsidRPr="00230162" w:rsidRDefault="005A0773" w:rsidP="009E2A5B">
      <w:pPr>
        <w:tabs>
          <w:tab w:val="num" w:pos="1276"/>
        </w:tabs>
        <w:spacing w:line="360" w:lineRule="auto"/>
        <w:jc w:val="both"/>
        <w:rPr>
          <w:rFonts w:cs="Arial"/>
          <w:szCs w:val="20"/>
        </w:rPr>
      </w:pPr>
      <w:r w:rsidRPr="00E50FB9">
        <w:rPr>
          <w:rFonts w:cs="Arial"/>
          <w:b/>
          <w:szCs w:val="20"/>
          <w:lang w:val="es-UY"/>
        </w:rPr>
        <w:t>3.2.1</w:t>
      </w:r>
      <w:r>
        <w:rPr>
          <w:rFonts w:cs="Arial"/>
          <w:szCs w:val="20"/>
          <w:lang w:val="es-UY"/>
        </w:rPr>
        <w:t xml:space="preserve"> </w:t>
      </w:r>
      <w:r w:rsidRPr="00230162">
        <w:rPr>
          <w:rFonts w:cs="Arial"/>
          <w:szCs w:val="20"/>
        </w:rPr>
        <w:t>Adoptar los procedimientos</w:t>
      </w:r>
      <w:r w:rsidRPr="00230162">
        <w:rPr>
          <w:rFonts w:cs="Arial"/>
          <w:b/>
          <w:szCs w:val="20"/>
        </w:rPr>
        <w:t xml:space="preserve"> </w:t>
      </w:r>
      <w:r w:rsidRPr="00230162">
        <w:rPr>
          <w:rFonts w:cs="Arial"/>
          <w:szCs w:val="20"/>
        </w:rPr>
        <w:t>necesarios para abonar a los funcionarios con contrato a término las partidas salariales de acuerdo a la normativa vigente.</w:t>
      </w:r>
    </w:p>
    <w:p w:rsidR="005A0773" w:rsidRPr="00E50FB9" w:rsidRDefault="005A0773" w:rsidP="005A0773">
      <w:pPr>
        <w:pStyle w:val="Prrafodelista"/>
        <w:numPr>
          <w:ilvl w:val="2"/>
          <w:numId w:val="5"/>
        </w:numPr>
        <w:spacing w:line="360" w:lineRule="auto"/>
        <w:ind w:left="0" w:firstLine="0"/>
        <w:jc w:val="both"/>
        <w:rPr>
          <w:rFonts w:cs="Arial"/>
          <w:szCs w:val="20"/>
        </w:rPr>
      </w:pPr>
      <w:r w:rsidRPr="00E50FB9">
        <w:rPr>
          <w:rFonts w:cs="Arial"/>
          <w:szCs w:val="20"/>
        </w:rPr>
        <w:t>Implementar los mecanismos para que el organismo contemple lo establecido en el Artículo 5 de la Ley Nº 18381 y Artículos 18 y 38 del Decreto 232/2010 a efectos de que se cumpla la difusión permanente de la información pública.</w:t>
      </w:r>
    </w:p>
    <w:p w:rsidR="005A0773" w:rsidRDefault="005A0773" w:rsidP="009E2A5B">
      <w:pPr>
        <w:tabs>
          <w:tab w:val="left" w:pos="851"/>
          <w:tab w:val="num" w:pos="1440"/>
        </w:tabs>
        <w:spacing w:line="360" w:lineRule="auto"/>
        <w:jc w:val="right"/>
        <w:rPr>
          <w:rFonts w:cs="Arial"/>
          <w:szCs w:val="20"/>
        </w:rPr>
      </w:pPr>
      <w:r w:rsidRPr="00230162">
        <w:rPr>
          <w:rFonts w:cs="Arial"/>
          <w:szCs w:val="20"/>
        </w:rPr>
        <w:t xml:space="preserve"> Montevideo, 19 de noviembre de 2015</w:t>
      </w:r>
    </w:p>
    <w:p w:rsidR="005A0773" w:rsidRDefault="005A0773" w:rsidP="005A0773">
      <w:pPr>
        <w:tabs>
          <w:tab w:val="left" w:pos="851"/>
          <w:tab w:val="num" w:pos="1440"/>
        </w:tabs>
        <w:spacing w:line="360" w:lineRule="auto"/>
        <w:ind w:hanging="709"/>
        <w:rPr>
          <w:rFonts w:cs="Arial"/>
          <w:szCs w:val="20"/>
        </w:rPr>
      </w:pPr>
      <w:proofErr w:type="gramStart"/>
      <w:r>
        <w:rPr>
          <w:rFonts w:cs="Arial"/>
          <w:szCs w:val="20"/>
        </w:rPr>
        <w:t>dc</w:t>
      </w:r>
      <w:proofErr w:type="gramEnd"/>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BC0EC7" w:rsidRDefault="00BC0EC7" w:rsidP="005A0773">
      <w:pPr>
        <w:tabs>
          <w:tab w:val="left" w:pos="851"/>
          <w:tab w:val="num" w:pos="1440"/>
        </w:tabs>
        <w:spacing w:line="360" w:lineRule="auto"/>
        <w:ind w:hanging="709"/>
        <w:rPr>
          <w:rFonts w:cs="Arial"/>
          <w:szCs w:val="20"/>
        </w:rPr>
      </w:pPr>
    </w:p>
    <w:p w:rsidR="00BC0EC7" w:rsidRDefault="00BC0EC7" w:rsidP="005A0773">
      <w:pPr>
        <w:tabs>
          <w:tab w:val="left" w:pos="851"/>
          <w:tab w:val="num" w:pos="1440"/>
        </w:tabs>
        <w:spacing w:line="360" w:lineRule="auto"/>
        <w:ind w:hanging="709"/>
        <w:rPr>
          <w:rFonts w:cs="Arial"/>
          <w:szCs w:val="20"/>
        </w:rPr>
      </w:pPr>
    </w:p>
    <w:p w:rsidR="00BC0EC7" w:rsidRDefault="00BC0EC7" w:rsidP="005A0773">
      <w:pPr>
        <w:tabs>
          <w:tab w:val="left" w:pos="851"/>
          <w:tab w:val="num" w:pos="1440"/>
        </w:tabs>
        <w:spacing w:line="360" w:lineRule="auto"/>
        <w:ind w:hanging="709"/>
        <w:rPr>
          <w:rFonts w:cs="Arial"/>
          <w:szCs w:val="20"/>
        </w:rPr>
      </w:pPr>
    </w:p>
    <w:p w:rsidR="00BC0EC7" w:rsidRDefault="00BC0EC7"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5A0773">
      <w:pPr>
        <w:tabs>
          <w:tab w:val="left" w:pos="851"/>
          <w:tab w:val="num" w:pos="1440"/>
        </w:tabs>
        <w:spacing w:line="360" w:lineRule="auto"/>
        <w:ind w:hanging="709"/>
        <w:rPr>
          <w:rFonts w:cs="Arial"/>
          <w:szCs w:val="20"/>
        </w:rPr>
      </w:pPr>
    </w:p>
    <w:p w:rsidR="005A0773" w:rsidRDefault="005A0773" w:rsidP="009E2A5B">
      <w:pPr>
        <w:keepNext/>
        <w:spacing w:line="360" w:lineRule="auto"/>
        <w:ind w:left="4105"/>
        <w:jc w:val="right"/>
        <w:outlineLvl w:val="1"/>
        <w:rPr>
          <w:rFonts w:cs="Arial"/>
          <w:bCs/>
          <w:szCs w:val="20"/>
        </w:rPr>
      </w:pPr>
      <w:r>
        <w:rPr>
          <w:rFonts w:cs="Arial"/>
          <w:bCs/>
          <w:szCs w:val="20"/>
        </w:rPr>
        <w:t>Montevideo, 4 de diciembre de 2015.-</w:t>
      </w:r>
    </w:p>
    <w:p w:rsidR="005A0773" w:rsidRPr="002E3D37" w:rsidRDefault="005A0773">
      <w:pPr>
        <w:suppressAutoHyphens/>
        <w:spacing w:line="360" w:lineRule="auto"/>
        <w:jc w:val="both"/>
        <w:rPr>
          <w:rFonts w:cs="Arial"/>
          <w:spacing w:val="-3"/>
          <w:lang w:val="es-ES_tradnl"/>
        </w:rPr>
      </w:pPr>
      <w:r>
        <w:rPr>
          <w:rFonts w:cs="Arial"/>
          <w:spacing w:val="-3"/>
          <w:lang w:val="es-ES_tradnl"/>
        </w:rPr>
        <w:t>Señor</w:t>
      </w:r>
    </w:p>
    <w:p w:rsidR="005A0773" w:rsidRPr="002E3D37" w:rsidRDefault="005A0773">
      <w:pPr>
        <w:suppressAutoHyphens/>
        <w:spacing w:line="360" w:lineRule="auto"/>
        <w:jc w:val="both"/>
        <w:rPr>
          <w:rFonts w:cs="Arial"/>
          <w:spacing w:val="-3"/>
          <w:lang w:val="es-ES_tradnl"/>
        </w:rPr>
      </w:pPr>
      <w:r>
        <w:rPr>
          <w:rFonts w:cs="Arial"/>
          <w:spacing w:val="-3"/>
          <w:lang w:val="es-ES_tradnl"/>
        </w:rPr>
        <w:t>Presidente</w:t>
      </w:r>
      <w:r w:rsidRPr="002E3D37">
        <w:rPr>
          <w:rFonts w:cs="Arial"/>
          <w:spacing w:val="-3"/>
          <w:lang w:val="es-ES_tradnl"/>
        </w:rPr>
        <w:t xml:space="preserve"> del</w:t>
      </w:r>
    </w:p>
    <w:p w:rsidR="005A0773" w:rsidRPr="002E3D37" w:rsidRDefault="005A0773">
      <w:pPr>
        <w:suppressAutoHyphens/>
        <w:spacing w:line="360" w:lineRule="auto"/>
        <w:jc w:val="both"/>
        <w:rPr>
          <w:rFonts w:cs="Arial"/>
          <w:spacing w:val="-3"/>
          <w:lang w:val="es-ES_tradnl"/>
        </w:rPr>
      </w:pPr>
      <w:r w:rsidRPr="002E3D37">
        <w:rPr>
          <w:rFonts w:cs="Arial"/>
          <w:spacing w:val="-3"/>
          <w:lang w:val="es-ES_tradnl"/>
        </w:rPr>
        <w:t>Servicio Oficial de Difusión,</w:t>
      </w:r>
    </w:p>
    <w:p w:rsidR="005A0773" w:rsidRPr="002E3D37" w:rsidRDefault="005A0773">
      <w:pPr>
        <w:suppressAutoHyphens/>
        <w:spacing w:line="360" w:lineRule="auto"/>
        <w:jc w:val="both"/>
        <w:rPr>
          <w:rFonts w:cs="Arial"/>
          <w:spacing w:val="-3"/>
          <w:lang w:val="es-ES_tradnl"/>
        </w:rPr>
      </w:pPr>
      <w:r w:rsidRPr="002E3D37">
        <w:rPr>
          <w:rFonts w:cs="Arial"/>
          <w:spacing w:val="-3"/>
          <w:lang w:val="es-ES_tradnl"/>
        </w:rPr>
        <w:t>Radiotelevisión y Espectáculos</w:t>
      </w:r>
    </w:p>
    <w:p w:rsidR="005A0773" w:rsidRDefault="005A0773" w:rsidP="009E2A5B">
      <w:pPr>
        <w:pStyle w:val="Textoindependiente2"/>
        <w:widowControl w:val="0"/>
        <w:jc w:val="left"/>
        <w:rPr>
          <w:b/>
          <w:bCs/>
        </w:rPr>
      </w:pPr>
      <w:r>
        <w:t>Jorge Orrico</w:t>
      </w:r>
    </w:p>
    <w:p w:rsidR="005A0773" w:rsidRPr="00BC0EC7" w:rsidRDefault="005A0773" w:rsidP="0065786D">
      <w:pPr>
        <w:pStyle w:val="Textoindependiente2"/>
        <w:widowControl w:val="0"/>
        <w:spacing w:line="360" w:lineRule="auto"/>
        <w:jc w:val="right"/>
        <w:rPr>
          <w:b/>
          <w:bCs/>
          <w:sz w:val="24"/>
          <w:szCs w:val="24"/>
        </w:rPr>
      </w:pPr>
      <w:r w:rsidRPr="00BC0EC7">
        <w:rPr>
          <w:sz w:val="24"/>
          <w:szCs w:val="24"/>
        </w:rPr>
        <w:t>E.E. 2015-17-1-0003512</w:t>
      </w:r>
    </w:p>
    <w:p w:rsidR="005A0773" w:rsidRPr="00BC0EC7" w:rsidRDefault="005A0773" w:rsidP="0065786D">
      <w:pPr>
        <w:pStyle w:val="Textoindependiente2"/>
        <w:widowControl w:val="0"/>
        <w:spacing w:line="360" w:lineRule="auto"/>
        <w:jc w:val="right"/>
        <w:rPr>
          <w:b/>
          <w:bCs/>
          <w:sz w:val="24"/>
          <w:szCs w:val="24"/>
        </w:rPr>
      </w:pPr>
      <w:r w:rsidRPr="00BC0EC7">
        <w:rPr>
          <w:sz w:val="24"/>
          <w:szCs w:val="24"/>
        </w:rPr>
        <w:t>Entrada 2866/14</w:t>
      </w:r>
    </w:p>
    <w:p w:rsidR="005A0773" w:rsidRDefault="005A0773" w:rsidP="0065786D">
      <w:pPr>
        <w:pStyle w:val="Textoindependiente2"/>
        <w:widowControl w:val="0"/>
        <w:spacing w:line="360" w:lineRule="auto"/>
        <w:jc w:val="right"/>
        <w:rPr>
          <w:sz w:val="24"/>
          <w:szCs w:val="24"/>
        </w:rPr>
      </w:pPr>
      <w:r w:rsidRPr="00BC0EC7">
        <w:rPr>
          <w:sz w:val="24"/>
          <w:szCs w:val="24"/>
        </w:rPr>
        <w:t>Oficio 9727/15</w:t>
      </w:r>
    </w:p>
    <w:p w:rsidR="00BC0EC7" w:rsidRPr="00BC0EC7" w:rsidRDefault="00BC0EC7" w:rsidP="009E2A5B">
      <w:pPr>
        <w:pStyle w:val="Textoindependiente2"/>
        <w:widowControl w:val="0"/>
        <w:jc w:val="right"/>
        <w:rPr>
          <w:sz w:val="24"/>
          <w:szCs w:val="24"/>
        </w:rPr>
      </w:pPr>
    </w:p>
    <w:p w:rsidR="005A0773" w:rsidRPr="00230162" w:rsidRDefault="005A0773" w:rsidP="009E2A5B">
      <w:pPr>
        <w:spacing w:line="360" w:lineRule="auto"/>
        <w:ind w:firstLine="851"/>
        <w:jc w:val="both"/>
        <w:rPr>
          <w:rFonts w:cs="Arial"/>
        </w:rPr>
      </w:pPr>
      <w:r w:rsidRPr="00230162">
        <w:rPr>
          <w:rFonts w:cs="Arial"/>
        </w:rPr>
        <w:t>Este Tribunal de Cuentas, en oportunidad de dictaminar sobre la Rendición de Cuentas y el Balance de Ejecución P</w:t>
      </w:r>
      <w:r>
        <w:rPr>
          <w:rFonts w:cs="Arial"/>
        </w:rPr>
        <w:t>resupuestal correspondiente al E</w:t>
      </w:r>
      <w:r w:rsidRPr="00230162">
        <w:rPr>
          <w:rFonts w:cs="Arial"/>
        </w:rPr>
        <w:t>jercicio 2014 de la Administración Nacional de Puertos, ha analizado el cumplimiento por parte del Organismo de los Artículos 17 de la Ley Nº 17.904 de 07/10/05 y 226 de la Ley  N° 18.172 de 31/08/07.</w:t>
      </w:r>
    </w:p>
    <w:p w:rsidR="005A0773" w:rsidRPr="00230162" w:rsidRDefault="005A0773" w:rsidP="009E2A5B">
      <w:pPr>
        <w:spacing w:line="360" w:lineRule="auto"/>
        <w:ind w:firstLine="851"/>
        <w:jc w:val="both"/>
        <w:rPr>
          <w:rFonts w:cs="Arial"/>
        </w:rPr>
      </w:pPr>
      <w:r w:rsidRPr="00230162">
        <w:rPr>
          <w:rFonts w:cs="Arial"/>
        </w:rPr>
        <w:t xml:space="preserve">La Administración Nacional de Puertos realizó gastos en publicidad durante el </w:t>
      </w:r>
      <w:r>
        <w:rPr>
          <w:rFonts w:cs="Arial"/>
        </w:rPr>
        <w:t>E</w:t>
      </w:r>
      <w:r w:rsidRPr="00230162">
        <w:rPr>
          <w:rFonts w:cs="Arial"/>
        </w:rPr>
        <w:t>jercicio 2014 por la suma de $</w:t>
      </w:r>
      <w:r>
        <w:rPr>
          <w:rFonts w:cs="Arial"/>
        </w:rPr>
        <w:t xml:space="preserve"> </w:t>
      </w:r>
      <w:r w:rsidRPr="00230162">
        <w:rPr>
          <w:rFonts w:cs="Arial"/>
        </w:rPr>
        <w:t>87.840 en medios de radio y televisión. Lo aportado al Servicio Oficial de Difusión, Radiotelevisión y Espectáculos (SODRE) asciende a la cantidad de $</w:t>
      </w:r>
      <w:r>
        <w:rPr>
          <w:rFonts w:cs="Arial"/>
        </w:rPr>
        <w:t xml:space="preserve"> </w:t>
      </w:r>
      <w:r w:rsidRPr="00230162">
        <w:rPr>
          <w:rFonts w:cs="Arial"/>
        </w:rPr>
        <w:t>17.568 equivalente al 20% del gasto realizado.</w:t>
      </w:r>
    </w:p>
    <w:p w:rsidR="005A0773" w:rsidRDefault="005A0773" w:rsidP="009E2A5B">
      <w:pPr>
        <w:spacing w:line="360" w:lineRule="auto"/>
        <w:jc w:val="right"/>
        <w:rPr>
          <w:rFonts w:cs="Arial"/>
        </w:rPr>
      </w:pPr>
      <w:r>
        <w:rPr>
          <w:rFonts w:cs="Arial"/>
        </w:rPr>
        <w:t>Saludamos a usted aten</w:t>
      </w:r>
      <w:r w:rsidR="000957B9">
        <w:rPr>
          <w:rFonts w:cs="Arial"/>
        </w:rPr>
        <w:t>tamente</w:t>
      </w:r>
    </w:p>
    <w:p w:rsidR="005A0773" w:rsidRDefault="005A0773" w:rsidP="009E2A5B">
      <w:pPr>
        <w:spacing w:line="360" w:lineRule="auto"/>
        <w:jc w:val="right"/>
        <w:rPr>
          <w:rFonts w:cs="Arial"/>
        </w:rPr>
      </w:pPr>
    </w:p>
    <w:p w:rsidR="005A0773" w:rsidRDefault="005A0773" w:rsidP="009E2A5B">
      <w:pPr>
        <w:spacing w:line="360" w:lineRule="auto"/>
        <w:jc w:val="right"/>
        <w:rPr>
          <w:rFonts w:cs="Arial"/>
        </w:rPr>
      </w:pPr>
    </w:p>
    <w:p w:rsidR="005A0773" w:rsidRDefault="005A0773" w:rsidP="00BC0EC7">
      <w:pPr>
        <w:spacing w:line="360" w:lineRule="auto"/>
        <w:ind w:hanging="709"/>
      </w:pPr>
      <w:proofErr w:type="gramStart"/>
      <w:r>
        <w:rPr>
          <w:rFonts w:cs="Arial"/>
        </w:rPr>
        <w:t>dc</w:t>
      </w:r>
      <w:proofErr w:type="gramEnd"/>
    </w:p>
    <w:sectPr w:rsidR="005A0773" w:rsidSect="00985D75">
      <w:footerReference w:type="even" r:id="rId8"/>
      <w:footerReference w:type="default" r:id="rId9"/>
      <w:pgSz w:w="11906" w:h="16838" w:code="9"/>
      <w:pgMar w:top="3402" w:right="1701" w:bottom="1701" w:left="1701" w:header="1134" w:footer="567"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37" w:rsidRDefault="00807637">
      <w:r>
        <w:separator/>
      </w:r>
    </w:p>
  </w:endnote>
  <w:endnote w:type="continuationSeparator" w:id="0">
    <w:p w:rsidR="00807637" w:rsidRDefault="0080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37" w:rsidRDefault="0080763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07637" w:rsidRDefault="008076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37" w:rsidRDefault="00807637">
    <w:pPr>
      <w:pStyle w:val="Piedepgina"/>
      <w:jc w:val="center"/>
    </w:pPr>
    <w:r>
      <w:fldChar w:fldCharType="begin"/>
    </w:r>
    <w:r>
      <w:instrText>PAGE   \* MERGEFORMAT</w:instrText>
    </w:r>
    <w:r>
      <w:fldChar w:fldCharType="separate"/>
    </w:r>
    <w:r w:rsidR="006C5BAF">
      <w:rPr>
        <w:noProof/>
      </w:rPr>
      <w:t>1</w:t>
    </w:r>
    <w:r>
      <w:fldChar w:fldCharType="end"/>
    </w:r>
  </w:p>
  <w:p w:rsidR="00807637" w:rsidRDefault="008076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37" w:rsidRDefault="00807637">
      <w:r>
        <w:separator/>
      </w:r>
    </w:p>
  </w:footnote>
  <w:footnote w:type="continuationSeparator" w:id="0">
    <w:p w:rsidR="00807637" w:rsidRDefault="00807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A0B"/>
    <w:multiLevelType w:val="multilevel"/>
    <w:tmpl w:val="DC5C632C"/>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b/>
      </w:rPr>
    </w:lvl>
    <w:lvl w:ilvl="2">
      <w:start w:val="1"/>
      <w:numFmt w:val="decimal"/>
      <w:lvlText w:val="%1.%2.%3"/>
      <w:lvlJc w:val="left"/>
      <w:pPr>
        <w:tabs>
          <w:tab w:val="num" w:pos="765"/>
        </w:tabs>
        <w:ind w:left="765" w:hanging="765"/>
      </w:pPr>
      <w:rPr>
        <w:rFonts w:hint="default"/>
        <w:b/>
      </w:rPr>
    </w:lvl>
    <w:lvl w:ilvl="3">
      <w:start w:val="1"/>
      <w:numFmt w:val="decimal"/>
      <w:lvlText w:val="%1.%2.%3.%4"/>
      <w:lvlJc w:val="left"/>
      <w:pPr>
        <w:tabs>
          <w:tab w:val="num" w:pos="1080"/>
        </w:tabs>
        <w:ind w:left="0" w:firstLine="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8C15896"/>
    <w:multiLevelType w:val="hybridMultilevel"/>
    <w:tmpl w:val="3D1CBCEE"/>
    <w:lvl w:ilvl="0" w:tplc="7E340B36">
      <w:start w:val="1"/>
      <w:numFmt w:val="bullet"/>
      <w:lvlText w:val=""/>
      <w:lvlJc w:val="left"/>
      <w:pPr>
        <w:tabs>
          <w:tab w:val="num" w:pos="907"/>
        </w:tabs>
        <w:ind w:left="907" w:hanging="340"/>
      </w:pPr>
      <w:rPr>
        <w:rFonts w:ascii="Wingdings" w:hAnsi="Wingdings" w:hint="default"/>
      </w:rPr>
    </w:lvl>
    <w:lvl w:ilvl="1" w:tplc="F0A20604">
      <w:start w:val="1"/>
      <w:numFmt w:val="bullet"/>
      <w:lvlText w:val=""/>
      <w:lvlJc w:val="left"/>
      <w:pPr>
        <w:tabs>
          <w:tab w:val="num" w:pos="1440"/>
        </w:tabs>
        <w:ind w:left="1440" w:hanging="360"/>
      </w:pPr>
      <w:rPr>
        <w:rFonts w:ascii="Wingdings" w:hAnsi="Wingdings" w:hint="default"/>
        <w:b/>
        <w:i w:val="0"/>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2CA49BA"/>
    <w:multiLevelType w:val="multilevel"/>
    <w:tmpl w:val="D25CC7B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BC11DF7"/>
    <w:multiLevelType w:val="hybridMultilevel"/>
    <w:tmpl w:val="53D6AF36"/>
    <w:lvl w:ilvl="0" w:tplc="4F7A8952">
      <w:start w:val="1"/>
      <w:numFmt w:val="decimal"/>
      <w:lvlText w:val="%1)"/>
      <w:lvlJc w:val="left"/>
      <w:pPr>
        <w:tabs>
          <w:tab w:val="num" w:pos="750"/>
        </w:tabs>
        <w:ind w:left="750" w:hanging="390"/>
      </w:pPr>
      <w:rPr>
        <w:rFonts w:ascii="Arial" w:eastAsia="Times New Roman" w:hAnsi="Arial"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A124905"/>
    <w:multiLevelType w:val="multilevel"/>
    <w:tmpl w:val="D4426A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75"/>
    <w:rsid w:val="00036AA2"/>
    <w:rsid w:val="000957B9"/>
    <w:rsid w:val="000A7097"/>
    <w:rsid w:val="00330727"/>
    <w:rsid w:val="0058799F"/>
    <w:rsid w:val="005A0773"/>
    <w:rsid w:val="0065786D"/>
    <w:rsid w:val="006C5BAF"/>
    <w:rsid w:val="007B57CA"/>
    <w:rsid w:val="00807637"/>
    <w:rsid w:val="00985D75"/>
    <w:rsid w:val="009D365A"/>
    <w:rsid w:val="009E2A5B"/>
    <w:rsid w:val="00BC0EC7"/>
    <w:rsid w:val="00EB5F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75"/>
    <w:rPr>
      <w:rFonts w:ascii="Arial" w:hAnsi="Arial"/>
      <w:sz w:val="24"/>
      <w:szCs w:val="24"/>
      <w:lang w:val="es-ES" w:eastAsia="es-ES"/>
    </w:rPr>
  </w:style>
  <w:style w:type="paragraph" w:styleId="Ttulo1">
    <w:name w:val="heading 1"/>
    <w:basedOn w:val="Normal"/>
    <w:next w:val="Normal"/>
    <w:link w:val="Ttulo1Car"/>
    <w:qFormat/>
    <w:rsid w:val="005A0773"/>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5D75"/>
    <w:pPr>
      <w:tabs>
        <w:tab w:val="center" w:pos="4419"/>
        <w:tab w:val="right" w:pos="8838"/>
      </w:tabs>
    </w:pPr>
  </w:style>
  <w:style w:type="character" w:customStyle="1" w:styleId="PiedepginaCar">
    <w:name w:val="Pie de página Car"/>
    <w:basedOn w:val="Fuentedeprrafopredeter"/>
    <w:link w:val="Piedepgina"/>
    <w:uiPriority w:val="99"/>
    <w:semiHidden/>
    <w:rsid w:val="00985D75"/>
    <w:rPr>
      <w:rFonts w:ascii="Arial" w:hAnsi="Arial"/>
      <w:sz w:val="24"/>
      <w:szCs w:val="24"/>
      <w:lang w:val="es-ES" w:eastAsia="es-ES"/>
    </w:rPr>
  </w:style>
  <w:style w:type="character" w:styleId="Nmerodepgina">
    <w:name w:val="page number"/>
    <w:basedOn w:val="Fuentedeprrafopredeter"/>
    <w:rsid w:val="00985D75"/>
  </w:style>
  <w:style w:type="paragraph" w:styleId="Prrafodelista">
    <w:name w:val="List Paragraph"/>
    <w:basedOn w:val="Normal"/>
    <w:uiPriority w:val="34"/>
    <w:qFormat/>
    <w:rsid w:val="00985D75"/>
    <w:pPr>
      <w:ind w:left="720"/>
      <w:contextualSpacing/>
    </w:pPr>
  </w:style>
  <w:style w:type="character" w:customStyle="1" w:styleId="Ttulo1Car">
    <w:name w:val="Título 1 Car"/>
    <w:basedOn w:val="Fuentedeprrafopredeter"/>
    <w:link w:val="Ttulo1"/>
    <w:rsid w:val="005A0773"/>
    <w:rPr>
      <w:rFonts w:ascii="Arial" w:hAnsi="Arial" w:cs="Arial"/>
      <w:b/>
      <w:bCs/>
      <w:kern w:val="32"/>
      <w:sz w:val="32"/>
      <w:szCs w:val="32"/>
      <w:lang w:val="es-ES" w:eastAsia="es-ES"/>
    </w:rPr>
  </w:style>
  <w:style w:type="paragraph" w:styleId="Sangradetextonormal">
    <w:name w:val="Body Text Indent"/>
    <w:basedOn w:val="Normal"/>
    <w:link w:val="SangradetextonormalCar"/>
    <w:rsid w:val="005A0773"/>
    <w:pPr>
      <w:widowControl w:val="0"/>
      <w:spacing w:line="360" w:lineRule="auto"/>
    </w:pPr>
    <w:rPr>
      <w:rFonts w:ascii="Bookman Old Style" w:hAnsi="Bookman Old Style"/>
      <w:snapToGrid w:val="0"/>
      <w:szCs w:val="20"/>
    </w:rPr>
  </w:style>
  <w:style w:type="character" w:customStyle="1" w:styleId="SangradetextonormalCar">
    <w:name w:val="Sangría de texto normal Car"/>
    <w:basedOn w:val="Fuentedeprrafopredeter"/>
    <w:link w:val="Sangradetextonormal"/>
    <w:rsid w:val="005A0773"/>
    <w:rPr>
      <w:rFonts w:ascii="Bookman Old Style" w:hAnsi="Bookman Old Style"/>
      <w:snapToGrid w:val="0"/>
      <w:sz w:val="24"/>
      <w:lang w:val="es-ES" w:eastAsia="es-ES"/>
    </w:rPr>
  </w:style>
  <w:style w:type="paragraph" w:styleId="Textoindependiente2">
    <w:name w:val="Body Text 2"/>
    <w:basedOn w:val="Normal"/>
    <w:link w:val="Textoindependiente2Car"/>
    <w:rsid w:val="005A0773"/>
    <w:pPr>
      <w:jc w:val="both"/>
    </w:pPr>
    <w:rPr>
      <w:rFonts w:cs="Arial"/>
      <w:sz w:val="22"/>
      <w:szCs w:val="22"/>
    </w:rPr>
  </w:style>
  <w:style w:type="character" w:customStyle="1" w:styleId="Textoindependiente2Car">
    <w:name w:val="Texto independiente 2 Car"/>
    <w:basedOn w:val="Fuentedeprrafopredeter"/>
    <w:link w:val="Textoindependiente2"/>
    <w:rsid w:val="005A0773"/>
    <w:rPr>
      <w:rFonts w:ascii="Arial" w:hAnsi="Arial" w:cs="Arial"/>
      <w:sz w:val="22"/>
      <w:szCs w:val="22"/>
      <w:lang w:val="es-ES" w:eastAsia="es-ES"/>
    </w:rPr>
  </w:style>
  <w:style w:type="paragraph" w:customStyle="1" w:styleId="Textoindependiente21">
    <w:name w:val="Texto independiente 21"/>
    <w:basedOn w:val="Normal"/>
    <w:rsid w:val="005A0773"/>
    <w:pPr>
      <w:widowControl w:val="0"/>
      <w:tabs>
        <w:tab w:val="left" w:pos="-720"/>
      </w:tabs>
      <w:suppressAutoHyphens/>
      <w:jc w:val="both"/>
    </w:pPr>
    <w:rPr>
      <w:rFonts w:ascii="Bookman Old Style" w:hAnsi="Bookman Old Style"/>
      <w:spacing w:val="-3"/>
      <w:szCs w:val="20"/>
      <w:lang w:val="es-UY"/>
    </w:rPr>
  </w:style>
  <w:style w:type="character" w:styleId="nfasis">
    <w:name w:val="Emphasis"/>
    <w:qFormat/>
    <w:rsid w:val="005A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75"/>
    <w:rPr>
      <w:rFonts w:ascii="Arial" w:hAnsi="Arial"/>
      <w:sz w:val="24"/>
      <w:szCs w:val="24"/>
      <w:lang w:val="es-ES" w:eastAsia="es-ES"/>
    </w:rPr>
  </w:style>
  <w:style w:type="paragraph" w:styleId="Ttulo1">
    <w:name w:val="heading 1"/>
    <w:basedOn w:val="Normal"/>
    <w:next w:val="Normal"/>
    <w:link w:val="Ttulo1Car"/>
    <w:qFormat/>
    <w:rsid w:val="005A0773"/>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85D75"/>
    <w:pPr>
      <w:tabs>
        <w:tab w:val="center" w:pos="4419"/>
        <w:tab w:val="right" w:pos="8838"/>
      </w:tabs>
    </w:pPr>
  </w:style>
  <w:style w:type="character" w:customStyle="1" w:styleId="PiedepginaCar">
    <w:name w:val="Pie de página Car"/>
    <w:basedOn w:val="Fuentedeprrafopredeter"/>
    <w:link w:val="Piedepgina"/>
    <w:uiPriority w:val="99"/>
    <w:semiHidden/>
    <w:rsid w:val="00985D75"/>
    <w:rPr>
      <w:rFonts w:ascii="Arial" w:hAnsi="Arial"/>
      <w:sz w:val="24"/>
      <w:szCs w:val="24"/>
      <w:lang w:val="es-ES" w:eastAsia="es-ES"/>
    </w:rPr>
  </w:style>
  <w:style w:type="character" w:styleId="Nmerodepgina">
    <w:name w:val="page number"/>
    <w:basedOn w:val="Fuentedeprrafopredeter"/>
    <w:rsid w:val="00985D75"/>
  </w:style>
  <w:style w:type="paragraph" w:styleId="Prrafodelista">
    <w:name w:val="List Paragraph"/>
    <w:basedOn w:val="Normal"/>
    <w:uiPriority w:val="34"/>
    <w:qFormat/>
    <w:rsid w:val="00985D75"/>
    <w:pPr>
      <w:ind w:left="720"/>
      <w:contextualSpacing/>
    </w:pPr>
  </w:style>
  <w:style w:type="character" w:customStyle="1" w:styleId="Ttulo1Car">
    <w:name w:val="Título 1 Car"/>
    <w:basedOn w:val="Fuentedeprrafopredeter"/>
    <w:link w:val="Ttulo1"/>
    <w:rsid w:val="005A0773"/>
    <w:rPr>
      <w:rFonts w:ascii="Arial" w:hAnsi="Arial" w:cs="Arial"/>
      <w:b/>
      <w:bCs/>
      <w:kern w:val="32"/>
      <w:sz w:val="32"/>
      <w:szCs w:val="32"/>
      <w:lang w:val="es-ES" w:eastAsia="es-ES"/>
    </w:rPr>
  </w:style>
  <w:style w:type="paragraph" w:styleId="Sangradetextonormal">
    <w:name w:val="Body Text Indent"/>
    <w:basedOn w:val="Normal"/>
    <w:link w:val="SangradetextonormalCar"/>
    <w:rsid w:val="005A0773"/>
    <w:pPr>
      <w:widowControl w:val="0"/>
      <w:spacing w:line="360" w:lineRule="auto"/>
    </w:pPr>
    <w:rPr>
      <w:rFonts w:ascii="Bookman Old Style" w:hAnsi="Bookman Old Style"/>
      <w:snapToGrid w:val="0"/>
      <w:szCs w:val="20"/>
    </w:rPr>
  </w:style>
  <w:style w:type="character" w:customStyle="1" w:styleId="SangradetextonormalCar">
    <w:name w:val="Sangría de texto normal Car"/>
    <w:basedOn w:val="Fuentedeprrafopredeter"/>
    <w:link w:val="Sangradetextonormal"/>
    <w:rsid w:val="005A0773"/>
    <w:rPr>
      <w:rFonts w:ascii="Bookman Old Style" w:hAnsi="Bookman Old Style"/>
      <w:snapToGrid w:val="0"/>
      <w:sz w:val="24"/>
      <w:lang w:val="es-ES" w:eastAsia="es-ES"/>
    </w:rPr>
  </w:style>
  <w:style w:type="paragraph" w:styleId="Textoindependiente2">
    <w:name w:val="Body Text 2"/>
    <w:basedOn w:val="Normal"/>
    <w:link w:val="Textoindependiente2Car"/>
    <w:rsid w:val="005A0773"/>
    <w:pPr>
      <w:jc w:val="both"/>
    </w:pPr>
    <w:rPr>
      <w:rFonts w:cs="Arial"/>
      <w:sz w:val="22"/>
      <w:szCs w:val="22"/>
    </w:rPr>
  </w:style>
  <w:style w:type="character" w:customStyle="1" w:styleId="Textoindependiente2Car">
    <w:name w:val="Texto independiente 2 Car"/>
    <w:basedOn w:val="Fuentedeprrafopredeter"/>
    <w:link w:val="Textoindependiente2"/>
    <w:rsid w:val="005A0773"/>
    <w:rPr>
      <w:rFonts w:ascii="Arial" w:hAnsi="Arial" w:cs="Arial"/>
      <w:sz w:val="22"/>
      <w:szCs w:val="22"/>
      <w:lang w:val="es-ES" w:eastAsia="es-ES"/>
    </w:rPr>
  </w:style>
  <w:style w:type="paragraph" w:customStyle="1" w:styleId="Textoindependiente21">
    <w:name w:val="Texto independiente 21"/>
    <w:basedOn w:val="Normal"/>
    <w:rsid w:val="005A0773"/>
    <w:pPr>
      <w:widowControl w:val="0"/>
      <w:tabs>
        <w:tab w:val="left" w:pos="-720"/>
      </w:tabs>
      <w:suppressAutoHyphens/>
      <w:jc w:val="both"/>
    </w:pPr>
    <w:rPr>
      <w:rFonts w:ascii="Bookman Old Style" w:hAnsi="Bookman Old Style"/>
      <w:spacing w:val="-3"/>
      <w:szCs w:val="20"/>
      <w:lang w:val="es-UY"/>
    </w:rPr>
  </w:style>
  <w:style w:type="character" w:styleId="nfasis">
    <w:name w:val="Emphasis"/>
    <w:qFormat/>
    <w:rsid w:val="005A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2657</Words>
  <Characters>13989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2015-12-04T20:09:00Z</cp:lastPrinted>
  <dcterms:created xsi:type="dcterms:W3CDTF">2015-12-04T20:05:00Z</dcterms:created>
  <dcterms:modified xsi:type="dcterms:W3CDTF">2016-01-07T18:19:00Z</dcterms:modified>
</cp:coreProperties>
</file>