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CC6" w:rsidRDefault="00317CC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317CC6" w:rsidRDefault="00317CC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17CC6" w:rsidRDefault="00317CC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317CC6" w:rsidRDefault="00317CC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17CC6" w:rsidRDefault="00317CC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25 DE NOVIEMBRE DE 2015</w:t>
      </w:r>
    </w:p>
    <w:p w:rsidR="00317CC6" w:rsidRDefault="00317CC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17CC6" w:rsidRPr="00427FBA" w:rsidRDefault="00317CC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427FBA">
        <w:rPr>
          <w:rFonts w:ascii="Helvetica" w:hAnsi="Helvetica"/>
          <w:b/>
          <w:lang w:val="es-UY"/>
        </w:rPr>
        <w:t>(E. E. Nº 2015-17-1-0003430, Ent. N° 2805/15)</w:t>
      </w:r>
    </w:p>
    <w:p w:rsidR="00317CC6" w:rsidRPr="00427FBA" w:rsidRDefault="00317CC6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317CC6" w:rsidRPr="00317CC6" w:rsidRDefault="00317CC6" w:rsidP="00317CC6">
      <w:pPr>
        <w:spacing w:line="360" w:lineRule="auto"/>
        <w:jc w:val="both"/>
        <w:rPr>
          <w:rFonts w:cs="Arial"/>
        </w:rPr>
      </w:pPr>
    </w:p>
    <w:p w:rsidR="00317CC6" w:rsidRPr="00317CC6" w:rsidRDefault="00317CC6" w:rsidP="00317CC6">
      <w:pPr>
        <w:spacing w:line="360" w:lineRule="auto"/>
        <w:ind w:firstLine="851"/>
        <w:jc w:val="both"/>
        <w:rPr>
          <w:rFonts w:cs="Arial"/>
        </w:rPr>
      </w:pPr>
      <w:r w:rsidRPr="00317CC6">
        <w:rPr>
          <w:rFonts w:cs="Arial"/>
          <w:b/>
        </w:rPr>
        <w:t xml:space="preserve">VISTO: </w:t>
      </w:r>
      <w:r w:rsidRPr="00317CC6">
        <w:rPr>
          <w:rFonts w:cs="Arial"/>
        </w:rPr>
        <w:t>que se ha examinado el Estado de Ejecución Pre</w:t>
      </w:r>
      <w:r w:rsidRPr="00317CC6">
        <w:rPr>
          <w:rFonts w:cs="Arial"/>
        </w:rPr>
        <w:softHyphen/>
        <w:t>supuestal del Instituto Nacional de Colonización (INC) correspondiente al Ejercicio 2014;</w:t>
      </w:r>
    </w:p>
    <w:p w:rsidR="00317CC6" w:rsidRPr="00317CC6" w:rsidRDefault="00317CC6" w:rsidP="00317CC6">
      <w:pPr>
        <w:tabs>
          <w:tab w:val="left" w:pos="708"/>
          <w:tab w:val="center" w:pos="4252"/>
          <w:tab w:val="right" w:pos="8504"/>
        </w:tabs>
        <w:spacing w:line="360" w:lineRule="auto"/>
        <w:ind w:firstLine="851"/>
        <w:jc w:val="both"/>
        <w:rPr>
          <w:rFonts w:ascii="Times" w:hAnsi="Times"/>
        </w:rPr>
      </w:pPr>
      <w:r w:rsidRPr="00317CC6">
        <w:rPr>
          <w:rFonts w:cs="Arial"/>
          <w:b/>
        </w:rPr>
        <w:t xml:space="preserve">RESULTANDO: </w:t>
      </w:r>
      <w:r w:rsidRPr="00317CC6">
        <w:rPr>
          <w:rFonts w:cs="Arial"/>
        </w:rPr>
        <w:t>que el examen se efectuó de acuerdo con los Principios</w:t>
      </w:r>
      <w:r w:rsidRPr="00317CC6">
        <w:t xml:space="preserve"> Fundamentales de Auditoría (ISSAI 100 y 200) y las Directrices de Auditoría Financiera (ISSAI </w:t>
      </w:r>
      <w:smartTag w:uri="urn:schemas-microsoft-com:office:smarttags" w:element="metricconverter">
        <w:smartTagPr>
          <w:attr w:name="ProductID" w:val="1000 a"/>
        </w:smartTagPr>
        <w:r w:rsidRPr="00317CC6">
          <w:t>1000 a</w:t>
        </w:r>
      </w:smartTag>
      <w:r w:rsidRPr="00317CC6">
        <w:t xml:space="preserve"> 1810) de la</w:t>
      </w:r>
      <w:r w:rsidRPr="00317CC6">
        <w:rPr>
          <w:rFonts w:ascii="Times New Roman" w:hAnsi="Times New Roman"/>
        </w:rPr>
        <w:t xml:space="preserve"> </w:t>
      </w:r>
      <w:r w:rsidRPr="00317CC6">
        <w:t>Organización Internacional de Entidades Fiscalizadoras Superiores (INTOSAI);</w:t>
      </w:r>
    </w:p>
    <w:p w:rsidR="00317CC6" w:rsidRPr="00317CC6" w:rsidRDefault="00317CC6" w:rsidP="00317CC6">
      <w:pPr>
        <w:spacing w:line="360" w:lineRule="auto"/>
        <w:ind w:firstLine="851"/>
        <w:jc w:val="both"/>
        <w:rPr>
          <w:rFonts w:cs="Arial"/>
        </w:rPr>
      </w:pPr>
      <w:r w:rsidRPr="00317CC6">
        <w:rPr>
          <w:rFonts w:cs="Arial"/>
          <w:b/>
        </w:rPr>
        <w:t xml:space="preserve">CONSIDERANDO: </w:t>
      </w:r>
      <w:r w:rsidRPr="00317CC6">
        <w:rPr>
          <w:rFonts w:cs="Arial"/>
        </w:rPr>
        <w:t>que las conclusiones y evidencias obtenidas son las que se expresan en el Informe de Auditorí</w:t>
      </w:r>
      <w:r>
        <w:rPr>
          <w:rFonts w:cs="Arial"/>
        </w:rPr>
        <w:t>a, que incluye el Dictamen e In</w:t>
      </w:r>
      <w:r w:rsidRPr="00317CC6">
        <w:rPr>
          <w:rFonts w:cs="Arial"/>
        </w:rPr>
        <w:t xml:space="preserve">forme a </w:t>
      </w:r>
      <w:smartTag w:uri="urn:schemas-microsoft-com:office:smarttags" w:element="PersonName">
        <w:smartTagPr>
          <w:attr w:name="ProductID" w:val="LA ADMINISTRACIￓN"/>
        </w:smartTagPr>
        <w:r w:rsidRPr="00317CC6">
          <w:rPr>
            <w:rFonts w:cs="Arial"/>
          </w:rPr>
          <w:t>la Administración</w:t>
        </w:r>
      </w:smartTag>
      <w:r w:rsidRPr="00317CC6">
        <w:rPr>
          <w:rFonts w:cs="Arial"/>
        </w:rPr>
        <w:t>;</w:t>
      </w:r>
    </w:p>
    <w:p w:rsidR="00317CC6" w:rsidRPr="00317CC6" w:rsidRDefault="00317CC6" w:rsidP="00317CC6">
      <w:pPr>
        <w:spacing w:line="360" w:lineRule="auto"/>
        <w:ind w:firstLine="851"/>
        <w:jc w:val="both"/>
        <w:rPr>
          <w:rFonts w:cs="Arial"/>
        </w:rPr>
      </w:pPr>
      <w:r w:rsidRPr="00317CC6">
        <w:rPr>
          <w:rFonts w:cs="Arial"/>
          <w:b/>
        </w:rPr>
        <w:t xml:space="preserve">ATENTO: </w:t>
      </w:r>
      <w:r w:rsidRPr="00317CC6">
        <w:rPr>
          <w:rFonts w:cs="Arial"/>
        </w:rPr>
        <w:t>a lo dispues</w:t>
      </w:r>
      <w:r>
        <w:rPr>
          <w:rFonts w:cs="Arial"/>
        </w:rPr>
        <w:t>to por el Artículo 211 Literal</w:t>
      </w:r>
      <w:r w:rsidRPr="00317CC6">
        <w:rPr>
          <w:rFonts w:cs="Arial"/>
        </w:rPr>
        <w:t xml:space="preserve"> C) de </w:t>
      </w:r>
      <w:smartTag w:uri="urn:schemas-microsoft-com:office:smarttags" w:element="PersonName">
        <w:smartTagPr>
          <w:attr w:name="ProductID" w:val="la Constituci￳n"/>
        </w:smartTagPr>
        <w:r w:rsidRPr="00317CC6">
          <w:rPr>
            <w:rFonts w:cs="Arial"/>
          </w:rPr>
          <w:t>la Constitución</w:t>
        </w:r>
      </w:smartTag>
      <w:r w:rsidRPr="00317CC6">
        <w:rPr>
          <w:rFonts w:cs="Arial"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 w:rsidRPr="00317CC6">
          <w:rPr>
            <w:rFonts w:cs="Arial"/>
          </w:rPr>
          <w:t>la República</w:t>
        </w:r>
      </w:smartTag>
      <w:r w:rsidRPr="00317CC6">
        <w:rPr>
          <w:rFonts w:cs="Arial"/>
        </w:rPr>
        <w:t>;</w:t>
      </w:r>
    </w:p>
    <w:p w:rsidR="00317CC6" w:rsidRPr="00317CC6" w:rsidRDefault="00317CC6" w:rsidP="00317CC6">
      <w:pPr>
        <w:keepNext/>
        <w:widowControl w:val="0"/>
        <w:spacing w:line="360" w:lineRule="auto"/>
        <w:jc w:val="center"/>
        <w:outlineLvl w:val="4"/>
        <w:rPr>
          <w:rFonts w:cs="Arial"/>
          <w:b/>
          <w:bCs/>
          <w:szCs w:val="20"/>
        </w:rPr>
      </w:pPr>
      <w:r w:rsidRPr="00317CC6">
        <w:rPr>
          <w:rFonts w:cs="Arial"/>
          <w:b/>
          <w:bCs/>
          <w:szCs w:val="20"/>
        </w:rPr>
        <w:t>EL TRIBUNAL ACUERDA</w:t>
      </w:r>
    </w:p>
    <w:p w:rsidR="00317CC6" w:rsidRPr="00317CC6" w:rsidRDefault="00317CC6" w:rsidP="00317CC6">
      <w:pPr>
        <w:spacing w:line="360" w:lineRule="auto"/>
        <w:ind w:left="284" w:hanging="284"/>
        <w:jc w:val="both"/>
        <w:rPr>
          <w:rFonts w:cs="Arial"/>
        </w:rPr>
      </w:pPr>
      <w:r w:rsidRPr="00317CC6">
        <w:rPr>
          <w:rFonts w:cs="Arial"/>
          <w:b/>
          <w:bCs/>
        </w:rPr>
        <w:t xml:space="preserve">1) </w:t>
      </w:r>
      <w:r w:rsidRPr="00317CC6">
        <w:rPr>
          <w:rFonts w:cs="Arial"/>
        </w:rPr>
        <w:t>Expedirse respecto al Balance de Ejecución P</w:t>
      </w:r>
      <w:r>
        <w:rPr>
          <w:rFonts w:cs="Arial"/>
        </w:rPr>
        <w:t>resupuestal correspondiente al E</w:t>
      </w:r>
      <w:r w:rsidRPr="00317CC6">
        <w:rPr>
          <w:rFonts w:cs="Arial"/>
        </w:rPr>
        <w:t>jercicio 2014 del Instituto Nacional de Colonización, en los términos del Informe que se adjunta;</w:t>
      </w:r>
    </w:p>
    <w:p w:rsidR="00317CC6" w:rsidRPr="00317CC6" w:rsidRDefault="00317CC6" w:rsidP="00317CC6">
      <w:pPr>
        <w:spacing w:line="360" w:lineRule="auto"/>
        <w:ind w:left="284" w:hanging="284"/>
        <w:jc w:val="both"/>
        <w:rPr>
          <w:rFonts w:cs="Arial"/>
        </w:rPr>
      </w:pPr>
      <w:r w:rsidRPr="00317CC6">
        <w:rPr>
          <w:rFonts w:cs="Arial"/>
          <w:b/>
          <w:bCs/>
        </w:rPr>
        <w:t xml:space="preserve">2) </w:t>
      </w:r>
      <w:r w:rsidRPr="00317CC6">
        <w:rPr>
          <w:rFonts w:cs="Arial"/>
        </w:rPr>
        <w:t>Comunicar al Ministerio de Ganadería</w:t>
      </w:r>
      <w:r>
        <w:rPr>
          <w:rFonts w:cs="Arial"/>
        </w:rPr>
        <w:t>,</w:t>
      </w:r>
      <w:r w:rsidRPr="00317CC6">
        <w:rPr>
          <w:rFonts w:cs="Arial"/>
        </w:rPr>
        <w:t xml:space="preserve"> Agricultura y Pesca, a la Oficina de Planeamiento y Presupuesto, al Organismo y a la Contadora Delegada</w:t>
      </w:r>
      <w:r w:rsidR="003D1B10">
        <w:rPr>
          <w:rFonts w:cs="Arial"/>
        </w:rPr>
        <w:t>;</w:t>
      </w:r>
    </w:p>
    <w:p w:rsidR="00317CC6" w:rsidRPr="00317CC6" w:rsidRDefault="00317CC6" w:rsidP="00317CC6">
      <w:pPr>
        <w:spacing w:line="360" w:lineRule="auto"/>
        <w:jc w:val="both"/>
        <w:rPr>
          <w:rFonts w:cs="Arial"/>
          <w:b/>
        </w:rPr>
      </w:pPr>
      <w:r w:rsidRPr="00317CC6">
        <w:rPr>
          <w:rFonts w:cs="Arial"/>
          <w:b/>
        </w:rPr>
        <w:t xml:space="preserve">3) </w:t>
      </w:r>
      <w:r w:rsidRPr="00317CC6">
        <w:rPr>
          <w:rFonts w:cs="Arial"/>
        </w:rPr>
        <w:t>Oficiar al Servicio Oficial de Difusión R</w:t>
      </w:r>
      <w:r w:rsidR="003D1B10">
        <w:rPr>
          <w:rFonts w:cs="Arial"/>
        </w:rPr>
        <w:t>adiotelevisión y Espectáculos;</w:t>
      </w:r>
    </w:p>
    <w:p w:rsidR="00317CC6" w:rsidRDefault="00317CC6" w:rsidP="00317CC6">
      <w:pPr>
        <w:spacing w:line="360" w:lineRule="auto"/>
        <w:jc w:val="both"/>
        <w:rPr>
          <w:rFonts w:cs="Arial"/>
          <w:szCs w:val="20"/>
        </w:rPr>
      </w:pPr>
      <w:r w:rsidRPr="00317CC6">
        <w:rPr>
          <w:rFonts w:cs="Arial"/>
          <w:b/>
          <w:bCs/>
          <w:szCs w:val="20"/>
        </w:rPr>
        <w:t xml:space="preserve">4) </w:t>
      </w:r>
      <w:r w:rsidRPr="00317CC6">
        <w:rPr>
          <w:rFonts w:cs="Arial"/>
          <w:szCs w:val="20"/>
        </w:rPr>
        <w:t>Dar cuenta a la Asamblea General.</w:t>
      </w:r>
    </w:p>
    <w:p w:rsidR="00654CD6" w:rsidRDefault="00654CD6">
      <w:pPr>
        <w:jc w:val="both"/>
      </w:pPr>
    </w:p>
    <w:p w:rsidR="00CE373C" w:rsidRDefault="00CE373C">
      <w:pPr>
        <w:jc w:val="both"/>
      </w:pPr>
    </w:p>
    <w:p w:rsidR="00CE373C" w:rsidRDefault="00CE373C">
      <w:pPr>
        <w:jc w:val="both"/>
      </w:pPr>
    </w:p>
    <w:p w:rsidR="00CE373C" w:rsidRDefault="00CE373C">
      <w:pPr>
        <w:jc w:val="both"/>
      </w:pPr>
    </w:p>
    <w:p w:rsidR="00CE373C" w:rsidRPr="00E323CA" w:rsidRDefault="003D1B10" w:rsidP="003D1B10">
      <w:pPr>
        <w:pStyle w:val="Ttulo"/>
        <w:rPr>
          <w:b w:val="0"/>
          <w:color w:val="auto"/>
        </w:rPr>
      </w:pPr>
      <w:r>
        <w:rPr>
          <w:color w:val="auto"/>
        </w:rPr>
        <w:lastRenderedPageBreak/>
        <w:t>DICTAMEN</w:t>
      </w:r>
    </w:p>
    <w:p w:rsidR="00CE373C" w:rsidRPr="00E323CA" w:rsidRDefault="00CE373C" w:rsidP="003D1B10">
      <w:pPr>
        <w:pStyle w:val="Ttulo"/>
        <w:spacing w:line="240" w:lineRule="auto"/>
        <w:rPr>
          <w:color w:val="auto"/>
        </w:rPr>
      </w:pPr>
    </w:p>
    <w:p w:rsidR="00CE373C" w:rsidRPr="00047913" w:rsidRDefault="00CE373C" w:rsidP="003D1B10">
      <w:pPr>
        <w:pStyle w:val="Textoindependiente21"/>
        <w:tabs>
          <w:tab w:val="clear" w:pos="-720"/>
        </w:tabs>
        <w:suppressAutoHyphens w:val="0"/>
        <w:spacing w:line="360" w:lineRule="auto"/>
        <w:rPr>
          <w:rFonts w:ascii="Arial" w:hAnsi="Arial" w:cs="Arial"/>
        </w:rPr>
      </w:pPr>
      <w:r w:rsidRPr="00E323CA">
        <w:rPr>
          <w:rFonts w:ascii="Arial" w:hAnsi="Arial" w:cs="Arial"/>
          <w:spacing w:val="0"/>
          <w:lang w:val="es-ES"/>
        </w:rPr>
        <w:t>El Tribunal de Cuentas ha examinado el Balance de Ejecución Presu</w:t>
      </w:r>
      <w:r w:rsidRPr="00E323CA">
        <w:rPr>
          <w:rFonts w:ascii="Arial" w:hAnsi="Arial" w:cs="Arial"/>
          <w:spacing w:val="0"/>
          <w:lang w:val="es-ES"/>
        </w:rPr>
        <w:softHyphen/>
        <w:t xml:space="preserve">puestal del Instituto Nacional de Colonización (INC) </w:t>
      </w:r>
      <w:r w:rsidRPr="00E323CA">
        <w:rPr>
          <w:rFonts w:ascii="Arial" w:hAnsi="Arial" w:cs="Arial"/>
        </w:rPr>
        <w:t>correspondiente al periodo 1° de enero al 31 de diciembre de 201</w:t>
      </w:r>
      <w:r>
        <w:rPr>
          <w:rFonts w:ascii="Arial" w:hAnsi="Arial" w:cs="Arial"/>
        </w:rPr>
        <w:t>4</w:t>
      </w:r>
      <w:r w:rsidRPr="00E323CA">
        <w:rPr>
          <w:rFonts w:ascii="Arial" w:hAnsi="Arial" w:cs="Arial"/>
        </w:rPr>
        <w:t>.</w:t>
      </w:r>
    </w:p>
    <w:p w:rsidR="00CE373C" w:rsidRPr="00E323CA" w:rsidRDefault="00CE373C" w:rsidP="003D1B10">
      <w:pPr>
        <w:pStyle w:val="Textoindependiente21"/>
        <w:tabs>
          <w:tab w:val="clear" w:pos="-720"/>
        </w:tabs>
        <w:suppressAutoHyphens w:val="0"/>
        <w:spacing w:line="360" w:lineRule="auto"/>
        <w:rPr>
          <w:rFonts w:ascii="Arial" w:hAnsi="Arial" w:cs="Arial"/>
          <w:spacing w:val="0"/>
          <w:lang w:val="es-ES"/>
        </w:rPr>
      </w:pPr>
      <w:r>
        <w:rPr>
          <w:rFonts w:ascii="Arial" w:hAnsi="Arial" w:cs="Arial"/>
        </w:rPr>
        <w:t>También se presentan, en caso de corresponder, los incumplimientos legales constatados en el curso de la auditoria efectuada.</w:t>
      </w:r>
    </w:p>
    <w:p w:rsidR="00CE373C" w:rsidRPr="00E323CA" w:rsidRDefault="00CE373C" w:rsidP="003D1B10">
      <w:pPr>
        <w:pStyle w:val="Textoindependiente21"/>
        <w:tabs>
          <w:tab w:val="clear" w:pos="-720"/>
        </w:tabs>
        <w:suppressAutoHyphens w:val="0"/>
        <w:spacing w:line="360" w:lineRule="auto"/>
        <w:rPr>
          <w:rFonts w:ascii="Arial" w:hAnsi="Arial" w:cs="Arial"/>
          <w:lang w:val="es-ES"/>
        </w:rPr>
      </w:pPr>
    </w:p>
    <w:p w:rsidR="00CE373C" w:rsidRPr="00E323CA" w:rsidRDefault="003D1B10" w:rsidP="003D1B10">
      <w:pPr>
        <w:pStyle w:val="Textoindependiente21"/>
        <w:tabs>
          <w:tab w:val="clear" w:pos="-720"/>
        </w:tabs>
        <w:suppressAutoHyphens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Responsabilidad de la Dirección</w:t>
      </w:r>
    </w:p>
    <w:p w:rsidR="00CE373C" w:rsidRPr="00E323CA" w:rsidRDefault="00CE373C" w:rsidP="003D1B10">
      <w:pPr>
        <w:pStyle w:val="Textoindependiente21"/>
        <w:spacing w:line="360" w:lineRule="auto"/>
        <w:rPr>
          <w:rFonts w:ascii="Arial" w:hAnsi="Arial" w:cs="Arial"/>
          <w:spacing w:val="0"/>
          <w:lang w:val="es-ES"/>
        </w:rPr>
      </w:pPr>
      <w:r w:rsidRPr="00E323CA">
        <w:rPr>
          <w:rFonts w:ascii="Arial" w:hAnsi="Arial" w:cs="Arial"/>
          <w:spacing w:val="0"/>
          <w:lang w:val="es-ES"/>
        </w:rPr>
        <w:t>La Dirección del INC es responsable por la preparación y la razonable presentación de dicho estado</w:t>
      </w:r>
      <w:r>
        <w:rPr>
          <w:rFonts w:ascii="Arial" w:hAnsi="Arial" w:cs="Arial"/>
          <w:spacing w:val="0"/>
          <w:lang w:val="es-ES"/>
        </w:rPr>
        <w:t xml:space="preserve">, de acuerdo con las disposiciones </w:t>
      </w:r>
      <w:r w:rsidRPr="00E323CA">
        <w:rPr>
          <w:rFonts w:ascii="Arial" w:hAnsi="Arial" w:cs="Arial"/>
          <w:spacing w:val="0"/>
          <w:lang w:val="es-ES"/>
        </w:rPr>
        <w:t>legales vigentes, las normas y criterios establecidos en el TOCAF,</w:t>
      </w:r>
      <w:r>
        <w:rPr>
          <w:rFonts w:ascii="Arial" w:hAnsi="Arial" w:cs="Arial"/>
          <w:spacing w:val="0"/>
          <w:lang w:val="es-ES"/>
        </w:rPr>
        <w:t xml:space="preserve"> en</w:t>
      </w:r>
      <w:r w:rsidRPr="00E323CA">
        <w:rPr>
          <w:rFonts w:ascii="Arial" w:hAnsi="Arial" w:cs="Arial"/>
          <w:spacing w:val="0"/>
          <w:lang w:val="es-ES"/>
        </w:rPr>
        <w:t xml:space="preserve"> la Ordenanza </w:t>
      </w:r>
      <w:r>
        <w:rPr>
          <w:rFonts w:ascii="Arial" w:hAnsi="Arial" w:cs="Arial"/>
          <w:spacing w:val="0"/>
          <w:lang w:val="es-ES"/>
        </w:rPr>
        <w:t xml:space="preserve">   Nº </w:t>
      </w:r>
      <w:r w:rsidRPr="00E323CA">
        <w:rPr>
          <w:rFonts w:ascii="Arial" w:hAnsi="Arial" w:cs="Arial"/>
          <w:spacing w:val="0"/>
          <w:lang w:val="es-ES"/>
        </w:rPr>
        <w:t>75 de</w:t>
      </w:r>
      <w:r>
        <w:rPr>
          <w:rFonts w:ascii="Arial" w:hAnsi="Arial" w:cs="Arial"/>
          <w:spacing w:val="0"/>
          <w:lang w:val="es-ES"/>
        </w:rPr>
        <w:t xml:space="preserve">l </w:t>
      </w:r>
      <w:r w:rsidRPr="00E323CA">
        <w:rPr>
          <w:rFonts w:ascii="Arial" w:hAnsi="Arial" w:cs="Arial"/>
          <w:spacing w:val="0"/>
          <w:lang w:val="es-ES"/>
        </w:rPr>
        <w:t xml:space="preserve">Tribunal </w:t>
      </w:r>
      <w:r>
        <w:rPr>
          <w:rFonts w:ascii="Arial" w:hAnsi="Arial" w:cs="Arial"/>
          <w:spacing w:val="0"/>
          <w:lang w:val="es-ES"/>
        </w:rPr>
        <w:t xml:space="preserve">de Cuentas </w:t>
      </w:r>
      <w:r w:rsidRPr="00E323CA">
        <w:rPr>
          <w:rFonts w:ascii="Arial" w:hAnsi="Arial" w:cs="Arial"/>
          <w:spacing w:val="0"/>
          <w:lang w:val="es-ES"/>
        </w:rPr>
        <w:t xml:space="preserve">y </w:t>
      </w:r>
      <w:r>
        <w:rPr>
          <w:rFonts w:ascii="Arial" w:hAnsi="Arial" w:cs="Arial"/>
          <w:spacing w:val="0"/>
          <w:lang w:val="es-ES"/>
        </w:rPr>
        <w:t xml:space="preserve">en </w:t>
      </w:r>
      <w:r w:rsidRPr="00E323CA">
        <w:rPr>
          <w:rFonts w:ascii="Arial" w:hAnsi="Arial" w:cs="Arial"/>
          <w:spacing w:val="0"/>
          <w:lang w:val="es-ES"/>
        </w:rPr>
        <w:t xml:space="preserve">el </w:t>
      </w:r>
      <w:r>
        <w:rPr>
          <w:rFonts w:ascii="Arial" w:hAnsi="Arial" w:cs="Arial"/>
          <w:spacing w:val="0"/>
          <w:lang w:val="es-ES"/>
        </w:rPr>
        <w:t>p</w:t>
      </w:r>
      <w:r w:rsidRPr="00E323CA">
        <w:rPr>
          <w:rFonts w:ascii="Arial" w:hAnsi="Arial" w:cs="Arial"/>
          <w:spacing w:val="0"/>
          <w:lang w:val="es-ES"/>
        </w:rPr>
        <w:t>resupuesto vigente. Esta responsabilidad incluye diseñar, implementar y mantener un sistema de control interno adecuado para la preparación y presentación razonable de estados que estén libres de errores significativos, ya sea debido a fraude o error, seleccionar y aplicar políticas contables apropiadas.</w:t>
      </w:r>
    </w:p>
    <w:p w:rsidR="00CE373C" w:rsidRPr="00E323CA" w:rsidRDefault="00CE373C" w:rsidP="003D1B10">
      <w:pPr>
        <w:pStyle w:val="Textoindependiente21"/>
        <w:spacing w:line="360" w:lineRule="auto"/>
        <w:ind w:left="360"/>
        <w:rPr>
          <w:rFonts w:ascii="Arial" w:hAnsi="Arial" w:cs="Arial"/>
          <w:spacing w:val="0"/>
          <w:lang w:val="es-ES"/>
        </w:rPr>
      </w:pPr>
    </w:p>
    <w:p w:rsidR="00CE373C" w:rsidRPr="00E323CA" w:rsidRDefault="00CE373C" w:rsidP="003D1B10">
      <w:pPr>
        <w:pStyle w:val="Textoindependiente21"/>
        <w:tabs>
          <w:tab w:val="clear" w:pos="-720"/>
          <w:tab w:val="left" w:pos="0"/>
        </w:tabs>
        <w:spacing w:line="360" w:lineRule="auto"/>
        <w:rPr>
          <w:rFonts w:ascii="Arial" w:hAnsi="Arial" w:cs="Arial"/>
          <w:b/>
          <w:spacing w:val="0"/>
          <w:lang w:val="es-ES"/>
        </w:rPr>
      </w:pPr>
      <w:r w:rsidRPr="00E323CA">
        <w:rPr>
          <w:rFonts w:ascii="Arial" w:hAnsi="Arial" w:cs="Arial"/>
          <w:b/>
          <w:spacing w:val="0"/>
          <w:lang w:val="es-ES"/>
        </w:rPr>
        <w:t>Responsabilidad del Auditor</w:t>
      </w:r>
    </w:p>
    <w:p w:rsidR="00CE373C" w:rsidRDefault="00CE373C" w:rsidP="003D1B10">
      <w:pPr>
        <w:pStyle w:val="Textoindependiente21"/>
        <w:tabs>
          <w:tab w:val="clear" w:pos="-720"/>
          <w:tab w:val="left" w:pos="0"/>
        </w:tabs>
        <w:spacing w:line="360" w:lineRule="auto"/>
        <w:rPr>
          <w:rFonts w:ascii="Arial" w:hAnsi="Arial" w:cs="Arial"/>
          <w:spacing w:val="0"/>
          <w:lang w:val="es-ES"/>
        </w:rPr>
      </w:pPr>
      <w:r w:rsidRPr="00E323CA">
        <w:rPr>
          <w:rFonts w:ascii="Arial" w:hAnsi="Arial" w:cs="Arial"/>
          <w:spacing w:val="0"/>
          <w:lang w:val="es-ES"/>
        </w:rPr>
        <w:t xml:space="preserve">La responsabilidad del Tribunal de Cuentas es expresar una opinión sobre el </w:t>
      </w:r>
      <w:r>
        <w:rPr>
          <w:rFonts w:ascii="Arial" w:hAnsi="Arial" w:cs="Arial"/>
          <w:spacing w:val="0"/>
          <w:lang w:val="es-ES"/>
        </w:rPr>
        <w:t>estado de ejecución p</w:t>
      </w:r>
      <w:r w:rsidRPr="00E323CA">
        <w:rPr>
          <w:rFonts w:ascii="Arial" w:hAnsi="Arial" w:cs="Arial"/>
          <w:spacing w:val="0"/>
          <w:lang w:val="es-ES"/>
        </w:rPr>
        <w:t xml:space="preserve">resupuestal basada en la auditoría realizada. Esta auditoría fue practicada de acuerdo </w:t>
      </w:r>
      <w:r>
        <w:rPr>
          <w:rFonts w:ascii="Arial" w:hAnsi="Arial" w:cs="Arial"/>
          <w:spacing w:val="0"/>
          <w:lang w:val="es-ES"/>
        </w:rPr>
        <w:t xml:space="preserve">con los Principios Fundamentales de Auditoria (ISSAI 100 y 200) y las Directrices de Auditoria Financiera (ISSAI 1000 a 1810) de la </w:t>
      </w:r>
      <w:r w:rsidRPr="00E323CA">
        <w:rPr>
          <w:rFonts w:ascii="Arial" w:hAnsi="Arial" w:cs="Arial"/>
          <w:spacing w:val="0"/>
          <w:lang w:val="es-ES"/>
        </w:rPr>
        <w:t>Organización Internacional de Entidades Fiscalizadoras Superiores (INTOSAI). Estas normas requieren que se cumpla con requisitos éticos, se planifique y se realice la auditoría para obtener seguridad razonable acerca de si el estado presentado está libre de errores significativos.</w:t>
      </w:r>
    </w:p>
    <w:p w:rsidR="003D1B10" w:rsidRDefault="003D1B10" w:rsidP="003D1B10">
      <w:pPr>
        <w:pStyle w:val="Textoindependiente21"/>
        <w:tabs>
          <w:tab w:val="clear" w:pos="-720"/>
          <w:tab w:val="left" w:pos="0"/>
        </w:tabs>
        <w:spacing w:line="360" w:lineRule="auto"/>
        <w:rPr>
          <w:rFonts w:ascii="Arial" w:hAnsi="Arial" w:cs="Arial"/>
          <w:spacing w:val="0"/>
          <w:lang w:val="es-ES"/>
        </w:rPr>
      </w:pPr>
    </w:p>
    <w:p w:rsidR="003D1B10" w:rsidRDefault="003D1B10" w:rsidP="003D1B10">
      <w:pPr>
        <w:pStyle w:val="Textoindependiente21"/>
        <w:tabs>
          <w:tab w:val="clear" w:pos="-720"/>
          <w:tab w:val="left" w:pos="0"/>
        </w:tabs>
        <w:spacing w:line="360" w:lineRule="auto"/>
        <w:rPr>
          <w:rFonts w:ascii="Arial" w:hAnsi="Arial" w:cs="Arial"/>
          <w:spacing w:val="0"/>
          <w:lang w:val="es-ES"/>
        </w:rPr>
      </w:pPr>
    </w:p>
    <w:p w:rsidR="00CE373C" w:rsidRPr="00E323CA" w:rsidRDefault="00CE373C" w:rsidP="003D1B10">
      <w:pPr>
        <w:pStyle w:val="Textoindependiente21"/>
        <w:spacing w:line="360" w:lineRule="auto"/>
        <w:rPr>
          <w:rFonts w:ascii="Arial" w:hAnsi="Arial" w:cs="Arial"/>
          <w:spacing w:val="0"/>
          <w:lang w:val="es-ES"/>
        </w:rPr>
      </w:pPr>
      <w:r w:rsidRPr="00E323CA">
        <w:rPr>
          <w:rFonts w:ascii="Arial" w:hAnsi="Arial" w:cs="Arial"/>
          <w:spacing w:val="0"/>
          <w:lang w:val="es-ES"/>
        </w:rPr>
        <w:t xml:space="preserve">Una auditoría implica realizar procedimientos para obtener evidencia acerca de </w:t>
      </w:r>
      <w:proofErr w:type="gramStart"/>
      <w:r w:rsidRPr="00E323CA">
        <w:rPr>
          <w:rFonts w:ascii="Arial" w:hAnsi="Arial" w:cs="Arial"/>
          <w:spacing w:val="0"/>
          <w:lang w:val="es-ES"/>
        </w:rPr>
        <w:t>los</w:t>
      </w:r>
      <w:proofErr w:type="gramEnd"/>
      <w:r w:rsidRPr="00E323CA">
        <w:rPr>
          <w:rFonts w:ascii="Arial" w:hAnsi="Arial" w:cs="Arial"/>
          <w:spacing w:val="0"/>
          <w:lang w:val="es-ES"/>
        </w:rPr>
        <w:t xml:space="preserve"> montos y revelaciones contables. Los procedimientos seleccionados dependen del juicio profesional del auditor. También incluye examinar, sobre una base selectiva, la forma de cumplimiento de las leyes de presupuesto y contabilidad, la evidencia que respalda los importes y las revelaciones en el estado de ejecución presupuestal, evaluando tanto las normas contables utilizadas por la Dirección, como la presentación del estado en su conjunto.</w:t>
      </w:r>
    </w:p>
    <w:p w:rsidR="00CE373C" w:rsidRPr="00E323CA" w:rsidRDefault="00CE373C" w:rsidP="003D1B10">
      <w:pPr>
        <w:pStyle w:val="Textoindependiente21"/>
        <w:tabs>
          <w:tab w:val="clear" w:pos="-720"/>
        </w:tabs>
        <w:suppressAutoHyphens w:val="0"/>
        <w:spacing w:line="360" w:lineRule="auto"/>
        <w:rPr>
          <w:rFonts w:ascii="Arial" w:hAnsi="Arial" w:cs="Arial"/>
          <w:spacing w:val="0"/>
          <w:lang w:val="es-ES"/>
        </w:rPr>
      </w:pPr>
      <w:r w:rsidRPr="00E323CA">
        <w:rPr>
          <w:rFonts w:ascii="Arial" w:hAnsi="Arial" w:cs="Arial"/>
          <w:spacing w:val="0"/>
          <w:lang w:val="es-ES"/>
        </w:rPr>
        <w:t>Se considera que la evidencia de auditoría obtenida brinda una base suficiente y apropiada para sustentar la opinión.</w:t>
      </w:r>
    </w:p>
    <w:p w:rsidR="00CE373C" w:rsidRPr="00E323CA" w:rsidRDefault="00CE373C" w:rsidP="003D1B10">
      <w:pPr>
        <w:pStyle w:val="Textoindependiente21"/>
        <w:tabs>
          <w:tab w:val="clear" w:pos="-720"/>
        </w:tabs>
        <w:suppressAutoHyphens w:val="0"/>
        <w:spacing w:line="360" w:lineRule="auto"/>
        <w:rPr>
          <w:rFonts w:ascii="Arial" w:hAnsi="Arial" w:cs="Arial"/>
          <w:lang w:val="es-ES"/>
        </w:rPr>
      </w:pPr>
    </w:p>
    <w:p w:rsidR="00CE373C" w:rsidRPr="00E323CA" w:rsidRDefault="00CE373C" w:rsidP="003D1B10">
      <w:pPr>
        <w:pStyle w:val="Textoindependiente21"/>
        <w:tabs>
          <w:tab w:val="clear" w:pos="-720"/>
        </w:tabs>
        <w:suppressAutoHyphens w:val="0"/>
        <w:spacing w:line="360" w:lineRule="auto"/>
        <w:rPr>
          <w:rFonts w:ascii="Arial" w:hAnsi="Arial" w:cs="Arial"/>
          <w:b/>
          <w:lang w:val="es-ES"/>
        </w:rPr>
      </w:pPr>
      <w:r w:rsidRPr="00E323CA">
        <w:rPr>
          <w:rFonts w:ascii="Arial" w:hAnsi="Arial" w:cs="Arial"/>
          <w:b/>
          <w:lang w:val="es-ES"/>
        </w:rPr>
        <w:t>Opinión</w:t>
      </w:r>
    </w:p>
    <w:p w:rsidR="00CE373C" w:rsidRPr="00E323CA" w:rsidRDefault="00CE373C" w:rsidP="003D1B10">
      <w:pPr>
        <w:pStyle w:val="Textoindependiente21"/>
        <w:tabs>
          <w:tab w:val="clear" w:pos="-720"/>
        </w:tabs>
        <w:suppressAutoHyphens w:val="0"/>
        <w:spacing w:line="360" w:lineRule="auto"/>
        <w:rPr>
          <w:rFonts w:ascii="Arial" w:hAnsi="Arial" w:cs="Arial"/>
        </w:rPr>
      </w:pPr>
      <w:r w:rsidRPr="00E323CA">
        <w:rPr>
          <w:rFonts w:ascii="Arial" w:hAnsi="Arial" w:cs="Arial"/>
          <w:lang w:val="es-ES"/>
        </w:rPr>
        <w:t xml:space="preserve">En </w:t>
      </w:r>
      <w:r w:rsidRPr="00E323CA">
        <w:rPr>
          <w:rFonts w:ascii="Arial" w:hAnsi="Arial" w:cs="Arial"/>
        </w:rPr>
        <w:t>opinión del Tribunal de Cuentas, el estado mencionado presenta razonablemente, en todos sus aspectos importantes, la ejecución presupuestal del INC, correspondiente al período 1 de enero al 31 de diciembre de 201</w:t>
      </w:r>
      <w:r>
        <w:rPr>
          <w:rFonts w:ascii="Arial" w:hAnsi="Arial" w:cs="Arial"/>
        </w:rPr>
        <w:t>4</w:t>
      </w:r>
      <w:r w:rsidRPr="00E323CA">
        <w:rPr>
          <w:rFonts w:ascii="Arial" w:hAnsi="Arial" w:cs="Arial"/>
        </w:rPr>
        <w:t>, de acuerdo con las disposiciones legales aplicables, las normas y los criterios establecidos en el TOCAF, la Ordenanza N° 75 de este Tribunal y el Decreto aprobatorio del Presupuesto correspondiente al Ejercicio 201</w:t>
      </w:r>
      <w:r>
        <w:rPr>
          <w:rFonts w:ascii="Arial" w:hAnsi="Arial" w:cs="Arial"/>
        </w:rPr>
        <w:t>4</w:t>
      </w:r>
      <w:r w:rsidRPr="00E323CA">
        <w:rPr>
          <w:rFonts w:ascii="Arial" w:hAnsi="Arial" w:cs="Arial"/>
        </w:rPr>
        <w:t>.</w:t>
      </w:r>
    </w:p>
    <w:p w:rsidR="00CE373C" w:rsidRPr="00E323CA" w:rsidRDefault="00CE373C" w:rsidP="003D1B10">
      <w:pPr>
        <w:pStyle w:val="Textoindependiente21"/>
        <w:tabs>
          <w:tab w:val="clear" w:pos="-720"/>
        </w:tabs>
        <w:suppressAutoHyphens w:val="0"/>
        <w:spacing w:line="360" w:lineRule="auto"/>
        <w:rPr>
          <w:rFonts w:ascii="Arial" w:hAnsi="Arial" w:cs="Arial"/>
        </w:rPr>
      </w:pPr>
    </w:p>
    <w:p w:rsidR="00CE373C" w:rsidRDefault="00CE373C" w:rsidP="003D1B10">
      <w:pPr>
        <w:pStyle w:val="Textoindependiente2"/>
      </w:pPr>
      <w:r>
        <w:t>En relación a la normativa vigente, se constataron los siguientes incumplimientos:</w:t>
      </w:r>
    </w:p>
    <w:p w:rsidR="00CE373C" w:rsidRPr="006219DD" w:rsidRDefault="00CE373C" w:rsidP="003D1B10">
      <w:pPr>
        <w:pStyle w:val="Textoindependiente3"/>
        <w:spacing w:line="360" w:lineRule="auto"/>
        <w:rPr>
          <w:b/>
        </w:rPr>
      </w:pPr>
    </w:p>
    <w:p w:rsidR="00CE373C" w:rsidRPr="00C44186" w:rsidRDefault="00CE373C" w:rsidP="003D1B10">
      <w:pPr>
        <w:pStyle w:val="Textoindependiente3"/>
        <w:numPr>
          <w:ilvl w:val="0"/>
          <w:numId w:val="1"/>
        </w:numPr>
        <w:tabs>
          <w:tab w:val="clear" w:pos="1080"/>
          <w:tab w:val="num" w:pos="720"/>
        </w:tabs>
        <w:spacing w:line="360" w:lineRule="auto"/>
        <w:ind w:left="720" w:hanging="720"/>
        <w:rPr>
          <w:b/>
        </w:rPr>
      </w:pPr>
      <w:r>
        <w:rPr>
          <w:b/>
        </w:rPr>
        <w:t>Artículo</w:t>
      </w:r>
      <w:r w:rsidRPr="00E323CA">
        <w:rPr>
          <w:b/>
        </w:rPr>
        <w:t xml:space="preserve"> 475 de la Ley 17.296 </w:t>
      </w:r>
      <w:r w:rsidRPr="00E323CA">
        <w:t>por no detallar los motivos que justifican a</w:t>
      </w:r>
      <w:r>
        <w:t xml:space="preserve"> </w:t>
      </w:r>
      <w:r w:rsidRPr="00E323CA">
        <w:t>juicio</w:t>
      </w:r>
      <w:r>
        <w:t xml:space="preserve"> del Ordenador competente, </w:t>
      </w:r>
      <w:r w:rsidRPr="00E323CA">
        <w:t>insistir en el gast</w:t>
      </w:r>
      <w:r>
        <w:t>o como está dispuesto en el artí</w:t>
      </w:r>
      <w:r w:rsidRPr="00E323CA">
        <w:t>culo de referencia</w:t>
      </w:r>
      <w:r w:rsidR="003D1B10">
        <w:t>.</w:t>
      </w:r>
    </w:p>
    <w:p w:rsidR="00CE373C" w:rsidRPr="00FD2326" w:rsidRDefault="00CE373C" w:rsidP="003D1B10">
      <w:pPr>
        <w:pStyle w:val="Textoindependiente3"/>
        <w:numPr>
          <w:ilvl w:val="0"/>
          <w:numId w:val="1"/>
        </w:numPr>
        <w:tabs>
          <w:tab w:val="clear" w:pos="1080"/>
          <w:tab w:val="num" w:pos="720"/>
        </w:tabs>
        <w:spacing w:line="360" w:lineRule="auto"/>
        <w:ind w:left="720" w:hanging="720"/>
        <w:rPr>
          <w:b/>
        </w:rPr>
      </w:pPr>
      <w:r>
        <w:rPr>
          <w:b/>
          <w:lang w:val="es-UY"/>
        </w:rPr>
        <w:t xml:space="preserve">Artículos </w:t>
      </w:r>
      <w:r w:rsidRPr="001807C1">
        <w:rPr>
          <w:b/>
          <w:snapToGrid w:val="0"/>
        </w:rPr>
        <w:t>49 y 50 de la Ley N°</w:t>
      </w:r>
      <w:r>
        <w:rPr>
          <w:b/>
          <w:snapToGrid w:val="0"/>
        </w:rPr>
        <w:t xml:space="preserve"> </w:t>
      </w:r>
      <w:r w:rsidRPr="001807C1">
        <w:rPr>
          <w:b/>
          <w:snapToGrid w:val="0"/>
        </w:rPr>
        <w:t>18651</w:t>
      </w:r>
      <w:r>
        <w:rPr>
          <w:b/>
          <w:snapToGrid w:val="0"/>
        </w:rPr>
        <w:t xml:space="preserve"> </w:t>
      </w:r>
      <w:r w:rsidRPr="001807C1">
        <w:rPr>
          <w:snapToGrid w:val="0"/>
        </w:rPr>
        <w:t xml:space="preserve">por no haber contratado personal </w:t>
      </w:r>
      <w:r>
        <w:rPr>
          <w:snapToGrid w:val="0"/>
        </w:rPr>
        <w:t>con capacidades diferentes.</w:t>
      </w:r>
    </w:p>
    <w:p w:rsidR="00CE373C" w:rsidRPr="00FD2326" w:rsidRDefault="00CE373C" w:rsidP="003D1B10">
      <w:pPr>
        <w:pStyle w:val="Textoindependiente3"/>
        <w:numPr>
          <w:ilvl w:val="0"/>
          <w:numId w:val="1"/>
        </w:numPr>
        <w:tabs>
          <w:tab w:val="clear" w:pos="1080"/>
          <w:tab w:val="num" w:pos="720"/>
        </w:tabs>
        <w:spacing w:line="360" w:lineRule="auto"/>
        <w:ind w:left="720" w:hanging="720"/>
        <w:rPr>
          <w:b/>
        </w:rPr>
      </w:pPr>
      <w:r>
        <w:rPr>
          <w:b/>
          <w:lang w:val="es-UY"/>
        </w:rPr>
        <w:t xml:space="preserve">Artículo 14 del decreto 340/13 </w:t>
      </w:r>
      <w:r>
        <w:rPr>
          <w:lang w:val="es-UY"/>
        </w:rPr>
        <w:t>por no comunicar una trasposición al Tribunal de Cuentas.</w:t>
      </w:r>
    </w:p>
    <w:p w:rsidR="00CE373C" w:rsidRPr="00E323CA" w:rsidRDefault="00CE373C" w:rsidP="003D1B10">
      <w:pPr>
        <w:pStyle w:val="Textoindependiente3"/>
        <w:numPr>
          <w:ilvl w:val="0"/>
          <w:numId w:val="1"/>
        </w:numPr>
        <w:tabs>
          <w:tab w:val="clear" w:pos="1080"/>
          <w:tab w:val="num" w:pos="720"/>
        </w:tabs>
        <w:spacing w:line="360" w:lineRule="auto"/>
        <w:ind w:left="720" w:hanging="720"/>
        <w:rPr>
          <w:b/>
        </w:rPr>
      </w:pPr>
      <w:r>
        <w:rPr>
          <w:b/>
          <w:lang w:val="es-UY"/>
        </w:rPr>
        <w:t xml:space="preserve">Decreto 340/13 </w:t>
      </w:r>
      <w:r>
        <w:rPr>
          <w:lang w:val="es-UY"/>
        </w:rPr>
        <w:t>por no cumplir con las asignaciones presupuestadas aprobada</w:t>
      </w:r>
      <w:r w:rsidR="003D1B10">
        <w:rPr>
          <w:lang w:val="es-UY"/>
        </w:rPr>
        <w:t>s por el decreto de referencia.</w:t>
      </w:r>
    </w:p>
    <w:p w:rsidR="00CE373C" w:rsidRDefault="00CE373C" w:rsidP="003D1B10">
      <w:pPr>
        <w:pStyle w:val="Textoindependiente2"/>
        <w:rPr>
          <w:b w:val="0"/>
          <w:bCs w:val="0"/>
        </w:rPr>
      </w:pPr>
    </w:p>
    <w:p w:rsidR="00CE373C" w:rsidRDefault="00CE373C" w:rsidP="003D1B10">
      <w:pPr>
        <w:pStyle w:val="Textoindependiente2"/>
      </w:pPr>
      <w:r>
        <w:t>Incumplimientos relacionados con el proceso del gasto, constatados durante el Ejercicio.</w:t>
      </w:r>
    </w:p>
    <w:p w:rsidR="00CE373C" w:rsidRDefault="00CE373C" w:rsidP="003D1B10">
      <w:pPr>
        <w:pStyle w:val="Textoindependiente21"/>
        <w:tabs>
          <w:tab w:val="clear" w:pos="-720"/>
          <w:tab w:val="left" w:pos="0"/>
        </w:tabs>
        <w:suppressAutoHyphens w:val="0"/>
        <w:spacing w:line="360" w:lineRule="auto"/>
        <w:rPr>
          <w:rFonts w:ascii="Arial" w:hAnsi="Arial" w:cs="Arial"/>
          <w:snapToGrid w:val="0"/>
        </w:rPr>
      </w:pPr>
    </w:p>
    <w:p w:rsidR="00CE373C" w:rsidRPr="00C43EB9" w:rsidRDefault="00CE373C" w:rsidP="003D1B10">
      <w:pPr>
        <w:pStyle w:val="Textoindependiente21"/>
        <w:tabs>
          <w:tab w:val="clear" w:pos="-720"/>
          <w:tab w:val="left" w:pos="0"/>
        </w:tabs>
        <w:suppressAutoHyphens w:val="0"/>
        <w:spacing w:line="36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El Contador Delegado y el Tribunal de Cuentas observaron gastos por incumplimiento del Artículo 211, Literal B) de la Constitución de la República y Artículo 15 del TOCAF, los que fueron reiterados por el Ordenador competente.</w:t>
      </w:r>
    </w:p>
    <w:p w:rsidR="00CE373C" w:rsidRDefault="00CE373C" w:rsidP="003D1B10">
      <w:pPr>
        <w:pStyle w:val="Textoindependiente21"/>
        <w:tabs>
          <w:tab w:val="clear" w:pos="-720"/>
          <w:tab w:val="left" w:pos="0"/>
        </w:tabs>
        <w:suppressAutoHyphens w:val="0"/>
        <w:spacing w:line="360" w:lineRule="auto"/>
        <w:jc w:val="right"/>
        <w:rPr>
          <w:rFonts w:ascii="Arial" w:hAnsi="Arial" w:cs="Arial"/>
        </w:rPr>
      </w:pPr>
      <w:r w:rsidRPr="00E323CA">
        <w:rPr>
          <w:rFonts w:ascii="Arial" w:hAnsi="Arial" w:cs="Arial"/>
        </w:rPr>
        <w:t xml:space="preserve">Montevideo, </w:t>
      </w:r>
      <w:r>
        <w:rPr>
          <w:rFonts w:ascii="Arial" w:hAnsi="Arial" w:cs="Arial"/>
        </w:rPr>
        <w:t>13 de noviembre de 2015</w:t>
      </w:r>
    </w:p>
    <w:p w:rsidR="00CE373C" w:rsidRDefault="00CE373C" w:rsidP="003D1B10">
      <w:pPr>
        <w:pStyle w:val="Textoindependiente21"/>
        <w:tabs>
          <w:tab w:val="clear" w:pos="-720"/>
          <w:tab w:val="left" w:pos="0"/>
        </w:tabs>
        <w:suppressAutoHyphens w:val="0"/>
        <w:spacing w:line="360" w:lineRule="auto"/>
        <w:jc w:val="right"/>
        <w:rPr>
          <w:rFonts w:ascii="Arial" w:hAnsi="Arial" w:cs="Arial"/>
        </w:rPr>
      </w:pPr>
    </w:p>
    <w:p w:rsidR="00CE373C" w:rsidRDefault="00CE373C" w:rsidP="003D1B10">
      <w:pPr>
        <w:pStyle w:val="Textoindependiente21"/>
        <w:tabs>
          <w:tab w:val="clear" w:pos="-720"/>
          <w:tab w:val="left" w:pos="0"/>
        </w:tabs>
        <w:suppressAutoHyphens w:val="0"/>
        <w:spacing w:line="360" w:lineRule="auto"/>
        <w:jc w:val="right"/>
        <w:rPr>
          <w:rFonts w:ascii="Arial" w:hAnsi="Arial" w:cs="Arial"/>
        </w:rPr>
      </w:pPr>
    </w:p>
    <w:p w:rsidR="00CE373C" w:rsidRPr="006A3472" w:rsidRDefault="00CE373C" w:rsidP="003D1B10">
      <w:pPr>
        <w:pStyle w:val="Ttulo5"/>
        <w:keepLines/>
        <w:widowControl/>
        <w:tabs>
          <w:tab w:val="clear" w:pos="4478"/>
          <w:tab w:val="left" w:pos="0"/>
        </w:tabs>
        <w:rPr>
          <w:rFonts w:ascii="Arial" w:hAnsi="Arial" w:cs="Arial"/>
          <w:bCs w:val="0"/>
          <w:lang w:val="es-ES_tradnl"/>
        </w:rPr>
      </w:pPr>
      <w:r w:rsidRPr="006A3472">
        <w:rPr>
          <w:rFonts w:ascii="Arial" w:hAnsi="Arial" w:cs="Arial"/>
          <w:bCs w:val="0"/>
          <w:lang w:val="es-ES_tradnl"/>
        </w:rPr>
        <w:t>INFORME A LA ADMINISTRACIÓN</w:t>
      </w:r>
    </w:p>
    <w:p w:rsidR="00CE373C" w:rsidRPr="008F64F1" w:rsidRDefault="00CE373C" w:rsidP="003D1B10">
      <w:pPr>
        <w:rPr>
          <w:lang w:val="es-ES_tradnl"/>
        </w:rPr>
      </w:pPr>
    </w:p>
    <w:p w:rsidR="00CE373C" w:rsidRPr="008F64F1" w:rsidRDefault="00CE373C" w:rsidP="003D1B10">
      <w:pPr>
        <w:pStyle w:val="Textoindependiente"/>
        <w:rPr>
          <w:rFonts w:ascii="Arial" w:hAnsi="Arial" w:cs="Arial"/>
        </w:rPr>
      </w:pPr>
      <w:r w:rsidRPr="008F64F1">
        <w:rPr>
          <w:rFonts w:ascii="Arial" w:hAnsi="Arial" w:cs="Arial"/>
        </w:rPr>
        <w:t>El Tribunal de Cuentas ha examinado el Balance de Ejecución Pre</w:t>
      </w:r>
      <w:r>
        <w:rPr>
          <w:rFonts w:ascii="Arial" w:hAnsi="Arial" w:cs="Arial"/>
        </w:rPr>
        <w:t>su</w:t>
      </w:r>
      <w:r>
        <w:rPr>
          <w:rFonts w:ascii="Arial" w:hAnsi="Arial" w:cs="Arial"/>
        </w:rPr>
        <w:softHyphen/>
        <w:t>puestal correspondiente al Ej</w:t>
      </w:r>
      <w:r w:rsidRPr="008F64F1">
        <w:rPr>
          <w:rFonts w:ascii="Arial" w:hAnsi="Arial" w:cs="Arial"/>
        </w:rPr>
        <w:t>ercicio finalizado el 31 de diciembre de 2014 del Instituto Nacional de Colonización (INC) y ha emitido su Dictamen.</w:t>
      </w:r>
    </w:p>
    <w:p w:rsidR="00CE373C" w:rsidRPr="008F64F1" w:rsidRDefault="00CE373C" w:rsidP="003D1B10">
      <w:pPr>
        <w:pStyle w:val="Textoindependiente21"/>
        <w:widowControl/>
        <w:tabs>
          <w:tab w:val="clear" w:pos="-720"/>
          <w:tab w:val="left" w:pos="0"/>
        </w:tabs>
        <w:spacing w:line="360" w:lineRule="auto"/>
        <w:rPr>
          <w:rFonts w:ascii="Arial" w:hAnsi="Arial" w:cs="Arial"/>
          <w:spacing w:val="0"/>
          <w:lang w:val="es-ES"/>
        </w:rPr>
      </w:pPr>
      <w:r w:rsidRPr="008F64F1">
        <w:rPr>
          <w:rFonts w:ascii="Arial" w:hAnsi="Arial" w:cs="Arial"/>
          <w:spacing w:val="0"/>
          <w:lang w:val="es-ES"/>
        </w:rPr>
        <w:t>Este informe incluye comentarios que se ha entendido conveniente exponer, relacionados a la situación de determinados capítulos y rubros del estado examinado y a disposiciones legales vigentes.</w:t>
      </w:r>
    </w:p>
    <w:p w:rsidR="00CE373C" w:rsidRPr="008F64F1" w:rsidRDefault="00CE373C" w:rsidP="003D1B10">
      <w:pPr>
        <w:pStyle w:val="Textoindependiente21"/>
        <w:widowControl/>
        <w:tabs>
          <w:tab w:val="clear" w:pos="-720"/>
          <w:tab w:val="left" w:pos="0"/>
        </w:tabs>
        <w:spacing w:line="360" w:lineRule="auto"/>
        <w:rPr>
          <w:rFonts w:ascii="Arial" w:hAnsi="Arial" w:cs="Arial"/>
          <w:spacing w:val="0"/>
          <w:lang w:val="es-ES"/>
        </w:rPr>
      </w:pPr>
      <w:r w:rsidRPr="008F64F1">
        <w:rPr>
          <w:rFonts w:ascii="Arial" w:hAnsi="Arial" w:cs="Arial"/>
          <w:spacing w:val="0"/>
          <w:lang w:val="es-ES"/>
        </w:rPr>
        <w:t>También se agregan las principales recomendaciones que deberá atender el Organismo.</w:t>
      </w:r>
    </w:p>
    <w:p w:rsidR="00CE373C" w:rsidRPr="008F64F1" w:rsidRDefault="00CE373C" w:rsidP="003D1B10">
      <w:pPr>
        <w:pStyle w:val="Textoindependiente21"/>
        <w:widowControl/>
        <w:tabs>
          <w:tab w:val="clear" w:pos="-720"/>
          <w:tab w:val="left" w:pos="0"/>
        </w:tabs>
        <w:spacing w:line="360" w:lineRule="auto"/>
        <w:rPr>
          <w:rFonts w:ascii="Arial" w:hAnsi="Arial" w:cs="Arial"/>
          <w:spacing w:val="0"/>
          <w:lang w:val="es-ES"/>
        </w:rPr>
      </w:pPr>
    </w:p>
    <w:p w:rsidR="00CE373C" w:rsidRPr="006A3472" w:rsidRDefault="00CE373C" w:rsidP="003D1B10">
      <w:pPr>
        <w:pStyle w:val="Textoindependiente21"/>
        <w:widowControl/>
        <w:tabs>
          <w:tab w:val="clear" w:pos="-720"/>
          <w:tab w:val="left" w:pos="0"/>
        </w:tabs>
        <w:spacing w:after="120" w:line="360" w:lineRule="auto"/>
        <w:rPr>
          <w:rFonts w:ascii="Arial" w:hAnsi="Arial" w:cs="Arial"/>
          <w:b/>
          <w:bCs/>
          <w:spacing w:val="0"/>
          <w:lang w:val="es-ES"/>
        </w:rPr>
      </w:pPr>
      <w:r w:rsidRPr="006A3472">
        <w:rPr>
          <w:rFonts w:ascii="Arial" w:hAnsi="Arial" w:cs="Arial"/>
          <w:b/>
          <w:bCs/>
          <w:spacing w:val="0"/>
          <w:lang w:val="es-ES"/>
        </w:rPr>
        <w:t>1. Aprobación y presentación del Estado de Ejecución Presupuestal</w:t>
      </w:r>
    </w:p>
    <w:p w:rsidR="00CE373C" w:rsidRPr="008F64F1" w:rsidRDefault="00CE373C" w:rsidP="003D1B10">
      <w:pPr>
        <w:pStyle w:val="Textoindependiente21"/>
        <w:widowControl/>
        <w:tabs>
          <w:tab w:val="clear" w:pos="-720"/>
          <w:tab w:val="left" w:pos="0"/>
          <w:tab w:val="left" w:pos="360"/>
        </w:tabs>
        <w:spacing w:after="120" w:line="360" w:lineRule="auto"/>
        <w:rPr>
          <w:rFonts w:ascii="Arial" w:hAnsi="Arial" w:cs="Arial"/>
          <w:spacing w:val="0"/>
          <w:lang w:val="es-ES"/>
        </w:rPr>
      </w:pPr>
      <w:r w:rsidRPr="008F64F1">
        <w:rPr>
          <w:rFonts w:ascii="Arial" w:hAnsi="Arial" w:cs="Arial"/>
          <w:spacing w:val="0"/>
          <w:lang w:val="es-ES"/>
        </w:rPr>
        <w:t>El mencionado Estado de Ejecución fue aprobado por el Directorio del INC por Resolución Nº 24 del Acta Nº 5252 de fecha 21/05/2015 y remitido al Tribunal con fecha 27/05/2015, dentro del plazo establecido por el</w:t>
      </w:r>
      <w:r>
        <w:rPr>
          <w:rFonts w:ascii="Arial" w:hAnsi="Arial" w:cs="Arial"/>
          <w:spacing w:val="0"/>
          <w:lang w:val="es-ES"/>
        </w:rPr>
        <w:t xml:space="preserve"> Artículo</w:t>
      </w:r>
      <w:r w:rsidRPr="008F64F1">
        <w:rPr>
          <w:rFonts w:ascii="Arial" w:hAnsi="Arial" w:cs="Arial"/>
          <w:spacing w:val="0"/>
          <w:lang w:val="es-ES"/>
        </w:rPr>
        <w:t xml:space="preserve"> 1 de </w:t>
      </w:r>
      <w:smartTag w:uri="urn:schemas-microsoft-com:office:smarttags" w:element="PersonName">
        <w:smartTagPr>
          <w:attr w:name="ProductID" w:val="la Ordenanza N"/>
        </w:smartTagPr>
        <w:r w:rsidRPr="008F64F1">
          <w:rPr>
            <w:rFonts w:ascii="Arial" w:hAnsi="Arial" w:cs="Arial"/>
            <w:spacing w:val="0"/>
            <w:lang w:val="es-ES"/>
          </w:rPr>
          <w:t>la Ordenanza N</w:t>
        </w:r>
      </w:smartTag>
      <w:r w:rsidRPr="008F64F1">
        <w:rPr>
          <w:rFonts w:ascii="Arial" w:hAnsi="Arial" w:cs="Arial"/>
          <w:spacing w:val="0"/>
          <w:lang w:val="es-ES"/>
        </w:rPr>
        <w:t>º 75.</w:t>
      </w:r>
    </w:p>
    <w:p w:rsidR="00CE373C" w:rsidRPr="006A3472" w:rsidRDefault="00CE373C" w:rsidP="003D1B10">
      <w:pPr>
        <w:tabs>
          <w:tab w:val="left" w:pos="-720"/>
        </w:tabs>
        <w:suppressAutoHyphens/>
        <w:spacing w:after="120" w:line="360" w:lineRule="auto"/>
        <w:jc w:val="both"/>
        <w:rPr>
          <w:b/>
          <w:spacing w:val="-3"/>
          <w:lang w:val="es-UY"/>
        </w:rPr>
      </w:pPr>
      <w:r w:rsidRPr="006A3472">
        <w:rPr>
          <w:b/>
          <w:spacing w:val="-3"/>
          <w:lang w:val="es-UY"/>
        </w:rPr>
        <w:t>2. Evaluación del Control Interno</w:t>
      </w:r>
    </w:p>
    <w:p w:rsidR="00CE373C" w:rsidRDefault="00CE373C" w:rsidP="003D1B10">
      <w:pPr>
        <w:tabs>
          <w:tab w:val="left" w:pos="-720"/>
          <w:tab w:val="left" w:pos="360"/>
        </w:tabs>
        <w:suppressAutoHyphens/>
        <w:spacing w:after="120" w:line="360" w:lineRule="auto"/>
        <w:jc w:val="both"/>
        <w:rPr>
          <w:bCs/>
          <w:snapToGrid w:val="0"/>
          <w:szCs w:val="20"/>
        </w:rPr>
      </w:pPr>
      <w:r w:rsidRPr="009E5EC6">
        <w:rPr>
          <w:bCs/>
          <w:snapToGrid w:val="0"/>
          <w:szCs w:val="20"/>
        </w:rPr>
        <w:t>El sistema de Control Interno de</w:t>
      </w:r>
      <w:r>
        <w:rPr>
          <w:bCs/>
          <w:snapToGrid w:val="0"/>
          <w:szCs w:val="20"/>
        </w:rPr>
        <w:t>l INC</w:t>
      </w:r>
      <w:r w:rsidRPr="009E5EC6">
        <w:rPr>
          <w:bCs/>
          <w:snapToGrid w:val="0"/>
          <w:szCs w:val="20"/>
        </w:rPr>
        <w:t xml:space="preserve"> proporciona un grado de seguridad razonable en relación a la</w:t>
      </w:r>
      <w:r>
        <w:rPr>
          <w:bCs/>
          <w:snapToGrid w:val="0"/>
          <w:szCs w:val="20"/>
        </w:rPr>
        <w:t>s áreas que fueron relevadas p</w:t>
      </w:r>
      <w:r w:rsidR="001227FE">
        <w:rPr>
          <w:bCs/>
          <w:snapToGrid w:val="0"/>
          <w:szCs w:val="20"/>
        </w:rPr>
        <w:t>ara el Ejercicio de referencia.</w:t>
      </w:r>
    </w:p>
    <w:p w:rsidR="00CE373C" w:rsidRDefault="00CE373C" w:rsidP="003D1B10">
      <w:pPr>
        <w:tabs>
          <w:tab w:val="left" w:pos="-720"/>
          <w:tab w:val="left" w:pos="360"/>
        </w:tabs>
        <w:suppressAutoHyphens/>
        <w:spacing w:line="360" w:lineRule="auto"/>
        <w:jc w:val="both"/>
        <w:rPr>
          <w:bCs/>
          <w:snapToGrid w:val="0"/>
          <w:szCs w:val="20"/>
        </w:rPr>
      </w:pPr>
    </w:p>
    <w:p w:rsidR="00CE373C" w:rsidRDefault="00CE373C" w:rsidP="003D1B10">
      <w:pPr>
        <w:tabs>
          <w:tab w:val="left" w:pos="-720"/>
        </w:tabs>
        <w:suppressAutoHyphens/>
        <w:spacing w:after="120" w:line="360" w:lineRule="auto"/>
        <w:jc w:val="both"/>
        <w:rPr>
          <w:b/>
          <w:spacing w:val="-3"/>
          <w:lang w:val="es-UY"/>
        </w:rPr>
      </w:pPr>
      <w:r>
        <w:rPr>
          <w:b/>
          <w:spacing w:val="-3"/>
          <w:lang w:val="es-UY"/>
        </w:rPr>
        <w:t>3</w:t>
      </w:r>
      <w:r w:rsidRPr="00684F98">
        <w:rPr>
          <w:b/>
          <w:spacing w:val="-3"/>
          <w:lang w:val="es-UY"/>
        </w:rPr>
        <w:t xml:space="preserve">. </w:t>
      </w:r>
      <w:r>
        <w:rPr>
          <w:b/>
          <w:spacing w:val="-3"/>
          <w:lang w:val="es-UY"/>
        </w:rPr>
        <w:t>Situaciones constatadas</w:t>
      </w:r>
    </w:p>
    <w:p w:rsidR="00CE373C" w:rsidRDefault="00CE373C" w:rsidP="003D1B10">
      <w:pPr>
        <w:tabs>
          <w:tab w:val="left" w:pos="-720"/>
        </w:tabs>
        <w:suppressAutoHyphens/>
        <w:spacing w:after="120" w:line="360" w:lineRule="auto"/>
        <w:jc w:val="both"/>
        <w:rPr>
          <w:spacing w:val="-3"/>
          <w:szCs w:val="20"/>
          <w:lang w:val="es-ES_tradnl"/>
        </w:rPr>
      </w:pPr>
      <w:r>
        <w:rPr>
          <w:b/>
          <w:spacing w:val="-3"/>
          <w:lang w:val="es-UY"/>
        </w:rPr>
        <w:t xml:space="preserve">3.1 </w:t>
      </w:r>
      <w:r>
        <w:rPr>
          <w:spacing w:val="-3"/>
          <w:szCs w:val="20"/>
          <w:lang w:val="es-ES_tradnl"/>
        </w:rPr>
        <w:t>Los Ordenadores de gastos y pagos, al ejercer la facultad de insistencia o reiteración de gastos, no siempre detallan los motivos que justifican a su juicio,  seguir el curso del gasto, como está dispuesto en el Artículo 475 de la Ley Nº17.296 de 21/2/2001.</w:t>
      </w:r>
    </w:p>
    <w:p w:rsidR="00CE373C" w:rsidRDefault="00CE373C" w:rsidP="003D1B10">
      <w:pPr>
        <w:tabs>
          <w:tab w:val="left" w:pos="-720"/>
        </w:tabs>
        <w:suppressAutoHyphens/>
        <w:spacing w:line="360" w:lineRule="auto"/>
        <w:jc w:val="both"/>
        <w:rPr>
          <w:snapToGrid w:val="0"/>
        </w:rPr>
      </w:pPr>
      <w:r>
        <w:rPr>
          <w:b/>
          <w:spacing w:val="-3"/>
          <w:szCs w:val="20"/>
          <w:lang w:val="es-ES_tradnl"/>
        </w:rPr>
        <w:t xml:space="preserve">3.2 </w:t>
      </w:r>
      <w:r>
        <w:rPr>
          <w:spacing w:val="-3"/>
          <w:szCs w:val="20"/>
          <w:lang w:val="es-ES_tradnl"/>
        </w:rPr>
        <w:t xml:space="preserve">Durante el Ejercicio 2014 el personal ingresado al Instituto fue en calidad de presupuestados y becarios, designados en el Ejercicio 2013, así como también por el plan “Yo estudio y Trabajo” que fueron designados en el año 2014, contraviniendo los </w:t>
      </w:r>
      <w:r>
        <w:rPr>
          <w:lang w:val="es-UY"/>
        </w:rPr>
        <w:t>Artículos</w:t>
      </w:r>
      <w:r w:rsidRPr="00E17AF8">
        <w:rPr>
          <w:lang w:val="es-UY"/>
        </w:rPr>
        <w:t xml:space="preserve"> </w:t>
      </w:r>
      <w:r w:rsidRPr="00E17AF8">
        <w:rPr>
          <w:snapToGrid w:val="0"/>
        </w:rPr>
        <w:t>49 y 50 de la Ley N° 18651</w:t>
      </w:r>
      <w:r>
        <w:rPr>
          <w:b/>
          <w:snapToGrid w:val="0"/>
        </w:rPr>
        <w:t xml:space="preserve"> </w:t>
      </w:r>
      <w:r w:rsidRPr="001807C1">
        <w:rPr>
          <w:snapToGrid w:val="0"/>
        </w:rPr>
        <w:t xml:space="preserve">por no haber contratado personal </w:t>
      </w:r>
      <w:r>
        <w:rPr>
          <w:snapToGrid w:val="0"/>
        </w:rPr>
        <w:t>con capacidades diferentes.</w:t>
      </w:r>
    </w:p>
    <w:p w:rsidR="00CE373C" w:rsidRDefault="00CE373C" w:rsidP="003D1B10">
      <w:pPr>
        <w:tabs>
          <w:tab w:val="left" w:pos="-720"/>
        </w:tabs>
        <w:suppressAutoHyphens/>
        <w:spacing w:line="360" w:lineRule="auto"/>
        <w:jc w:val="both"/>
        <w:rPr>
          <w:snapToGrid w:val="0"/>
        </w:rPr>
      </w:pPr>
    </w:p>
    <w:p w:rsidR="00CE373C" w:rsidRDefault="00CE373C" w:rsidP="003D1B10">
      <w:pPr>
        <w:tabs>
          <w:tab w:val="left" w:pos="-720"/>
        </w:tabs>
        <w:suppressAutoHyphens/>
        <w:spacing w:line="360" w:lineRule="auto"/>
        <w:jc w:val="both"/>
        <w:rPr>
          <w:snapToGrid w:val="0"/>
        </w:rPr>
      </w:pPr>
      <w:r w:rsidRPr="00E17AF8">
        <w:rPr>
          <w:b/>
          <w:snapToGrid w:val="0"/>
        </w:rPr>
        <w:t xml:space="preserve">3.3 </w:t>
      </w:r>
      <w:r>
        <w:rPr>
          <w:snapToGrid w:val="0"/>
        </w:rPr>
        <w:t>Se constató que los Grupos 0, 3 y 5 se encuentran excedidos, por falta de disponibilidad. En el Grupo 0, la mayoría corresponden a “licencias no gozadas” las cuales se producen porque no existen previsiones pre</w:t>
      </w:r>
      <w:r w:rsidR="001227FE">
        <w:rPr>
          <w:snapToGrid w:val="0"/>
        </w:rPr>
        <w:t>supuestales para dichos gastos.</w:t>
      </w:r>
    </w:p>
    <w:p w:rsidR="00CE373C" w:rsidRDefault="00CE373C" w:rsidP="003D1B10">
      <w:pPr>
        <w:tabs>
          <w:tab w:val="left" w:pos="-720"/>
        </w:tabs>
        <w:suppressAutoHyphens/>
        <w:spacing w:line="360" w:lineRule="auto"/>
        <w:jc w:val="both"/>
        <w:rPr>
          <w:snapToGrid w:val="0"/>
        </w:rPr>
      </w:pPr>
      <w:r>
        <w:rPr>
          <w:snapToGrid w:val="0"/>
        </w:rPr>
        <w:t>En cuanto al Grupo 3, se trata de inversiones en compra de tierras cuyo exceso se debió a que las oportunidades de adquisicio</w:t>
      </w:r>
      <w:r w:rsidR="006F489E">
        <w:rPr>
          <w:snapToGrid w:val="0"/>
        </w:rPr>
        <w:t>nes superaron lo presupuestado.</w:t>
      </w:r>
    </w:p>
    <w:p w:rsidR="00CE373C" w:rsidRDefault="00CE373C" w:rsidP="003D1B10">
      <w:pPr>
        <w:tabs>
          <w:tab w:val="left" w:pos="-720"/>
        </w:tabs>
        <w:suppressAutoHyphens/>
        <w:spacing w:line="360" w:lineRule="auto"/>
        <w:jc w:val="both"/>
        <w:rPr>
          <w:snapToGrid w:val="0"/>
        </w:rPr>
      </w:pPr>
      <w:r>
        <w:rPr>
          <w:snapToGrid w:val="0"/>
        </w:rPr>
        <w:t xml:space="preserve">Respecto al Grupo 5, el exceso obedece al pago de las cuotas pertinentes emergentes del monto del Incentivo al Retiro-Subsidios cargos políticos-, </w:t>
      </w:r>
      <w:proofErr w:type="gramStart"/>
      <w:r>
        <w:rPr>
          <w:snapToGrid w:val="0"/>
        </w:rPr>
        <w:t>aprobado</w:t>
      </w:r>
      <w:proofErr w:type="gramEnd"/>
      <w:r>
        <w:rPr>
          <w:snapToGrid w:val="0"/>
        </w:rPr>
        <w:t xml:space="preserve"> por el Decreto del Poder Ejecutivo Nº 512/007.</w:t>
      </w:r>
    </w:p>
    <w:p w:rsidR="00CE373C" w:rsidRDefault="00CE373C" w:rsidP="003D1B10">
      <w:pPr>
        <w:tabs>
          <w:tab w:val="left" w:pos="-720"/>
        </w:tabs>
        <w:suppressAutoHyphens/>
        <w:spacing w:line="360" w:lineRule="auto"/>
        <w:jc w:val="both"/>
        <w:rPr>
          <w:snapToGrid w:val="0"/>
        </w:rPr>
      </w:pPr>
    </w:p>
    <w:p w:rsidR="00CE373C" w:rsidRPr="006A3472" w:rsidRDefault="00CE373C" w:rsidP="003D1B10">
      <w:pPr>
        <w:tabs>
          <w:tab w:val="left" w:pos="-720"/>
        </w:tabs>
        <w:suppressAutoHyphens/>
        <w:spacing w:line="360" w:lineRule="auto"/>
        <w:jc w:val="both"/>
        <w:rPr>
          <w:bCs/>
          <w:snapToGrid w:val="0"/>
          <w:szCs w:val="20"/>
        </w:rPr>
      </w:pPr>
      <w:r w:rsidRPr="00945D1F">
        <w:rPr>
          <w:b/>
          <w:snapToGrid w:val="0"/>
        </w:rPr>
        <w:t>3.4</w:t>
      </w:r>
      <w:r>
        <w:rPr>
          <w:b/>
          <w:snapToGrid w:val="0"/>
        </w:rPr>
        <w:t xml:space="preserve"> </w:t>
      </w:r>
      <w:r>
        <w:rPr>
          <w:snapToGrid w:val="0"/>
        </w:rPr>
        <w:t>Entre las trasposiciones efectuadas durante el Ejercicio 2014, se detectó que las realizadas con fecha 02/12/2014, no fueron comunicadas al Tribunal de Cuentas, contraviniendo lo dispuesto por el Artículo del Decreto 340/13 aprobatorio del presupuesto vigente.</w:t>
      </w:r>
    </w:p>
    <w:p w:rsidR="00CE373C" w:rsidRPr="00684F98" w:rsidRDefault="00CE373C" w:rsidP="003D1B10">
      <w:pPr>
        <w:tabs>
          <w:tab w:val="left" w:pos="-720"/>
        </w:tabs>
        <w:suppressAutoHyphens/>
        <w:spacing w:line="360" w:lineRule="auto"/>
        <w:jc w:val="both"/>
        <w:rPr>
          <w:b/>
          <w:spacing w:val="-3"/>
        </w:rPr>
      </w:pPr>
    </w:p>
    <w:p w:rsidR="00CE373C" w:rsidRPr="00E323CA" w:rsidRDefault="00CE373C" w:rsidP="003D1B10">
      <w:pPr>
        <w:pStyle w:val="Textoindependiente21"/>
        <w:widowControl/>
        <w:tabs>
          <w:tab w:val="clear" w:pos="-720"/>
          <w:tab w:val="left" w:pos="0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s-ES"/>
        </w:rPr>
        <w:t>4</w:t>
      </w:r>
      <w:r w:rsidRPr="00E323CA">
        <w:rPr>
          <w:rFonts w:ascii="Arial" w:hAnsi="Arial" w:cs="Arial"/>
          <w:b/>
          <w:bCs/>
          <w:lang w:val="es-ES"/>
        </w:rPr>
        <w:t xml:space="preserve">.  </w:t>
      </w:r>
      <w:r w:rsidR="001227FE">
        <w:rPr>
          <w:rFonts w:ascii="Arial" w:hAnsi="Arial" w:cs="Arial"/>
          <w:b/>
          <w:bCs/>
        </w:rPr>
        <w:t>Recomendaciones</w:t>
      </w:r>
    </w:p>
    <w:p w:rsidR="00CE373C" w:rsidRPr="00E323CA" w:rsidRDefault="00CE373C" w:rsidP="003D1B10">
      <w:pPr>
        <w:pStyle w:val="Textoindependiente21"/>
        <w:widowControl/>
        <w:tabs>
          <w:tab w:val="clear" w:pos="-720"/>
          <w:tab w:val="left" w:pos="0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Pr="00E323CA">
        <w:rPr>
          <w:rFonts w:ascii="Arial" w:hAnsi="Arial" w:cs="Arial"/>
          <w:b/>
          <w:bCs/>
        </w:rPr>
        <w:t>.1  Recomendaciones de Ejercicios anteriores</w:t>
      </w:r>
    </w:p>
    <w:p w:rsidR="00CE373C" w:rsidRPr="00E323CA" w:rsidRDefault="00CE373C" w:rsidP="003D1B10">
      <w:pPr>
        <w:pStyle w:val="Textoindependiente21"/>
        <w:widowControl/>
        <w:tabs>
          <w:tab w:val="clear" w:pos="-720"/>
          <w:tab w:val="left" w:pos="0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Pr="00E323CA">
        <w:rPr>
          <w:rFonts w:ascii="Arial" w:hAnsi="Arial" w:cs="Arial"/>
          <w:b/>
          <w:bCs/>
        </w:rPr>
        <w:t xml:space="preserve">.1.1 </w:t>
      </w:r>
      <w:r>
        <w:rPr>
          <w:rFonts w:ascii="Arial" w:hAnsi="Arial" w:cs="Arial"/>
          <w:b/>
          <w:bCs/>
        </w:rPr>
        <w:t xml:space="preserve">No </w:t>
      </w:r>
      <w:r w:rsidRPr="00E323CA">
        <w:rPr>
          <w:rFonts w:ascii="Arial" w:hAnsi="Arial" w:cs="Arial"/>
          <w:b/>
          <w:bCs/>
        </w:rPr>
        <w:t>Cumplidas</w:t>
      </w:r>
    </w:p>
    <w:p w:rsidR="00CE373C" w:rsidRPr="00E323CA" w:rsidRDefault="00CE373C" w:rsidP="003D1B10">
      <w:pPr>
        <w:pStyle w:val="Textoindependiente21"/>
        <w:widowControl/>
        <w:tabs>
          <w:tab w:val="clear" w:pos="-720"/>
          <w:tab w:val="left" w:pos="993"/>
        </w:tabs>
        <w:spacing w:line="360" w:lineRule="auto"/>
        <w:ind w:left="993" w:hanging="993"/>
        <w:rPr>
          <w:rFonts w:ascii="Arial" w:hAnsi="Arial" w:cs="Arial"/>
          <w:b/>
          <w:bCs/>
        </w:rPr>
      </w:pPr>
    </w:p>
    <w:p w:rsidR="00CE373C" w:rsidRDefault="00CE373C" w:rsidP="003D1B10">
      <w:pPr>
        <w:pStyle w:val="Textoindependiente21"/>
        <w:widowControl/>
        <w:tabs>
          <w:tab w:val="clear" w:pos="-720"/>
          <w:tab w:val="left" w:pos="851"/>
        </w:tabs>
        <w:spacing w:line="360" w:lineRule="auto"/>
        <w:rPr>
          <w:rFonts w:ascii="Arial" w:hAnsi="Arial" w:cs="Arial"/>
          <w:bCs/>
        </w:rPr>
      </w:pPr>
      <w:r w:rsidRPr="006A3472">
        <w:rPr>
          <w:rFonts w:ascii="Arial" w:hAnsi="Arial" w:cs="Arial"/>
          <w:b/>
          <w:bCs/>
        </w:rPr>
        <w:t>4.</w:t>
      </w:r>
      <w:r w:rsidRPr="00E323CA">
        <w:rPr>
          <w:rFonts w:ascii="Arial" w:hAnsi="Arial" w:cs="Arial"/>
          <w:b/>
          <w:bCs/>
        </w:rPr>
        <w:t>1.1.</w:t>
      </w:r>
      <w:r>
        <w:rPr>
          <w:rFonts w:ascii="Arial" w:hAnsi="Arial" w:cs="Arial"/>
          <w:b/>
          <w:bCs/>
        </w:rPr>
        <w:t>1</w:t>
      </w:r>
      <w:r w:rsidRPr="00E323CA">
        <w:rPr>
          <w:rFonts w:ascii="Arial" w:hAnsi="Arial" w:cs="Arial"/>
          <w:bCs/>
        </w:rPr>
        <w:t xml:space="preserve"> El INC </w:t>
      </w:r>
      <w:r>
        <w:rPr>
          <w:rFonts w:ascii="Arial" w:hAnsi="Arial" w:cs="Arial"/>
          <w:bCs/>
        </w:rPr>
        <w:t>no dio cumplimiento con la Ley Nº 17.294, Artículo 475 al no detallar los motivos que justifican a criterio del Ordenador, insistir en el gasto observado.</w:t>
      </w:r>
    </w:p>
    <w:p w:rsidR="00CE373C" w:rsidRDefault="00CE373C" w:rsidP="003D1B10">
      <w:pPr>
        <w:pStyle w:val="Textoindependiente21"/>
        <w:widowControl/>
        <w:tabs>
          <w:tab w:val="clear" w:pos="-720"/>
        </w:tabs>
        <w:spacing w:line="360" w:lineRule="auto"/>
        <w:rPr>
          <w:rFonts w:ascii="Arial" w:hAnsi="Arial" w:cs="Arial"/>
          <w:bCs/>
          <w:spacing w:val="0"/>
          <w:szCs w:val="24"/>
          <w:lang w:val="es-ES_tradnl"/>
        </w:rPr>
      </w:pPr>
      <w:r>
        <w:rPr>
          <w:rFonts w:ascii="Arial" w:hAnsi="Arial" w:cs="Arial"/>
          <w:b/>
          <w:bCs/>
        </w:rPr>
        <w:t>4.1.1.2</w:t>
      </w:r>
      <w:r w:rsidRPr="00E323CA">
        <w:rPr>
          <w:rFonts w:ascii="Arial" w:hAnsi="Arial" w:cs="Arial"/>
          <w:b/>
          <w:bCs/>
        </w:rPr>
        <w:t xml:space="preserve"> </w:t>
      </w:r>
      <w:r w:rsidRPr="00E323CA">
        <w:rPr>
          <w:rFonts w:ascii="Arial" w:hAnsi="Arial" w:cs="Arial"/>
          <w:bCs/>
          <w:spacing w:val="0"/>
          <w:szCs w:val="24"/>
          <w:lang w:val="es-ES_tradnl"/>
        </w:rPr>
        <w:t xml:space="preserve">El Instituto </w:t>
      </w:r>
      <w:r>
        <w:rPr>
          <w:rFonts w:ascii="Arial" w:hAnsi="Arial" w:cs="Arial"/>
          <w:bCs/>
          <w:spacing w:val="0"/>
          <w:szCs w:val="24"/>
          <w:lang w:val="es-ES_tradnl"/>
        </w:rPr>
        <w:t>no dio cumplimiento con la Ley Nº 18.851, Artículos 49 y 50 al no contratar personal con capacidades diferentes.</w:t>
      </w:r>
    </w:p>
    <w:p w:rsidR="00CE373C" w:rsidRDefault="00CE373C" w:rsidP="003D1B10">
      <w:pPr>
        <w:pStyle w:val="Textoindependiente21"/>
        <w:widowControl/>
        <w:tabs>
          <w:tab w:val="clear" w:pos="-720"/>
          <w:tab w:val="left" w:pos="851"/>
        </w:tabs>
        <w:spacing w:line="360" w:lineRule="auto"/>
        <w:ind w:left="851" w:hanging="851"/>
        <w:rPr>
          <w:rFonts w:ascii="Arial" w:hAnsi="Arial" w:cs="Arial"/>
          <w:bCs/>
          <w:lang w:val="es-ES_tradnl"/>
        </w:rPr>
      </w:pPr>
    </w:p>
    <w:p w:rsidR="00CE373C" w:rsidRPr="00E323CA" w:rsidRDefault="00CE373C" w:rsidP="003D1B10">
      <w:pPr>
        <w:pStyle w:val="Textoindependiente21"/>
        <w:widowControl/>
        <w:tabs>
          <w:tab w:val="clear" w:pos="-720"/>
          <w:tab w:val="left" w:pos="0"/>
          <w:tab w:val="left" w:pos="600"/>
          <w:tab w:val="left" w:pos="840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s-ES_tradnl"/>
        </w:rPr>
        <w:t>4</w:t>
      </w:r>
      <w:r w:rsidRPr="00E323CA">
        <w:rPr>
          <w:rFonts w:ascii="Arial" w:hAnsi="Arial" w:cs="Arial"/>
          <w:b/>
          <w:bCs/>
          <w:lang w:val="es-ES_tradnl"/>
        </w:rPr>
        <w:t xml:space="preserve">.2  </w:t>
      </w:r>
      <w:r w:rsidRPr="00E323CA">
        <w:rPr>
          <w:rFonts w:ascii="Arial" w:hAnsi="Arial" w:cs="Arial"/>
          <w:b/>
          <w:bCs/>
        </w:rPr>
        <w:t>Recomendaciones del presente Ejercicio</w:t>
      </w:r>
    </w:p>
    <w:p w:rsidR="00CE373C" w:rsidRDefault="00CE373C" w:rsidP="003D1B10">
      <w:pPr>
        <w:widowControl w:val="0"/>
        <w:spacing w:line="360" w:lineRule="auto"/>
        <w:jc w:val="both"/>
        <w:rPr>
          <w:bCs/>
          <w:spacing w:val="-3"/>
        </w:rPr>
      </w:pPr>
      <w:r w:rsidRPr="00E323CA">
        <w:rPr>
          <w:bCs/>
          <w:spacing w:val="-3"/>
        </w:rPr>
        <w:t>Se reiteran las recomendaciones no cumplidas de Ejercicios anteriores, a las que se agregan las siguientes:</w:t>
      </w:r>
    </w:p>
    <w:p w:rsidR="00CE373C" w:rsidRPr="00E323CA" w:rsidRDefault="00CE373C" w:rsidP="003D1B10">
      <w:pPr>
        <w:widowControl w:val="0"/>
        <w:spacing w:line="360" w:lineRule="auto"/>
        <w:jc w:val="both"/>
        <w:rPr>
          <w:bCs/>
          <w:spacing w:val="-3"/>
        </w:rPr>
      </w:pPr>
    </w:p>
    <w:p w:rsidR="00CE373C" w:rsidRDefault="00CE373C" w:rsidP="00CE373C">
      <w:pPr>
        <w:pStyle w:val="Textoindependiente3"/>
        <w:numPr>
          <w:ilvl w:val="2"/>
          <w:numId w:val="2"/>
        </w:numPr>
        <w:spacing w:line="360" w:lineRule="auto"/>
        <w:ind w:left="0" w:firstLine="0"/>
      </w:pPr>
      <w:r>
        <w:t>Decreto 340/13, por no cumplir con las asignaciones presupuestales aprobadas por el presente Decreto.</w:t>
      </w:r>
    </w:p>
    <w:p w:rsidR="00CE373C" w:rsidRPr="00E323CA" w:rsidRDefault="00CE373C" w:rsidP="00CE373C">
      <w:pPr>
        <w:pStyle w:val="Textoindependiente3"/>
        <w:numPr>
          <w:ilvl w:val="2"/>
          <w:numId w:val="2"/>
        </w:numPr>
        <w:spacing w:line="360" w:lineRule="auto"/>
        <w:ind w:left="0" w:firstLine="0"/>
        <w:rPr>
          <w:b/>
        </w:rPr>
      </w:pPr>
      <w:r>
        <w:rPr>
          <w:lang w:val="es-UY"/>
        </w:rPr>
        <w:t>Artículo 14 del Decreto 340/13, por no comunicar al Tribunal de Cuentas, Trasposiciones de rubros.</w:t>
      </w:r>
    </w:p>
    <w:p w:rsidR="00CE373C" w:rsidRPr="00E323CA" w:rsidRDefault="00CE373C" w:rsidP="003D1B10">
      <w:pPr>
        <w:tabs>
          <w:tab w:val="left" w:pos="-720"/>
        </w:tabs>
        <w:suppressAutoHyphens/>
        <w:spacing w:line="360" w:lineRule="auto"/>
        <w:jc w:val="both"/>
      </w:pPr>
      <w:r>
        <w:rPr>
          <w:rFonts w:cs="Arial"/>
          <w:b/>
        </w:rPr>
        <w:t xml:space="preserve">4.2.3 </w:t>
      </w:r>
      <w:r w:rsidRPr="00E323CA">
        <w:rPr>
          <w:rFonts w:cs="Arial"/>
        </w:rPr>
        <w:t>Implementar los mecanismos</w:t>
      </w:r>
      <w:r w:rsidRPr="00E323CA">
        <w:rPr>
          <w:rFonts w:cs="Arial"/>
          <w:b/>
        </w:rPr>
        <w:t xml:space="preserve"> </w:t>
      </w:r>
      <w:r w:rsidRPr="00E323CA">
        <w:rPr>
          <w:rFonts w:cs="Arial"/>
        </w:rPr>
        <w:t xml:space="preserve">necesarios para corregir los </w:t>
      </w:r>
      <w:r>
        <w:rPr>
          <w:rFonts w:cs="Arial"/>
        </w:rPr>
        <w:t xml:space="preserve"> </w:t>
      </w:r>
      <w:r w:rsidRPr="00E323CA">
        <w:rPr>
          <w:rFonts w:cs="Arial"/>
        </w:rPr>
        <w:t>incumplimientos legales señalados en el Dictamen.</w:t>
      </w:r>
    </w:p>
    <w:p w:rsidR="00CE373C" w:rsidRPr="00E323CA" w:rsidRDefault="00CE373C" w:rsidP="003D1B10">
      <w:pPr>
        <w:pStyle w:val="Textoindependiente21"/>
        <w:tabs>
          <w:tab w:val="clear" w:pos="-720"/>
          <w:tab w:val="left" w:pos="0"/>
        </w:tabs>
        <w:suppressAutoHyphens w:val="0"/>
        <w:spacing w:line="360" w:lineRule="auto"/>
        <w:jc w:val="right"/>
        <w:rPr>
          <w:rFonts w:ascii="Arial" w:hAnsi="Arial" w:cs="Arial"/>
          <w:snapToGrid w:val="0"/>
        </w:rPr>
      </w:pPr>
      <w:r w:rsidRPr="00E323CA">
        <w:rPr>
          <w:rFonts w:ascii="Arial" w:hAnsi="Arial" w:cs="Arial"/>
        </w:rPr>
        <w:t xml:space="preserve">Montevideo, </w:t>
      </w:r>
      <w:r w:rsidR="001227FE">
        <w:rPr>
          <w:rFonts w:ascii="Arial" w:hAnsi="Arial" w:cs="Arial"/>
        </w:rPr>
        <w:t>13 de noviembre de 2015</w:t>
      </w:r>
    </w:p>
    <w:p w:rsidR="00CE373C" w:rsidRDefault="00CE373C" w:rsidP="003D1B10">
      <w:pPr>
        <w:ind w:hanging="426"/>
        <w:jc w:val="both"/>
      </w:pPr>
      <w:proofErr w:type="gramStart"/>
      <w:r>
        <w:t>dc</w:t>
      </w:r>
      <w:proofErr w:type="gramEnd"/>
    </w:p>
    <w:p w:rsidR="00CE373C" w:rsidRDefault="00CE373C" w:rsidP="00CE373C">
      <w:pPr>
        <w:pStyle w:val="Textoindependiente21"/>
        <w:tabs>
          <w:tab w:val="clear" w:pos="-720"/>
          <w:tab w:val="left" w:pos="0"/>
        </w:tabs>
        <w:suppressAutoHyphens w:val="0"/>
        <w:spacing w:line="360" w:lineRule="auto"/>
        <w:jc w:val="left"/>
        <w:rPr>
          <w:rFonts w:ascii="Arial" w:hAnsi="Arial" w:cs="Arial"/>
          <w:snapToGrid w:val="0"/>
        </w:rPr>
      </w:pPr>
    </w:p>
    <w:p w:rsidR="001227FE" w:rsidRPr="00E323CA" w:rsidRDefault="001227FE" w:rsidP="00CE373C">
      <w:pPr>
        <w:pStyle w:val="Textoindependiente21"/>
        <w:tabs>
          <w:tab w:val="clear" w:pos="-720"/>
          <w:tab w:val="left" w:pos="0"/>
        </w:tabs>
        <w:suppressAutoHyphens w:val="0"/>
        <w:spacing w:line="360" w:lineRule="auto"/>
        <w:jc w:val="left"/>
        <w:rPr>
          <w:rFonts w:ascii="Arial" w:hAnsi="Arial" w:cs="Arial"/>
          <w:snapToGrid w:val="0"/>
        </w:rPr>
      </w:pPr>
    </w:p>
    <w:p w:rsidR="00CE373C" w:rsidRPr="00E323CA" w:rsidRDefault="00CE373C" w:rsidP="003D1B10">
      <w:pPr>
        <w:pStyle w:val="Textoindependiente3"/>
        <w:spacing w:line="360" w:lineRule="auto"/>
        <w:jc w:val="right"/>
        <w:rPr>
          <w:color w:val="000000"/>
        </w:rPr>
      </w:pPr>
      <w:r w:rsidRPr="00E323CA">
        <w:t xml:space="preserve">Montevideo, </w:t>
      </w:r>
      <w:r>
        <w:t>27 de noviembre de 2015</w:t>
      </w:r>
    </w:p>
    <w:p w:rsidR="00CE373C" w:rsidRPr="00E323CA" w:rsidRDefault="00CE373C" w:rsidP="003D1B10">
      <w:pPr>
        <w:widowControl w:val="0"/>
        <w:spacing w:line="360" w:lineRule="auto"/>
        <w:jc w:val="both"/>
        <w:rPr>
          <w:rFonts w:cs="Arial"/>
          <w:color w:val="000000"/>
        </w:rPr>
      </w:pPr>
    </w:p>
    <w:p w:rsidR="00CE373C" w:rsidRPr="002E3D37" w:rsidRDefault="00CE373C">
      <w:pPr>
        <w:suppressAutoHyphens/>
        <w:spacing w:line="360" w:lineRule="auto"/>
        <w:jc w:val="both"/>
        <w:rPr>
          <w:rFonts w:cs="Arial"/>
          <w:spacing w:val="-3"/>
          <w:lang w:val="es-ES_tradnl"/>
        </w:rPr>
      </w:pPr>
      <w:r>
        <w:rPr>
          <w:rFonts w:cs="Arial"/>
          <w:spacing w:val="-3"/>
          <w:lang w:val="es-ES_tradnl"/>
        </w:rPr>
        <w:t>Señor</w:t>
      </w:r>
    </w:p>
    <w:p w:rsidR="00CE373C" w:rsidRPr="002E3D37" w:rsidRDefault="00CE373C">
      <w:pPr>
        <w:suppressAutoHyphens/>
        <w:spacing w:line="360" w:lineRule="auto"/>
        <w:jc w:val="both"/>
        <w:rPr>
          <w:rFonts w:cs="Arial"/>
          <w:spacing w:val="-3"/>
          <w:lang w:val="es-ES_tradnl"/>
        </w:rPr>
      </w:pPr>
      <w:r>
        <w:rPr>
          <w:rFonts w:cs="Arial"/>
          <w:spacing w:val="-3"/>
          <w:lang w:val="es-ES_tradnl"/>
        </w:rPr>
        <w:t>Presidente</w:t>
      </w:r>
      <w:r w:rsidRPr="002E3D37">
        <w:rPr>
          <w:rFonts w:cs="Arial"/>
          <w:spacing w:val="-3"/>
          <w:lang w:val="es-ES_tradnl"/>
        </w:rPr>
        <w:t xml:space="preserve"> del</w:t>
      </w:r>
    </w:p>
    <w:p w:rsidR="00CE373C" w:rsidRPr="002E3D37" w:rsidRDefault="00CE373C">
      <w:pPr>
        <w:suppressAutoHyphens/>
        <w:spacing w:line="360" w:lineRule="auto"/>
        <w:jc w:val="both"/>
        <w:rPr>
          <w:rFonts w:cs="Arial"/>
          <w:spacing w:val="-3"/>
          <w:lang w:val="es-ES_tradnl"/>
        </w:rPr>
      </w:pPr>
      <w:r w:rsidRPr="002E3D37">
        <w:rPr>
          <w:rFonts w:cs="Arial"/>
          <w:spacing w:val="-3"/>
          <w:lang w:val="es-ES_tradnl"/>
        </w:rPr>
        <w:t>Servicio Oficial de Difusión,</w:t>
      </w:r>
    </w:p>
    <w:p w:rsidR="00CE373C" w:rsidRPr="002E3D37" w:rsidRDefault="00CE373C">
      <w:pPr>
        <w:suppressAutoHyphens/>
        <w:spacing w:line="360" w:lineRule="auto"/>
        <w:jc w:val="both"/>
        <w:rPr>
          <w:rFonts w:cs="Arial"/>
          <w:spacing w:val="-3"/>
          <w:lang w:val="es-ES_tradnl"/>
        </w:rPr>
      </w:pPr>
      <w:r w:rsidRPr="002E3D37">
        <w:rPr>
          <w:rFonts w:cs="Arial"/>
          <w:spacing w:val="-3"/>
          <w:lang w:val="es-ES_tradnl"/>
        </w:rPr>
        <w:t>Radiotelevisión y Espectáculos</w:t>
      </w:r>
    </w:p>
    <w:p w:rsidR="00CE373C" w:rsidRDefault="00CE373C" w:rsidP="003D1B10">
      <w:pPr>
        <w:pStyle w:val="Textoindependiente2"/>
        <w:widowControl w:val="0"/>
        <w:suppressAutoHyphens w:val="0"/>
        <w:jc w:val="left"/>
        <w:rPr>
          <w:b w:val="0"/>
          <w:bCs w:val="0"/>
        </w:rPr>
      </w:pPr>
      <w:r>
        <w:rPr>
          <w:b w:val="0"/>
          <w:bCs w:val="0"/>
        </w:rPr>
        <w:t xml:space="preserve">Jorge </w:t>
      </w:r>
      <w:proofErr w:type="spellStart"/>
      <w:r>
        <w:rPr>
          <w:b w:val="0"/>
          <w:bCs w:val="0"/>
        </w:rPr>
        <w:t>Orrico</w:t>
      </w:r>
      <w:proofErr w:type="spellEnd"/>
    </w:p>
    <w:p w:rsidR="00CE373C" w:rsidRPr="00E323CA" w:rsidRDefault="00CE373C" w:rsidP="003D1B10">
      <w:pPr>
        <w:widowControl w:val="0"/>
        <w:spacing w:line="360" w:lineRule="auto"/>
        <w:jc w:val="both"/>
        <w:rPr>
          <w:rFonts w:cs="Arial"/>
          <w:b/>
          <w:color w:val="000000"/>
        </w:rPr>
      </w:pPr>
      <w:r w:rsidRPr="00E323CA">
        <w:rPr>
          <w:rFonts w:cs="Arial"/>
          <w:color w:val="000000"/>
        </w:rPr>
        <w:tab/>
      </w:r>
      <w:r w:rsidRPr="00E323CA">
        <w:rPr>
          <w:rFonts w:cs="Arial"/>
          <w:color w:val="000000"/>
        </w:rPr>
        <w:tab/>
      </w:r>
      <w:r w:rsidRPr="00E323CA">
        <w:rPr>
          <w:rFonts w:cs="Arial"/>
          <w:color w:val="000000"/>
        </w:rPr>
        <w:tab/>
      </w:r>
      <w:r w:rsidRPr="00E323CA">
        <w:rPr>
          <w:rFonts w:cs="Arial"/>
          <w:color w:val="000000"/>
        </w:rPr>
        <w:tab/>
      </w:r>
      <w:r w:rsidRPr="00E323CA">
        <w:rPr>
          <w:rFonts w:cs="Arial"/>
          <w:b/>
          <w:color w:val="000000"/>
        </w:rPr>
        <w:tab/>
      </w:r>
    </w:p>
    <w:p w:rsidR="00CE373C" w:rsidRDefault="00CE373C" w:rsidP="003D1B10">
      <w:pPr>
        <w:widowControl w:val="0"/>
        <w:spacing w:line="360" w:lineRule="auto"/>
        <w:jc w:val="right"/>
        <w:rPr>
          <w:rFonts w:cs="Arial"/>
          <w:color w:val="000000"/>
        </w:rPr>
      </w:pPr>
      <w:r>
        <w:rPr>
          <w:rFonts w:cs="Arial"/>
          <w:color w:val="000000"/>
        </w:rPr>
        <w:t>E.E. 2015-17-1-0003430</w:t>
      </w:r>
    </w:p>
    <w:p w:rsidR="00CE373C" w:rsidRDefault="00CE373C" w:rsidP="003D1B10">
      <w:pPr>
        <w:widowControl w:val="0"/>
        <w:spacing w:line="360" w:lineRule="auto"/>
        <w:jc w:val="right"/>
        <w:rPr>
          <w:rFonts w:cs="Arial"/>
          <w:color w:val="000000"/>
        </w:rPr>
      </w:pPr>
      <w:r>
        <w:rPr>
          <w:rFonts w:cs="Arial"/>
          <w:color w:val="000000"/>
        </w:rPr>
        <w:t>Entrada 2805/15</w:t>
      </w:r>
    </w:p>
    <w:p w:rsidR="00CE373C" w:rsidRDefault="00CE373C" w:rsidP="003D1B10">
      <w:pPr>
        <w:widowControl w:val="0"/>
        <w:spacing w:line="360" w:lineRule="auto"/>
        <w:jc w:val="right"/>
        <w:rPr>
          <w:rFonts w:cs="Arial"/>
          <w:color w:val="000000"/>
        </w:rPr>
      </w:pPr>
      <w:r>
        <w:rPr>
          <w:rFonts w:cs="Arial"/>
          <w:color w:val="000000"/>
        </w:rPr>
        <w:t>Oficio 9388/15</w:t>
      </w:r>
    </w:p>
    <w:p w:rsidR="001227FE" w:rsidRDefault="001227FE" w:rsidP="003D1B10">
      <w:pPr>
        <w:widowControl w:val="0"/>
        <w:spacing w:line="360" w:lineRule="auto"/>
        <w:jc w:val="right"/>
        <w:rPr>
          <w:rFonts w:cs="Arial"/>
          <w:color w:val="000000"/>
        </w:rPr>
      </w:pPr>
    </w:p>
    <w:p w:rsidR="00CE373C" w:rsidRPr="00E323CA" w:rsidRDefault="00CE373C" w:rsidP="003D1B10">
      <w:pPr>
        <w:widowControl w:val="0"/>
        <w:spacing w:line="360" w:lineRule="auto"/>
        <w:ind w:firstLine="851"/>
        <w:jc w:val="both"/>
        <w:rPr>
          <w:bCs/>
          <w:spacing w:val="-3"/>
          <w:lang w:val="es-UY"/>
        </w:rPr>
      </w:pPr>
      <w:r w:rsidRPr="00E323CA">
        <w:t>El Tribunal de Cuentas, en oportunidad de auditar la Rendición de Cuentas y Balance de Ejecución Presupuestal del Ejercicio 201</w:t>
      </w:r>
      <w:r>
        <w:t>4</w:t>
      </w:r>
      <w:r w:rsidRPr="00E323CA">
        <w:t xml:space="preserve"> del Instituto Nacional de Colonización (INC) </w:t>
      </w:r>
      <w:r>
        <w:t>constató</w:t>
      </w:r>
      <w:r w:rsidRPr="00E323CA">
        <w:t xml:space="preserve"> que </w:t>
      </w:r>
      <w:r>
        <w:rPr>
          <w:bCs/>
          <w:spacing w:val="-3"/>
          <w:lang w:val="es-UY"/>
        </w:rPr>
        <w:t>durante el referido E</w:t>
      </w:r>
      <w:r w:rsidRPr="00E323CA">
        <w:rPr>
          <w:bCs/>
          <w:spacing w:val="-3"/>
          <w:lang w:val="es-UY"/>
        </w:rPr>
        <w:t xml:space="preserve">jercicio el INC  no contrató </w:t>
      </w:r>
      <w:r w:rsidRPr="00E323CA">
        <w:rPr>
          <w:rFonts w:cs="Arial"/>
          <w:lang w:val="es-UY"/>
        </w:rPr>
        <w:t xml:space="preserve">pautas publicitarias. </w:t>
      </w:r>
    </w:p>
    <w:p w:rsidR="00CE373C" w:rsidRDefault="00CE373C" w:rsidP="003D1B10">
      <w:pPr>
        <w:widowControl w:val="0"/>
        <w:spacing w:line="360" w:lineRule="auto"/>
        <w:ind w:firstLine="708"/>
        <w:jc w:val="right"/>
        <w:rPr>
          <w:rFonts w:cs="Arial"/>
          <w:lang w:val="es-UY"/>
        </w:rPr>
      </w:pPr>
      <w:r>
        <w:rPr>
          <w:rFonts w:cs="Arial"/>
          <w:lang w:val="es-UY"/>
        </w:rPr>
        <w:t>Saludamos a Usted</w:t>
      </w:r>
      <w:r w:rsidR="001227FE">
        <w:rPr>
          <w:rFonts w:cs="Arial"/>
          <w:lang w:val="es-UY"/>
        </w:rPr>
        <w:t xml:space="preserve"> atentamente</w:t>
      </w:r>
    </w:p>
    <w:p w:rsidR="00CE373C" w:rsidRDefault="00CE373C" w:rsidP="003D1B10">
      <w:pPr>
        <w:pStyle w:val="Textoindependiente3"/>
        <w:spacing w:line="360" w:lineRule="auto"/>
        <w:jc w:val="right"/>
        <w:rPr>
          <w:lang w:val="es-UY"/>
        </w:rPr>
      </w:pPr>
    </w:p>
    <w:p w:rsidR="00CE373C" w:rsidRDefault="00CE373C" w:rsidP="003D1B10">
      <w:pPr>
        <w:pStyle w:val="Textoindependiente3"/>
        <w:spacing w:line="360" w:lineRule="auto"/>
        <w:ind w:firstLine="708"/>
      </w:pPr>
      <w:r>
        <w:tab/>
        <w:t xml:space="preserve"> </w:t>
      </w:r>
    </w:p>
    <w:p w:rsidR="00CE373C" w:rsidRDefault="00CE373C" w:rsidP="001227FE">
      <w:pPr>
        <w:ind w:hanging="426"/>
        <w:jc w:val="both"/>
      </w:pPr>
      <w:proofErr w:type="gramStart"/>
      <w:r>
        <w:t>dc</w:t>
      </w:r>
      <w:proofErr w:type="gramEnd"/>
    </w:p>
    <w:sectPr w:rsidR="00CE373C" w:rsidSect="00427FBA">
      <w:pgSz w:w="11906" w:h="16838" w:code="9"/>
      <w:pgMar w:top="3402" w:right="1701" w:bottom="1701" w:left="1701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2650B"/>
    <w:multiLevelType w:val="multilevel"/>
    <w:tmpl w:val="09A2DFD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26E6543"/>
    <w:multiLevelType w:val="hybridMultilevel"/>
    <w:tmpl w:val="A6CC5D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ED0468CE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CC6"/>
    <w:rsid w:val="001227FE"/>
    <w:rsid w:val="00317CC6"/>
    <w:rsid w:val="00330727"/>
    <w:rsid w:val="003D1B10"/>
    <w:rsid w:val="00427FBA"/>
    <w:rsid w:val="00654CD6"/>
    <w:rsid w:val="006F489E"/>
    <w:rsid w:val="009D365A"/>
    <w:rsid w:val="00C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CE373C"/>
    <w:pPr>
      <w:keepNext/>
      <w:widowControl w:val="0"/>
      <w:tabs>
        <w:tab w:val="center" w:pos="4478"/>
      </w:tabs>
      <w:suppressAutoHyphens/>
      <w:spacing w:line="360" w:lineRule="auto"/>
      <w:jc w:val="center"/>
      <w:outlineLvl w:val="4"/>
    </w:pPr>
    <w:rPr>
      <w:rFonts w:ascii="Bookman Old Style" w:hAnsi="Bookman Old Style"/>
      <w:b/>
      <w:bCs/>
      <w:spacing w:val="-3"/>
      <w:szCs w:val="20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rsid w:val="00CE373C"/>
    <w:pPr>
      <w:widowControl w:val="0"/>
      <w:tabs>
        <w:tab w:val="left" w:pos="-720"/>
      </w:tabs>
      <w:suppressAutoHyphens/>
      <w:jc w:val="both"/>
    </w:pPr>
    <w:rPr>
      <w:rFonts w:ascii="Bookman Old Style" w:hAnsi="Bookman Old Style"/>
      <w:spacing w:val="-3"/>
      <w:szCs w:val="20"/>
      <w:lang w:val="es-UY"/>
    </w:rPr>
  </w:style>
  <w:style w:type="paragraph" w:styleId="Ttulo">
    <w:name w:val="Title"/>
    <w:basedOn w:val="Normal"/>
    <w:link w:val="TtuloCar"/>
    <w:qFormat/>
    <w:rsid w:val="00CE373C"/>
    <w:pPr>
      <w:spacing w:line="360" w:lineRule="auto"/>
      <w:jc w:val="center"/>
    </w:pPr>
    <w:rPr>
      <w:rFonts w:cs="Arial"/>
      <w:b/>
      <w:bCs/>
      <w:color w:val="993366"/>
      <w:szCs w:val="20"/>
    </w:rPr>
  </w:style>
  <w:style w:type="character" w:customStyle="1" w:styleId="TtuloCar">
    <w:name w:val="Título Car"/>
    <w:basedOn w:val="Fuentedeprrafopredeter"/>
    <w:link w:val="Ttulo"/>
    <w:rsid w:val="00CE373C"/>
    <w:rPr>
      <w:rFonts w:ascii="Arial" w:hAnsi="Arial" w:cs="Arial"/>
      <w:b/>
      <w:bCs/>
      <w:color w:val="993366"/>
      <w:sz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CE373C"/>
    <w:pPr>
      <w:jc w:val="both"/>
    </w:pPr>
    <w:rPr>
      <w:rFonts w:cs="Arial"/>
      <w:bCs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CE373C"/>
    <w:rPr>
      <w:rFonts w:ascii="Arial" w:hAnsi="Arial" w:cs="Arial"/>
      <w:bCs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CE373C"/>
    <w:pPr>
      <w:tabs>
        <w:tab w:val="left" w:pos="-720"/>
      </w:tabs>
      <w:suppressAutoHyphens/>
      <w:spacing w:line="360" w:lineRule="auto"/>
      <w:jc w:val="both"/>
    </w:pPr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rsid w:val="00CE373C"/>
    <w:rPr>
      <w:rFonts w:ascii="Arial" w:hAnsi="Arial"/>
      <w:b/>
      <w:bCs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E373C"/>
    <w:rPr>
      <w:rFonts w:ascii="Bookman Old Style" w:hAnsi="Bookman Old Style"/>
      <w:b/>
      <w:bCs/>
      <w:spacing w:val="-3"/>
      <w:sz w:val="24"/>
      <w:lang w:val="es-UY" w:eastAsia="es-ES"/>
    </w:rPr>
  </w:style>
  <w:style w:type="paragraph" w:styleId="Textoindependiente">
    <w:name w:val="Body Text"/>
    <w:basedOn w:val="Normal"/>
    <w:link w:val="TextoindependienteCar"/>
    <w:rsid w:val="00CE373C"/>
    <w:pPr>
      <w:spacing w:line="360" w:lineRule="auto"/>
      <w:jc w:val="both"/>
    </w:pPr>
    <w:rPr>
      <w:rFonts w:ascii="Bookman Old Style" w:hAnsi="Bookman Old Style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E373C"/>
    <w:rPr>
      <w:rFonts w:ascii="Bookman Old Style" w:hAnsi="Bookman Old Style"/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CE373C"/>
    <w:pPr>
      <w:keepNext/>
      <w:widowControl w:val="0"/>
      <w:tabs>
        <w:tab w:val="center" w:pos="4478"/>
      </w:tabs>
      <w:suppressAutoHyphens/>
      <w:spacing w:line="360" w:lineRule="auto"/>
      <w:jc w:val="center"/>
      <w:outlineLvl w:val="4"/>
    </w:pPr>
    <w:rPr>
      <w:rFonts w:ascii="Bookman Old Style" w:hAnsi="Bookman Old Style"/>
      <w:b/>
      <w:bCs/>
      <w:spacing w:val="-3"/>
      <w:szCs w:val="20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rsid w:val="00CE373C"/>
    <w:pPr>
      <w:widowControl w:val="0"/>
      <w:tabs>
        <w:tab w:val="left" w:pos="-720"/>
      </w:tabs>
      <w:suppressAutoHyphens/>
      <w:jc w:val="both"/>
    </w:pPr>
    <w:rPr>
      <w:rFonts w:ascii="Bookman Old Style" w:hAnsi="Bookman Old Style"/>
      <w:spacing w:val="-3"/>
      <w:szCs w:val="20"/>
      <w:lang w:val="es-UY"/>
    </w:rPr>
  </w:style>
  <w:style w:type="paragraph" w:styleId="Ttulo">
    <w:name w:val="Title"/>
    <w:basedOn w:val="Normal"/>
    <w:link w:val="TtuloCar"/>
    <w:qFormat/>
    <w:rsid w:val="00CE373C"/>
    <w:pPr>
      <w:spacing w:line="360" w:lineRule="auto"/>
      <w:jc w:val="center"/>
    </w:pPr>
    <w:rPr>
      <w:rFonts w:cs="Arial"/>
      <w:b/>
      <w:bCs/>
      <w:color w:val="993366"/>
      <w:szCs w:val="20"/>
    </w:rPr>
  </w:style>
  <w:style w:type="character" w:customStyle="1" w:styleId="TtuloCar">
    <w:name w:val="Título Car"/>
    <w:basedOn w:val="Fuentedeprrafopredeter"/>
    <w:link w:val="Ttulo"/>
    <w:rsid w:val="00CE373C"/>
    <w:rPr>
      <w:rFonts w:ascii="Arial" w:hAnsi="Arial" w:cs="Arial"/>
      <w:b/>
      <w:bCs/>
      <w:color w:val="993366"/>
      <w:sz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CE373C"/>
    <w:pPr>
      <w:jc w:val="both"/>
    </w:pPr>
    <w:rPr>
      <w:rFonts w:cs="Arial"/>
      <w:bCs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CE373C"/>
    <w:rPr>
      <w:rFonts w:ascii="Arial" w:hAnsi="Arial" w:cs="Arial"/>
      <w:bCs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CE373C"/>
    <w:pPr>
      <w:tabs>
        <w:tab w:val="left" w:pos="-720"/>
      </w:tabs>
      <w:suppressAutoHyphens/>
      <w:spacing w:line="360" w:lineRule="auto"/>
      <w:jc w:val="both"/>
    </w:pPr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rsid w:val="00CE373C"/>
    <w:rPr>
      <w:rFonts w:ascii="Arial" w:hAnsi="Arial"/>
      <w:b/>
      <w:bCs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E373C"/>
    <w:rPr>
      <w:rFonts w:ascii="Bookman Old Style" w:hAnsi="Bookman Old Style"/>
      <w:b/>
      <w:bCs/>
      <w:spacing w:val="-3"/>
      <w:sz w:val="24"/>
      <w:lang w:val="es-UY" w:eastAsia="es-ES"/>
    </w:rPr>
  </w:style>
  <w:style w:type="paragraph" w:styleId="Textoindependiente">
    <w:name w:val="Body Text"/>
    <w:basedOn w:val="Normal"/>
    <w:link w:val="TextoindependienteCar"/>
    <w:rsid w:val="00CE373C"/>
    <w:pPr>
      <w:spacing w:line="360" w:lineRule="auto"/>
      <w:jc w:val="both"/>
    </w:pPr>
    <w:rPr>
      <w:rFonts w:ascii="Bookman Old Style" w:hAnsi="Bookman Old Style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E373C"/>
    <w:rPr>
      <w:rFonts w:ascii="Bookman Old Style" w:hAnsi="Bookman Old Style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1314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 </cp:lastModifiedBy>
  <cp:revision>4</cp:revision>
  <cp:lastPrinted>2016-01-04T14:17:00Z</cp:lastPrinted>
  <dcterms:created xsi:type="dcterms:W3CDTF">2015-11-27T17:16:00Z</dcterms:created>
  <dcterms:modified xsi:type="dcterms:W3CDTF">2016-01-04T15:06:00Z</dcterms:modified>
</cp:coreProperties>
</file>