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4A" w:rsidRDefault="00814F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14F4A" w:rsidRDefault="00814F4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14F4A" w:rsidRDefault="00814F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14F4A" w:rsidRDefault="00814F4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14F4A" w:rsidRDefault="00814F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DE NOVIEMBRE  DE 2015</w:t>
      </w:r>
    </w:p>
    <w:p w:rsidR="00814F4A" w:rsidRDefault="00814F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14F4A" w:rsidRDefault="00814F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2015-17-1-0007773, </w:t>
      </w:r>
      <w:proofErr w:type="gramStart"/>
      <w:r>
        <w:rPr>
          <w:rFonts w:ascii="Helvetica" w:hAnsi="Helvetica"/>
          <w:b/>
          <w:lang w:val="en-US"/>
        </w:rPr>
        <w:t>Ent</w:t>
      </w:r>
      <w:proofErr w:type="gramEnd"/>
      <w:r>
        <w:rPr>
          <w:rFonts w:ascii="Helvetica" w:hAnsi="Helvetica"/>
          <w:b/>
          <w:lang w:val="en-US"/>
        </w:rPr>
        <w:t>. N° 6124/15)</w:t>
      </w:r>
    </w:p>
    <w:p w:rsidR="00814F4A" w:rsidRDefault="00814F4A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8275D1" w:rsidRDefault="008275D1" w:rsidP="008275D1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814F4A" w:rsidRDefault="008275D1" w:rsidP="00814F4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los antecedentes remitidos por Nota de fecha 05/11/2015 por la Contadora</w:t>
      </w:r>
      <w:r w:rsidR="00814F4A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Delegada en la Agencia Nacional de Vivienda (ANV) referentes a gastos observados</w:t>
      </w:r>
      <w:r w:rsidR="00814F4A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y reiterados en el mes de julio 2015;</w:t>
      </w:r>
    </w:p>
    <w:p w:rsidR="008275D1" w:rsidRDefault="008275D1" w:rsidP="00814F4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la Contadora Delegada observó un gasto por falta de</w:t>
      </w:r>
      <w:r w:rsidR="00814F4A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disponibi</w:t>
      </w:r>
      <w:r w:rsidR="00814F4A">
        <w:rPr>
          <w:rFonts w:ascii="LiberationSans-Regular" w:hAnsi="LiberationSans-Regular" w:cs="LiberationSans-Regular"/>
          <w:color w:val="000000"/>
          <w:lang w:val="es-AR" w:eastAsia="es-AR"/>
        </w:rPr>
        <w:t>lidad presupuestal de acuerdo con el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siguiente detalle:</w:t>
      </w:r>
    </w:p>
    <w:p w:rsidR="008275D1" w:rsidRPr="00814F4A" w:rsidRDefault="008275D1" w:rsidP="00814F4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color w:val="000000"/>
          <w:lang w:val="es-AR" w:eastAsia="es-AR"/>
        </w:rPr>
      </w:pPr>
      <w:r w:rsidRPr="00814F4A">
        <w:rPr>
          <w:rFonts w:cs="Arial"/>
          <w:b/>
          <w:color w:val="000000"/>
          <w:lang w:val="es-AR" w:eastAsia="es-AR"/>
        </w:rPr>
        <w:t xml:space="preserve">Normativa </w:t>
      </w:r>
      <w:r w:rsidR="00814F4A">
        <w:rPr>
          <w:rFonts w:cs="Arial"/>
          <w:b/>
          <w:color w:val="000000"/>
          <w:lang w:val="es-AR" w:eastAsia="es-AR"/>
        </w:rPr>
        <w:t xml:space="preserve">                                           </w:t>
      </w:r>
      <w:r w:rsidRPr="00814F4A">
        <w:rPr>
          <w:rFonts w:cs="Arial"/>
          <w:b/>
          <w:color w:val="000000"/>
          <w:lang w:val="es-AR" w:eastAsia="es-AR"/>
        </w:rPr>
        <w:t xml:space="preserve">Concepto </w:t>
      </w:r>
      <w:r w:rsidR="00814F4A">
        <w:rPr>
          <w:rFonts w:cs="Arial"/>
          <w:b/>
          <w:color w:val="000000"/>
          <w:lang w:val="es-AR" w:eastAsia="es-AR"/>
        </w:rPr>
        <w:t xml:space="preserve">                 </w:t>
      </w:r>
      <w:r w:rsidRPr="00814F4A">
        <w:rPr>
          <w:rFonts w:cs="Arial"/>
          <w:b/>
          <w:color w:val="000000"/>
          <w:lang w:val="es-AR" w:eastAsia="es-AR"/>
        </w:rPr>
        <w:t xml:space="preserve">Grupo </w:t>
      </w:r>
      <w:r w:rsidR="00814F4A">
        <w:rPr>
          <w:rFonts w:cs="Arial"/>
          <w:b/>
          <w:color w:val="000000"/>
          <w:lang w:val="es-AR" w:eastAsia="es-AR"/>
        </w:rPr>
        <w:t xml:space="preserve">   </w:t>
      </w:r>
      <w:r w:rsidRPr="00814F4A">
        <w:rPr>
          <w:rFonts w:cs="Arial"/>
          <w:b/>
          <w:color w:val="000000"/>
          <w:lang w:val="es-AR" w:eastAsia="es-AR"/>
        </w:rPr>
        <w:t>Importe $</w:t>
      </w:r>
    </w:p>
    <w:p w:rsidR="008275D1" w:rsidRPr="00814F4A" w:rsidRDefault="008275D1" w:rsidP="00814F4A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AR" w:eastAsia="es-AR"/>
        </w:rPr>
      </w:pPr>
      <w:r w:rsidRPr="00814F4A">
        <w:rPr>
          <w:rFonts w:cs="Arial"/>
          <w:color w:val="000000"/>
          <w:lang w:val="es-AR" w:eastAsia="es-AR"/>
        </w:rPr>
        <w:t xml:space="preserve">Art. 15 TOCAF </w:t>
      </w:r>
      <w:r w:rsidR="00814F4A">
        <w:rPr>
          <w:rFonts w:cs="Arial"/>
          <w:color w:val="000000"/>
          <w:lang w:val="es-AR" w:eastAsia="es-AR"/>
        </w:rPr>
        <w:t xml:space="preserve">                         </w:t>
      </w:r>
      <w:r w:rsidRPr="00814F4A">
        <w:rPr>
          <w:rFonts w:cs="Arial"/>
          <w:color w:val="000000"/>
          <w:lang w:val="es-AR" w:eastAsia="es-AR"/>
        </w:rPr>
        <w:t>Salario vacacional ex.</w:t>
      </w:r>
    </w:p>
    <w:p w:rsidR="008275D1" w:rsidRPr="00814F4A" w:rsidRDefault="00814F4A" w:rsidP="00814F4A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AR" w:eastAsia="es-AR"/>
        </w:rPr>
      </w:pPr>
      <w:r>
        <w:rPr>
          <w:rFonts w:cs="Arial"/>
          <w:color w:val="000000"/>
          <w:lang w:val="es-AR" w:eastAsia="es-AR"/>
        </w:rPr>
        <w:t xml:space="preserve">                                                  </w:t>
      </w:r>
      <w:proofErr w:type="spellStart"/>
      <w:r w:rsidR="008275D1" w:rsidRPr="00814F4A">
        <w:rPr>
          <w:rFonts w:cs="Arial"/>
          <w:color w:val="000000"/>
          <w:lang w:val="es-AR" w:eastAsia="es-AR"/>
        </w:rPr>
        <w:t>Func</w:t>
      </w:r>
      <w:proofErr w:type="spellEnd"/>
      <w:r w:rsidR="008275D1" w:rsidRPr="00814F4A">
        <w:rPr>
          <w:rFonts w:cs="Arial"/>
          <w:color w:val="000000"/>
          <w:lang w:val="es-AR" w:eastAsia="es-AR"/>
        </w:rPr>
        <w:t xml:space="preserve">. BHU </w:t>
      </w:r>
      <w:r>
        <w:rPr>
          <w:rFonts w:cs="Arial"/>
          <w:color w:val="000000"/>
          <w:lang w:val="es-AR" w:eastAsia="es-AR"/>
        </w:rPr>
        <w:t xml:space="preserve">                                </w:t>
      </w:r>
      <w:r w:rsidR="008275D1" w:rsidRPr="00814F4A">
        <w:rPr>
          <w:rFonts w:cs="Arial"/>
          <w:color w:val="000000"/>
          <w:lang w:val="es-AR" w:eastAsia="es-AR"/>
        </w:rPr>
        <w:t>0</w:t>
      </w:r>
      <w:r>
        <w:rPr>
          <w:rFonts w:cs="Arial"/>
          <w:color w:val="000000"/>
          <w:lang w:val="es-AR" w:eastAsia="es-AR"/>
        </w:rPr>
        <w:t xml:space="preserve">           </w:t>
      </w:r>
      <w:r w:rsidR="008275D1" w:rsidRPr="00814F4A">
        <w:rPr>
          <w:rFonts w:cs="Arial"/>
          <w:color w:val="000000"/>
          <w:lang w:val="es-AR" w:eastAsia="es-AR"/>
        </w:rPr>
        <w:t>75.807</w:t>
      </w:r>
    </w:p>
    <w:p w:rsidR="00DC42B3" w:rsidRDefault="00DC42B3" w:rsidP="00814F4A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8275D1" w:rsidRDefault="008275D1" w:rsidP="00DC42B3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2) 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>que en la R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esolución de reiteración se establecen los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fundamentos de la misma;</w:t>
      </w:r>
    </w:p>
    <w:p w:rsidR="00DC42B3" w:rsidRDefault="008275D1" w:rsidP="00DC42B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el Artículo 475 de la Ley Nº 17.296 de 21/02/2001establece que los Ordenadores de gastos y pagos, al ejercer la facultad de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insistencia o reiteración que les acuerda el Literal B) del Artículo 211 de la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Constitución de la República, deben hacerlo en forma fundada, expresando de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manera detallada los motivos que justifican a su juicio seguir el curso del gasto o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pago;</w:t>
      </w:r>
    </w:p>
    <w:p w:rsidR="008275D1" w:rsidRDefault="008275D1" w:rsidP="00DC42B3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l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>os fundamentos expuestos en la R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esolución de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reiteración no ameritan el levantamiento de la observación;</w:t>
      </w:r>
    </w:p>
    <w:p w:rsidR="008275D1" w:rsidRDefault="008275D1" w:rsidP="00DC42B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ATENTO: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a lo expuesto precedentemente y a lo establecido por el Artículo 211Literal B) de la Constitución de la República;</w:t>
      </w:r>
    </w:p>
    <w:p w:rsidR="00DC42B3" w:rsidRDefault="00DC42B3" w:rsidP="00DC42B3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8275D1" w:rsidRDefault="008275D1" w:rsidP="00DC42B3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  <w:bookmarkStart w:id="0" w:name="_GoBack"/>
      <w:bookmarkEnd w:id="0"/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lastRenderedPageBreak/>
        <w:t>EL TRIBUNAL ACUERDA</w:t>
      </w:r>
    </w:p>
    <w:p w:rsidR="008275D1" w:rsidRDefault="008275D1" w:rsidP="00DC42B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Ratificar la observación formulada por la Contadora Delegada en la Agencia</w:t>
      </w:r>
      <w:r w:rsidR="00DC42B3"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Nacional de Vivienda;</w:t>
      </w:r>
    </w:p>
    <w:p w:rsidR="008275D1" w:rsidRDefault="008275D1" w:rsidP="00814F4A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Comunicar esta Resolución al Organismo y a la Contadora Delegada;</w:t>
      </w:r>
    </w:p>
    <w:p w:rsidR="008275D1" w:rsidRDefault="008275D1" w:rsidP="00814F4A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3)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Dar cuenta a la Asamblea General.</w:t>
      </w:r>
    </w:p>
    <w:p w:rsidR="00DC42B3" w:rsidRDefault="00DC42B3" w:rsidP="00814F4A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DC42B3" w:rsidRDefault="00DC42B3" w:rsidP="00814F4A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DC42B3" w:rsidRDefault="00DC42B3" w:rsidP="00814F4A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DC42B3" w:rsidRDefault="00DC42B3" w:rsidP="00814F4A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DC42B3" w:rsidRDefault="00DC42B3" w:rsidP="00DC42B3">
      <w:pPr>
        <w:autoSpaceDE w:val="0"/>
        <w:autoSpaceDN w:val="0"/>
        <w:adjustRightInd w:val="0"/>
        <w:spacing w:line="360" w:lineRule="auto"/>
        <w:ind w:hanging="426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color w:val="000000"/>
          <w:lang w:val="es-AR" w:eastAsia="es-AR"/>
        </w:rPr>
        <w:t>dc</w:t>
      </w:r>
      <w:proofErr w:type="gramEnd"/>
    </w:p>
    <w:sectPr w:rsidR="00DC42B3" w:rsidSect="00DC42B3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D1"/>
    <w:rsid w:val="00330727"/>
    <w:rsid w:val="00814F4A"/>
    <w:rsid w:val="008275D1"/>
    <w:rsid w:val="009D365A"/>
    <w:rsid w:val="00DC42B3"/>
    <w:rsid w:val="00F0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99CB-5472-4ADB-B04F-06CB5BD4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2015-11-25T16:29:00Z</cp:lastPrinted>
  <dcterms:created xsi:type="dcterms:W3CDTF">2015-11-25T16:29:00Z</dcterms:created>
  <dcterms:modified xsi:type="dcterms:W3CDTF">2015-11-25T16:29:00Z</dcterms:modified>
</cp:coreProperties>
</file>