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650" w:rsidRPr="00715650" w:rsidRDefault="00715650" w:rsidP="00715650">
      <w:pPr>
        <w:jc w:val="center"/>
        <w:rPr>
          <w:rFonts w:ascii="Arial" w:hAnsi="Arial"/>
        </w:rPr>
      </w:pPr>
      <w:bookmarkStart w:id="0" w:name="_GoBack"/>
      <w:bookmarkEnd w:id="0"/>
      <w:r w:rsidRPr="00715650">
        <w:rPr>
          <w:rFonts w:ascii="Arial" w:hAnsi="Arial" w:cs="Arial"/>
          <w:b/>
          <w:lang w:val="es-ES_tradnl"/>
        </w:rPr>
        <w:t>RESOLUCION ADOPTADA POR EL</w:t>
      </w:r>
    </w:p>
    <w:p w:rsidR="00715650" w:rsidRPr="00715650" w:rsidRDefault="00715650" w:rsidP="00715650">
      <w:pPr>
        <w:tabs>
          <w:tab w:val="left" w:pos="-720"/>
        </w:tabs>
        <w:suppressAutoHyphens/>
        <w:jc w:val="center"/>
        <w:rPr>
          <w:rFonts w:ascii="Arial" w:hAnsi="Arial" w:cs="Arial"/>
          <w:b/>
          <w:lang w:val="es-ES_tradnl"/>
        </w:rPr>
      </w:pPr>
    </w:p>
    <w:p w:rsidR="00715650" w:rsidRPr="00715650" w:rsidRDefault="00715650" w:rsidP="00715650">
      <w:pPr>
        <w:tabs>
          <w:tab w:val="center" w:pos="4253"/>
        </w:tabs>
        <w:suppressAutoHyphens/>
        <w:jc w:val="center"/>
        <w:rPr>
          <w:rFonts w:ascii="Arial" w:hAnsi="Arial" w:cs="Arial"/>
          <w:b/>
          <w:lang w:val="es-ES_tradnl"/>
        </w:rPr>
      </w:pPr>
      <w:r w:rsidRPr="00715650">
        <w:rPr>
          <w:rFonts w:ascii="Arial" w:hAnsi="Arial" w:cs="Arial"/>
          <w:b/>
          <w:lang w:val="es-ES_tradnl"/>
        </w:rPr>
        <w:t>TRIBUNAL DE CUENTAS</w:t>
      </w:r>
    </w:p>
    <w:p w:rsidR="00715650" w:rsidRPr="00715650" w:rsidRDefault="00715650" w:rsidP="00715650">
      <w:pPr>
        <w:tabs>
          <w:tab w:val="left" w:pos="-720"/>
        </w:tabs>
        <w:suppressAutoHyphens/>
        <w:jc w:val="center"/>
        <w:rPr>
          <w:rFonts w:ascii="Arial" w:hAnsi="Arial" w:cs="Arial"/>
          <w:b/>
          <w:lang w:val="es-ES_tradnl"/>
        </w:rPr>
      </w:pPr>
    </w:p>
    <w:p w:rsidR="00715650" w:rsidRPr="00715650" w:rsidRDefault="00715650" w:rsidP="00715650">
      <w:pPr>
        <w:tabs>
          <w:tab w:val="center" w:pos="4253"/>
        </w:tabs>
        <w:suppressAutoHyphens/>
        <w:jc w:val="center"/>
        <w:rPr>
          <w:rFonts w:ascii="Arial" w:hAnsi="Arial" w:cs="Arial"/>
          <w:b/>
          <w:lang w:val="es-ES_tradnl"/>
        </w:rPr>
      </w:pPr>
      <w:r w:rsidRPr="00715650">
        <w:rPr>
          <w:rFonts w:ascii="Arial" w:hAnsi="Arial" w:cs="Arial"/>
          <w:b/>
          <w:lang w:val="es-ES_tradnl"/>
        </w:rPr>
        <w:t>EN SESION DE FECHA 18 DE NOVIEMBRE DE 2015</w:t>
      </w:r>
    </w:p>
    <w:p w:rsidR="00715650" w:rsidRPr="00715650" w:rsidRDefault="00715650" w:rsidP="00715650">
      <w:pPr>
        <w:tabs>
          <w:tab w:val="center" w:pos="4253"/>
        </w:tabs>
        <w:suppressAutoHyphens/>
        <w:jc w:val="center"/>
        <w:rPr>
          <w:rFonts w:ascii="Arial" w:hAnsi="Arial" w:cs="Arial"/>
          <w:b/>
          <w:lang w:val="es-ES_tradnl"/>
        </w:rPr>
      </w:pPr>
    </w:p>
    <w:p w:rsidR="00715650" w:rsidRPr="00715650" w:rsidRDefault="00715650" w:rsidP="00715650">
      <w:pPr>
        <w:jc w:val="center"/>
        <w:rPr>
          <w:rFonts w:ascii="Arial" w:hAnsi="Arial" w:cs="Arial"/>
          <w:b/>
        </w:rPr>
      </w:pPr>
      <w:r w:rsidRPr="00715650">
        <w:rPr>
          <w:rFonts w:ascii="Arial" w:hAnsi="Arial" w:cs="Arial"/>
          <w:b/>
          <w:lang w:val="es-UY"/>
        </w:rPr>
        <w:t xml:space="preserve">(E. E. Nº </w:t>
      </w:r>
      <w:r w:rsidRPr="00715650">
        <w:rPr>
          <w:rFonts w:ascii="Arial" w:hAnsi="Arial" w:cs="Arial"/>
          <w:b/>
        </w:rPr>
        <w:t>2015-17-1-0002086</w:t>
      </w:r>
      <w:r w:rsidRPr="00715650">
        <w:rPr>
          <w:rFonts w:ascii="Arial" w:hAnsi="Arial" w:cs="Arial"/>
          <w:b/>
          <w:lang w:val="es-UY"/>
        </w:rPr>
        <w:t xml:space="preserve">, </w:t>
      </w:r>
      <w:proofErr w:type="spellStart"/>
      <w:r w:rsidRPr="00715650">
        <w:rPr>
          <w:rFonts w:ascii="Arial" w:hAnsi="Arial" w:cs="Arial"/>
          <w:b/>
          <w:lang w:val="es-UY"/>
        </w:rPr>
        <w:t>Ent</w:t>
      </w:r>
      <w:proofErr w:type="spellEnd"/>
      <w:r w:rsidRPr="00715650">
        <w:rPr>
          <w:rFonts w:ascii="Arial" w:hAnsi="Arial" w:cs="Arial"/>
          <w:b/>
          <w:lang w:val="es-UY"/>
        </w:rPr>
        <w:t>. N°</w:t>
      </w:r>
      <w:r w:rsidR="00EF1BF2">
        <w:rPr>
          <w:rFonts w:ascii="Arial" w:hAnsi="Arial" w:cs="Arial"/>
          <w:b/>
          <w:lang w:val="es-UY"/>
        </w:rPr>
        <w:t xml:space="preserve"> </w:t>
      </w:r>
      <w:r w:rsidRPr="00715650">
        <w:rPr>
          <w:rFonts w:ascii="Arial" w:hAnsi="Arial" w:cs="Arial"/>
          <w:b/>
        </w:rPr>
        <w:t>1723/15</w:t>
      </w:r>
      <w:r>
        <w:rPr>
          <w:rFonts w:ascii="Arial" w:hAnsi="Arial" w:cs="Arial"/>
          <w:b/>
        </w:rPr>
        <w:t>)</w:t>
      </w:r>
    </w:p>
    <w:p w:rsidR="00715650" w:rsidRPr="00715650" w:rsidRDefault="00715650">
      <w:pPr>
        <w:rPr>
          <w:lang w:val="es-UY"/>
        </w:rPr>
      </w:pPr>
    </w:p>
    <w:p w:rsidR="003D11FA" w:rsidRDefault="003D11FA" w:rsidP="00715650">
      <w:pPr>
        <w:spacing w:line="360" w:lineRule="auto"/>
        <w:ind w:firstLine="708"/>
        <w:jc w:val="center"/>
        <w:rPr>
          <w:rFonts w:ascii="Arial" w:hAnsi="Arial" w:cs="Arial"/>
          <w:b/>
        </w:rPr>
      </w:pPr>
    </w:p>
    <w:p w:rsidR="003D11FA" w:rsidRDefault="003D11FA" w:rsidP="0038721F">
      <w:pPr>
        <w:spacing w:line="360" w:lineRule="auto"/>
        <w:ind w:firstLine="851"/>
        <w:jc w:val="both"/>
        <w:rPr>
          <w:rFonts w:ascii="Arial" w:hAnsi="Arial" w:cs="Arial"/>
        </w:rPr>
      </w:pPr>
      <w:r>
        <w:rPr>
          <w:rFonts w:ascii="Arial" w:hAnsi="Arial" w:cs="Arial"/>
          <w:b/>
        </w:rPr>
        <w:t xml:space="preserve">VISTO: </w:t>
      </w:r>
      <w:r>
        <w:rPr>
          <w:rFonts w:ascii="Arial" w:hAnsi="Arial" w:cs="Arial"/>
        </w:rPr>
        <w:t xml:space="preserve">que este Tribunal ha examinado el </w:t>
      </w:r>
      <w:r w:rsidR="00ED5C0D">
        <w:rPr>
          <w:rFonts w:ascii="Arial" w:hAnsi="Arial" w:cs="Arial"/>
        </w:rPr>
        <w:t xml:space="preserve">Balance de Ejecución Presupuestal de la Dirección General de Casinos (DGC) </w:t>
      </w:r>
      <w:r>
        <w:rPr>
          <w:rFonts w:ascii="Arial" w:hAnsi="Arial" w:cs="Arial"/>
        </w:rPr>
        <w:t>correspondiente</w:t>
      </w:r>
      <w:r w:rsidR="00ED5C0D">
        <w:rPr>
          <w:rFonts w:ascii="Arial" w:hAnsi="Arial" w:cs="Arial"/>
        </w:rPr>
        <w:t xml:space="preserve"> a</w:t>
      </w:r>
      <w:r>
        <w:rPr>
          <w:rFonts w:ascii="Arial" w:hAnsi="Arial" w:cs="Arial"/>
        </w:rPr>
        <w:t xml:space="preserve">l </w:t>
      </w:r>
      <w:r w:rsidR="0038721F">
        <w:rPr>
          <w:rFonts w:ascii="Arial" w:hAnsi="Arial" w:cs="Arial"/>
        </w:rPr>
        <w:t>E</w:t>
      </w:r>
      <w:r>
        <w:rPr>
          <w:rFonts w:ascii="Arial" w:hAnsi="Arial" w:cs="Arial"/>
        </w:rPr>
        <w:t>jercicio finalizado a</w:t>
      </w:r>
      <w:r w:rsidR="00ED5C0D">
        <w:rPr>
          <w:rFonts w:ascii="Arial" w:hAnsi="Arial" w:cs="Arial"/>
        </w:rPr>
        <w:t>l 31/12/2014;</w:t>
      </w:r>
    </w:p>
    <w:p w:rsidR="003D11FA" w:rsidRPr="000C09EF" w:rsidRDefault="003D11FA" w:rsidP="0038721F">
      <w:pPr>
        <w:spacing w:line="360" w:lineRule="auto"/>
        <w:ind w:firstLine="851"/>
        <w:jc w:val="both"/>
        <w:rPr>
          <w:rFonts w:ascii="Arial" w:hAnsi="Arial" w:cs="Arial"/>
          <w:lang w:val="es-MX"/>
        </w:rPr>
      </w:pPr>
      <w:r>
        <w:rPr>
          <w:rFonts w:ascii="Arial" w:hAnsi="Arial" w:cs="Arial"/>
          <w:b/>
        </w:rPr>
        <w:t xml:space="preserve">RESULTANDO: </w:t>
      </w:r>
      <w:r>
        <w:rPr>
          <w:rFonts w:ascii="Arial" w:hAnsi="Arial" w:cs="Arial"/>
          <w:lang w:val="es-MX"/>
        </w:rPr>
        <w:t>que la auditoría fue practicada de acuerdo con los Principi</w:t>
      </w:r>
      <w:r w:rsidR="0038721F">
        <w:rPr>
          <w:rFonts w:ascii="Arial" w:hAnsi="Arial" w:cs="Arial"/>
          <w:lang w:val="es-MX"/>
        </w:rPr>
        <w:t>os Fundamentales de Auditoría (</w:t>
      </w:r>
      <w:r>
        <w:rPr>
          <w:rFonts w:ascii="Arial" w:hAnsi="Arial" w:cs="Arial"/>
          <w:lang w:val="es-MX"/>
        </w:rPr>
        <w:t>ISSAI, 100</w:t>
      </w:r>
      <w:r w:rsidR="000C09EF">
        <w:rPr>
          <w:rFonts w:ascii="Arial" w:hAnsi="Arial" w:cs="Arial"/>
          <w:lang w:val="es-MX"/>
        </w:rPr>
        <w:t xml:space="preserve"> y</w:t>
      </w:r>
      <w:r>
        <w:rPr>
          <w:rFonts w:ascii="Arial" w:hAnsi="Arial" w:cs="Arial"/>
          <w:lang w:val="es-MX"/>
        </w:rPr>
        <w:t>, 200) de la Organización Internacional de Entidades Fiscalizadoras Superiores (INTOSAI);</w:t>
      </w:r>
    </w:p>
    <w:p w:rsidR="003D11FA" w:rsidRDefault="003D11FA" w:rsidP="0038721F">
      <w:pPr>
        <w:spacing w:line="360" w:lineRule="auto"/>
        <w:ind w:firstLine="851"/>
        <w:jc w:val="both"/>
        <w:rPr>
          <w:rFonts w:ascii="Arial" w:hAnsi="Arial" w:cs="Arial"/>
        </w:rPr>
      </w:pPr>
      <w:r>
        <w:rPr>
          <w:rFonts w:ascii="Arial" w:hAnsi="Arial" w:cs="Arial"/>
          <w:b/>
        </w:rPr>
        <w:t xml:space="preserve">CONSIDERANDO: </w:t>
      </w:r>
      <w:r>
        <w:rPr>
          <w:rFonts w:ascii="Arial" w:hAnsi="Arial" w:cs="Arial"/>
        </w:rPr>
        <w:t xml:space="preserve">que las conclusiones y evidencias obtenidas son las que se expresan en el Informe de Auditoría, que incluye </w:t>
      </w:r>
      <w:r w:rsidR="00ED5C0D">
        <w:rPr>
          <w:rFonts w:ascii="Arial" w:hAnsi="Arial" w:cs="Arial"/>
        </w:rPr>
        <w:t xml:space="preserve">el </w:t>
      </w:r>
      <w:r>
        <w:rPr>
          <w:rFonts w:ascii="Arial" w:hAnsi="Arial" w:cs="Arial"/>
        </w:rPr>
        <w:t>Dictamen e Informe a la Administración;</w:t>
      </w:r>
    </w:p>
    <w:p w:rsidR="003D11FA" w:rsidRDefault="003D11FA" w:rsidP="0038721F">
      <w:pPr>
        <w:spacing w:line="360" w:lineRule="auto"/>
        <w:ind w:firstLine="851"/>
        <w:jc w:val="both"/>
        <w:rPr>
          <w:rFonts w:ascii="Arial" w:hAnsi="Arial" w:cs="Arial"/>
        </w:rPr>
      </w:pPr>
      <w:r>
        <w:rPr>
          <w:rFonts w:ascii="Arial" w:hAnsi="Arial" w:cs="Arial"/>
          <w:b/>
          <w:bCs/>
        </w:rPr>
        <w:t xml:space="preserve">ATENTO: </w:t>
      </w:r>
      <w:r>
        <w:rPr>
          <w:rFonts w:ascii="Arial" w:hAnsi="Arial" w:cs="Arial"/>
        </w:rPr>
        <w:t xml:space="preserve">a lo </w:t>
      </w:r>
      <w:r w:rsidR="00ED5C0D">
        <w:rPr>
          <w:rFonts w:ascii="Arial" w:hAnsi="Arial" w:cs="Arial"/>
        </w:rPr>
        <w:t xml:space="preserve">dispuesto en el Artículo 211 </w:t>
      </w:r>
      <w:r w:rsidR="0038721F">
        <w:rPr>
          <w:rFonts w:ascii="Arial" w:hAnsi="Arial" w:cs="Arial"/>
        </w:rPr>
        <w:t>L</w:t>
      </w:r>
      <w:r w:rsidR="00ED5C0D">
        <w:rPr>
          <w:rFonts w:ascii="Arial" w:hAnsi="Arial" w:cs="Arial"/>
        </w:rPr>
        <w:t xml:space="preserve">iterales </w:t>
      </w:r>
      <w:r w:rsidR="0038721F">
        <w:rPr>
          <w:rFonts w:ascii="Arial" w:hAnsi="Arial" w:cs="Arial"/>
        </w:rPr>
        <w:t>C</w:t>
      </w:r>
      <w:r w:rsidR="00ED5C0D">
        <w:rPr>
          <w:rFonts w:ascii="Arial" w:hAnsi="Arial" w:cs="Arial"/>
        </w:rPr>
        <w:t xml:space="preserve">) y </w:t>
      </w:r>
      <w:r w:rsidR="0038721F">
        <w:rPr>
          <w:rFonts w:ascii="Arial" w:hAnsi="Arial" w:cs="Arial"/>
        </w:rPr>
        <w:t>E</w:t>
      </w:r>
      <w:r w:rsidR="00ED5C0D">
        <w:rPr>
          <w:rFonts w:ascii="Arial" w:hAnsi="Arial" w:cs="Arial"/>
        </w:rPr>
        <w:t>) de la Constitución de la República y Artículos 94 del Texto Ordenado de la Ley de Administración Financiera (TOCAF)</w:t>
      </w:r>
      <w:r>
        <w:rPr>
          <w:rFonts w:ascii="Arial" w:hAnsi="Arial" w:cs="Arial"/>
        </w:rPr>
        <w:t>;</w:t>
      </w:r>
    </w:p>
    <w:p w:rsidR="003D11FA" w:rsidRDefault="003D11FA">
      <w:pPr>
        <w:spacing w:line="360" w:lineRule="auto"/>
        <w:jc w:val="center"/>
        <w:rPr>
          <w:rFonts w:ascii="Arial" w:hAnsi="Arial" w:cs="Arial"/>
          <w:b/>
        </w:rPr>
      </w:pPr>
      <w:r>
        <w:rPr>
          <w:rFonts w:ascii="Arial" w:hAnsi="Arial" w:cs="Arial"/>
          <w:b/>
        </w:rPr>
        <w:t>EL TRIBUNAL ACUERDA</w:t>
      </w:r>
    </w:p>
    <w:p w:rsidR="003D11FA" w:rsidRPr="000C09EF" w:rsidRDefault="000C09EF" w:rsidP="00715650">
      <w:pPr>
        <w:numPr>
          <w:ilvl w:val="0"/>
          <w:numId w:val="2"/>
        </w:numPr>
        <w:tabs>
          <w:tab w:val="clear" w:pos="720"/>
          <w:tab w:val="num" w:pos="284"/>
        </w:tabs>
        <w:spacing w:line="360" w:lineRule="auto"/>
        <w:ind w:left="540" w:hanging="540"/>
        <w:jc w:val="both"/>
        <w:rPr>
          <w:rFonts w:ascii="Arial" w:hAnsi="Arial" w:cs="Arial"/>
        </w:rPr>
      </w:pPr>
      <w:r w:rsidRPr="000C09EF">
        <w:rPr>
          <w:rFonts w:ascii="Arial" w:hAnsi="Arial" w:cs="Arial"/>
          <w:spacing w:val="-1"/>
        </w:rPr>
        <w:t>Expedirse en los términos del Informe de Auditoría que se adjunta</w:t>
      </w:r>
      <w:r w:rsidR="003D11FA" w:rsidRPr="000C09EF">
        <w:rPr>
          <w:rFonts w:ascii="Arial" w:hAnsi="Arial" w:cs="Arial"/>
        </w:rPr>
        <w:t>;</w:t>
      </w:r>
    </w:p>
    <w:p w:rsidR="003D11FA" w:rsidRDefault="003D11FA" w:rsidP="00715650">
      <w:pPr>
        <w:numPr>
          <w:ilvl w:val="0"/>
          <w:numId w:val="2"/>
        </w:numPr>
        <w:tabs>
          <w:tab w:val="clear" w:pos="720"/>
          <w:tab w:val="num" w:pos="284"/>
        </w:tabs>
        <w:spacing w:line="360" w:lineRule="auto"/>
        <w:ind w:left="284" w:hanging="284"/>
        <w:jc w:val="both"/>
        <w:rPr>
          <w:rFonts w:ascii="Arial" w:hAnsi="Arial" w:cs="Arial"/>
        </w:rPr>
      </w:pPr>
      <w:r>
        <w:rPr>
          <w:rFonts w:ascii="Arial" w:hAnsi="Arial" w:cs="Arial"/>
        </w:rPr>
        <w:t>Comunicar la presente Resolución al Poder Ejecutivo, a la Dirección General de Casinos</w:t>
      </w:r>
      <w:r w:rsidR="00715650">
        <w:rPr>
          <w:rFonts w:ascii="Arial" w:hAnsi="Arial" w:cs="Arial"/>
        </w:rPr>
        <w:t>;</w:t>
      </w:r>
      <w:r w:rsidR="00B9242B">
        <w:rPr>
          <w:rFonts w:ascii="Arial" w:hAnsi="Arial" w:cs="Arial"/>
        </w:rPr>
        <w:t xml:space="preserve"> y</w:t>
      </w:r>
    </w:p>
    <w:p w:rsidR="003D11FA" w:rsidRDefault="003D11FA" w:rsidP="00715650">
      <w:pPr>
        <w:numPr>
          <w:ilvl w:val="0"/>
          <w:numId w:val="2"/>
        </w:numPr>
        <w:tabs>
          <w:tab w:val="clear" w:pos="720"/>
          <w:tab w:val="num" w:pos="284"/>
        </w:tabs>
        <w:spacing w:line="360" w:lineRule="auto"/>
        <w:ind w:left="540" w:hanging="540"/>
        <w:jc w:val="both"/>
        <w:rPr>
          <w:rFonts w:ascii="Arial" w:hAnsi="Arial" w:cs="Arial"/>
        </w:rPr>
      </w:pPr>
      <w:r>
        <w:rPr>
          <w:rFonts w:ascii="Arial" w:hAnsi="Arial" w:cs="Arial"/>
        </w:rPr>
        <w:t>Dar cuenta a la Asamblea General.</w:t>
      </w:r>
    </w:p>
    <w:p w:rsidR="003D11FA" w:rsidRDefault="003D11FA">
      <w:pPr>
        <w:spacing w:line="360" w:lineRule="auto"/>
        <w:rPr>
          <w:rFonts w:ascii="Arial" w:hAnsi="Arial" w:cs="Arial"/>
        </w:rPr>
      </w:pPr>
    </w:p>
    <w:p w:rsidR="00A928DE" w:rsidRDefault="00A928DE">
      <w:pPr>
        <w:spacing w:line="360" w:lineRule="auto"/>
        <w:rPr>
          <w:rFonts w:ascii="Arial" w:hAnsi="Arial" w:cs="Arial"/>
        </w:rPr>
      </w:pPr>
    </w:p>
    <w:p w:rsidR="00A928DE" w:rsidRDefault="00A928DE">
      <w:pPr>
        <w:spacing w:line="360" w:lineRule="auto"/>
        <w:rPr>
          <w:rFonts w:ascii="Arial" w:hAnsi="Arial" w:cs="Arial"/>
        </w:rPr>
      </w:pPr>
    </w:p>
    <w:p w:rsidR="00A928DE" w:rsidRDefault="00A928DE">
      <w:pPr>
        <w:spacing w:line="360" w:lineRule="auto"/>
        <w:rPr>
          <w:rFonts w:ascii="Arial" w:hAnsi="Arial" w:cs="Arial"/>
        </w:rPr>
      </w:pPr>
    </w:p>
    <w:p w:rsidR="00A928DE" w:rsidRDefault="00A928DE">
      <w:pPr>
        <w:spacing w:line="360" w:lineRule="auto"/>
        <w:rPr>
          <w:rFonts w:ascii="Arial" w:hAnsi="Arial" w:cs="Arial"/>
        </w:rPr>
      </w:pPr>
    </w:p>
    <w:p w:rsidR="00A928DE" w:rsidRDefault="00A928DE">
      <w:pPr>
        <w:spacing w:line="360" w:lineRule="auto"/>
        <w:rPr>
          <w:rFonts w:ascii="Arial" w:hAnsi="Arial" w:cs="Arial"/>
        </w:rPr>
      </w:pPr>
    </w:p>
    <w:p w:rsidR="00EF1BF2" w:rsidRPr="00B63CF1" w:rsidRDefault="00EF1BF2" w:rsidP="00A928DE">
      <w:pPr>
        <w:jc w:val="center"/>
        <w:rPr>
          <w:rFonts w:ascii="Arial" w:hAnsi="Arial" w:cs="Arial"/>
          <w:lang w:val="es-CO"/>
        </w:rPr>
      </w:pPr>
      <w:r>
        <w:rPr>
          <w:rFonts w:ascii="Arial" w:hAnsi="Arial" w:cs="Arial"/>
          <w:b/>
        </w:rPr>
        <w:lastRenderedPageBreak/>
        <w:t>DICTAMEN</w:t>
      </w:r>
    </w:p>
    <w:p w:rsidR="00EF1BF2" w:rsidRPr="00375D77" w:rsidRDefault="00EF1BF2" w:rsidP="00A928DE">
      <w:pPr>
        <w:pStyle w:val="Piedepgina"/>
        <w:spacing w:after="130" w:line="360" w:lineRule="auto"/>
        <w:jc w:val="both"/>
        <w:rPr>
          <w:rFonts w:ascii="Arial" w:hAnsi="Arial" w:cs="Arial"/>
        </w:rPr>
      </w:pPr>
    </w:p>
    <w:p w:rsidR="00EF1BF2" w:rsidRDefault="00EF1BF2" w:rsidP="00A928DE">
      <w:pPr>
        <w:spacing w:after="260" w:line="360" w:lineRule="auto"/>
        <w:ind w:firstLine="851"/>
        <w:jc w:val="both"/>
        <w:rPr>
          <w:rFonts w:ascii="Arial" w:hAnsi="Arial" w:cs="Arial"/>
        </w:rPr>
      </w:pPr>
      <w:r w:rsidRPr="00375D77">
        <w:rPr>
          <w:rFonts w:ascii="Arial" w:hAnsi="Arial" w:cs="Arial"/>
        </w:rPr>
        <w:t xml:space="preserve">El Tribunal de Cuentas ha examinado </w:t>
      </w:r>
      <w:r>
        <w:rPr>
          <w:rFonts w:ascii="Arial" w:hAnsi="Arial" w:cs="Arial"/>
        </w:rPr>
        <w:t>el Balance de Ejecución Presupuestal de la Dirección General de Casinos (DGC) correspondiente al período 1º de enero al 31 de diciembre de 2014 y ha auditado el cumplimiento de las disposiciones legales vigentes.</w:t>
      </w:r>
    </w:p>
    <w:p w:rsidR="00EF1BF2" w:rsidRDefault="00EF1BF2" w:rsidP="00A928DE">
      <w:pPr>
        <w:spacing w:after="260" w:line="360" w:lineRule="auto"/>
        <w:ind w:firstLine="851"/>
        <w:jc w:val="both"/>
        <w:rPr>
          <w:rFonts w:ascii="Arial" w:hAnsi="Arial" w:cs="Arial"/>
        </w:rPr>
      </w:pPr>
      <w:r w:rsidRPr="004E0B98">
        <w:rPr>
          <w:rFonts w:ascii="Arial" w:hAnsi="Arial" w:cs="Arial"/>
        </w:rPr>
        <w:t>También se presentan, en caso de corresponder, los incumplimientos legales constatados por el Tribunal de Cuentas en el curso de la auditoría efectuada</w:t>
      </w:r>
      <w:r>
        <w:rPr>
          <w:rFonts w:ascii="Arial" w:hAnsi="Arial" w:cs="Arial"/>
        </w:rPr>
        <w:t>.</w:t>
      </w:r>
    </w:p>
    <w:p w:rsidR="00EF1BF2" w:rsidRPr="00375D77" w:rsidRDefault="00EF1BF2" w:rsidP="00A928DE">
      <w:pPr>
        <w:spacing w:after="260" w:line="360" w:lineRule="auto"/>
        <w:jc w:val="both"/>
        <w:rPr>
          <w:rFonts w:ascii="Arial" w:hAnsi="Arial" w:cs="Arial"/>
          <w:b/>
        </w:rPr>
      </w:pPr>
      <w:r w:rsidRPr="00375D77">
        <w:rPr>
          <w:rFonts w:ascii="Arial" w:hAnsi="Arial" w:cs="Arial"/>
          <w:b/>
        </w:rPr>
        <w:t xml:space="preserve">Responsabilidad de la Dirección por los </w:t>
      </w:r>
      <w:r>
        <w:rPr>
          <w:rFonts w:ascii="Arial" w:hAnsi="Arial" w:cs="Arial"/>
          <w:b/>
        </w:rPr>
        <w:t>E</w:t>
      </w:r>
      <w:r w:rsidRPr="00375D77">
        <w:rPr>
          <w:rFonts w:ascii="Arial" w:hAnsi="Arial" w:cs="Arial"/>
          <w:b/>
        </w:rPr>
        <w:t xml:space="preserve">stados </w:t>
      </w:r>
      <w:r>
        <w:rPr>
          <w:rFonts w:ascii="Arial" w:hAnsi="Arial" w:cs="Arial"/>
          <w:b/>
        </w:rPr>
        <w:t>F</w:t>
      </w:r>
      <w:r w:rsidR="00A928DE">
        <w:rPr>
          <w:rFonts w:ascii="Arial" w:hAnsi="Arial" w:cs="Arial"/>
          <w:b/>
        </w:rPr>
        <w:t>inancieros</w:t>
      </w:r>
    </w:p>
    <w:p w:rsidR="00EF1BF2" w:rsidRDefault="00EF1BF2" w:rsidP="00A928DE">
      <w:pPr>
        <w:spacing w:after="260" w:line="360" w:lineRule="auto"/>
        <w:ind w:firstLine="851"/>
        <w:jc w:val="both"/>
        <w:rPr>
          <w:rFonts w:ascii="Arial" w:hAnsi="Arial" w:cs="Arial"/>
        </w:rPr>
      </w:pPr>
      <w:r w:rsidRPr="00CD2289">
        <w:rPr>
          <w:rFonts w:ascii="Arial" w:hAnsi="Arial" w:cs="Arial"/>
        </w:rPr>
        <w:t>La Dirección</w:t>
      </w:r>
      <w:r>
        <w:rPr>
          <w:rFonts w:ascii="Arial" w:hAnsi="Arial" w:cs="Arial"/>
        </w:rPr>
        <w:t xml:space="preserve"> </w:t>
      </w:r>
      <w:r w:rsidRPr="00CD2289">
        <w:rPr>
          <w:rFonts w:ascii="Arial" w:hAnsi="Arial" w:cs="Arial"/>
        </w:rPr>
        <w:t xml:space="preserve">de </w:t>
      </w:r>
      <w:r>
        <w:rPr>
          <w:rFonts w:ascii="Arial" w:hAnsi="Arial" w:cs="Arial"/>
        </w:rPr>
        <w:t xml:space="preserve">la Dirección General de Casinos </w:t>
      </w:r>
      <w:r w:rsidRPr="00CD2289">
        <w:rPr>
          <w:rFonts w:ascii="Arial" w:hAnsi="Arial" w:cs="Arial"/>
        </w:rPr>
        <w:t>es responsable</w:t>
      </w:r>
      <w:r w:rsidRPr="00D41F8C">
        <w:rPr>
          <w:rFonts w:ascii="Arial" w:hAnsi="Arial" w:cs="Arial"/>
        </w:rPr>
        <w:t xml:space="preserve"> </w:t>
      </w:r>
      <w:r w:rsidRPr="00375D77">
        <w:rPr>
          <w:rFonts w:ascii="Arial" w:hAnsi="Arial" w:cs="Arial"/>
        </w:rPr>
        <w:t>por la preparación y la razonable presentaci</w:t>
      </w:r>
      <w:r>
        <w:rPr>
          <w:rFonts w:ascii="Arial" w:hAnsi="Arial" w:cs="Arial"/>
        </w:rPr>
        <w:t xml:space="preserve">ón de estos Estados </w:t>
      </w:r>
      <w:r w:rsidRPr="00D41F8C">
        <w:rPr>
          <w:rFonts w:ascii="Arial" w:hAnsi="Arial" w:cs="Arial"/>
        </w:rPr>
        <w:t xml:space="preserve">de </w:t>
      </w:r>
      <w:r>
        <w:rPr>
          <w:rFonts w:ascii="Arial" w:hAnsi="Arial" w:cs="Arial"/>
        </w:rPr>
        <w:t>E</w:t>
      </w:r>
      <w:r w:rsidRPr="00D41F8C">
        <w:rPr>
          <w:rFonts w:ascii="Arial" w:hAnsi="Arial" w:cs="Arial"/>
        </w:rPr>
        <w:t xml:space="preserve">jecución </w:t>
      </w:r>
      <w:r>
        <w:rPr>
          <w:rFonts w:ascii="Arial" w:hAnsi="Arial" w:cs="Arial"/>
        </w:rPr>
        <w:t>P</w:t>
      </w:r>
      <w:r w:rsidRPr="00D41F8C">
        <w:rPr>
          <w:rFonts w:ascii="Arial" w:hAnsi="Arial" w:cs="Arial"/>
        </w:rPr>
        <w:t>resupuestal</w:t>
      </w:r>
      <w:r>
        <w:rPr>
          <w:rFonts w:ascii="Arial" w:hAnsi="Arial" w:cs="Arial"/>
        </w:rPr>
        <w:t xml:space="preserve"> de acuerdo con las normas establecidas en el TOCAF y la Ley aprobatoria del Presupuesto vigente. Esta responsabilidad incluye diseñar, implementar y mantener un sistema de control interno adecuado para la preparación y presentación razonable de los Estados que están libres de errores significativos, así como seleccionar y aplicar </w:t>
      </w:r>
      <w:r w:rsidR="00A928DE">
        <w:rPr>
          <w:rFonts w:ascii="Arial" w:hAnsi="Arial" w:cs="Arial"/>
        </w:rPr>
        <w:t>políticas contables apropiadas.</w:t>
      </w:r>
    </w:p>
    <w:p w:rsidR="00EF1BF2" w:rsidRPr="00D41F8C" w:rsidRDefault="00EF1BF2" w:rsidP="00A928DE">
      <w:pPr>
        <w:spacing w:after="260" w:line="200" w:lineRule="atLeast"/>
        <w:jc w:val="both"/>
        <w:rPr>
          <w:rFonts w:ascii="Arial" w:hAnsi="Arial" w:cs="Arial"/>
        </w:rPr>
      </w:pPr>
      <w:r w:rsidRPr="00375D77">
        <w:rPr>
          <w:rFonts w:ascii="Arial" w:hAnsi="Arial" w:cs="Arial"/>
          <w:b/>
        </w:rPr>
        <w:t xml:space="preserve">Responsabilidad del </w:t>
      </w:r>
      <w:r>
        <w:rPr>
          <w:rFonts w:ascii="Arial" w:hAnsi="Arial" w:cs="Arial"/>
          <w:b/>
        </w:rPr>
        <w:t>A</w:t>
      </w:r>
      <w:r w:rsidR="00A928DE">
        <w:rPr>
          <w:rFonts w:ascii="Arial" w:hAnsi="Arial" w:cs="Arial"/>
          <w:b/>
        </w:rPr>
        <w:t>uditor</w:t>
      </w:r>
    </w:p>
    <w:p w:rsidR="00EF1BF2" w:rsidRDefault="00EF1BF2" w:rsidP="00A928DE">
      <w:pPr>
        <w:pStyle w:val="Sangradetindependiente"/>
        <w:tabs>
          <w:tab w:val="clear" w:pos="860"/>
        </w:tabs>
        <w:spacing w:line="360" w:lineRule="auto"/>
        <w:ind w:firstLine="851"/>
        <w:rPr>
          <w:rFonts w:ascii="Arial" w:hAnsi="Arial" w:cs="Arial"/>
          <w:sz w:val="24"/>
          <w:szCs w:val="24"/>
        </w:rPr>
      </w:pPr>
      <w:r w:rsidRPr="008C791C">
        <w:rPr>
          <w:rFonts w:ascii="Arial" w:hAnsi="Arial" w:cs="Arial"/>
          <w:sz w:val="24"/>
          <w:szCs w:val="24"/>
        </w:rPr>
        <w:t>La responsabilidad del Tribunal de Cuentas es expresar una opinión sobre dicho Balance de Ejecución Presupuestal, basada en la auditoría realizada. El examen de auditoría fue realizado de acuerdo con los Principios Fundamentales de Auditoría (ISSAI 100</w:t>
      </w:r>
      <w:r>
        <w:rPr>
          <w:rFonts w:ascii="Arial" w:hAnsi="Arial" w:cs="Arial"/>
          <w:sz w:val="24"/>
          <w:szCs w:val="24"/>
        </w:rPr>
        <w:t xml:space="preserve"> y </w:t>
      </w:r>
      <w:r w:rsidRPr="008C791C">
        <w:rPr>
          <w:rFonts w:ascii="Arial" w:hAnsi="Arial" w:cs="Arial"/>
          <w:sz w:val="24"/>
          <w:szCs w:val="24"/>
        </w:rPr>
        <w:t>200) de la Organización Internacional de Entidades Fiscalizadoras Superiores</w:t>
      </w:r>
      <w:r w:rsidRPr="009B40D7">
        <w:rPr>
          <w:rFonts w:ascii="Arial" w:hAnsi="Arial" w:cs="Arial"/>
          <w:sz w:val="24"/>
          <w:szCs w:val="24"/>
        </w:rPr>
        <w:t xml:space="preserve"> de la Organización Internacional de Entidades Fiscalizadoras Sup</w:t>
      </w:r>
      <w:r>
        <w:rPr>
          <w:rFonts w:ascii="Arial" w:hAnsi="Arial" w:cs="Arial"/>
          <w:sz w:val="24"/>
          <w:szCs w:val="24"/>
        </w:rPr>
        <w:t xml:space="preserve">eriores (INTOSAI), </w:t>
      </w:r>
      <w:r w:rsidRPr="008C791C">
        <w:rPr>
          <w:rFonts w:ascii="Arial" w:hAnsi="Arial" w:cs="Arial"/>
          <w:sz w:val="24"/>
          <w:szCs w:val="24"/>
        </w:rPr>
        <w:t xml:space="preserve">las cuales requieren que se planifique y ejecuten procedimientos para obtener una evidencia acerca de los montos y las revelaciones contables e incluye procedimientos que dependen del juicio profesional para la evaluación de los riesgos de existencia de errores significativos ya sea debido a fraude o error. Al efectuar la evaluación de riesgos, el auditor considera los aspectos de control interno de la entidad relevantes para la preparación y presentación razonable de los </w:t>
      </w:r>
      <w:r>
        <w:rPr>
          <w:rFonts w:ascii="Arial" w:hAnsi="Arial" w:cs="Arial"/>
          <w:sz w:val="24"/>
          <w:szCs w:val="24"/>
        </w:rPr>
        <w:t>E</w:t>
      </w:r>
      <w:r w:rsidRPr="008C791C">
        <w:rPr>
          <w:rFonts w:ascii="Arial" w:hAnsi="Arial" w:cs="Arial"/>
          <w:sz w:val="24"/>
          <w:szCs w:val="24"/>
        </w:rPr>
        <w:t xml:space="preserve">stados </w:t>
      </w:r>
      <w:r>
        <w:rPr>
          <w:rFonts w:ascii="Arial" w:hAnsi="Arial" w:cs="Arial"/>
          <w:sz w:val="24"/>
          <w:szCs w:val="24"/>
        </w:rPr>
        <w:t>F</w:t>
      </w:r>
      <w:r w:rsidRPr="008C791C">
        <w:rPr>
          <w:rFonts w:ascii="Arial" w:hAnsi="Arial" w:cs="Arial"/>
          <w:sz w:val="24"/>
          <w:szCs w:val="24"/>
        </w:rPr>
        <w:t>inancieros con el fin de diseñar los procedimientos de auditoría que sean apropiados en las circunstancias, pero no con el propósito de expresar una opinión acerca de la eficacia del control interno de la entidad.  Dicho examen también implico evaluar lo apropiado de las políticas contables utilizadas y la presentación general de los estados financieros.</w:t>
      </w:r>
      <w:r>
        <w:rPr>
          <w:rFonts w:ascii="Arial" w:hAnsi="Arial" w:cs="Arial"/>
          <w:sz w:val="24"/>
          <w:szCs w:val="24"/>
        </w:rPr>
        <w:t xml:space="preserve"> </w:t>
      </w:r>
      <w:r w:rsidRPr="008C791C">
        <w:rPr>
          <w:rFonts w:ascii="Arial" w:hAnsi="Arial" w:cs="Arial"/>
          <w:sz w:val="24"/>
          <w:szCs w:val="24"/>
        </w:rPr>
        <w:t>Se considera que la evidencia de auditoría obtenida brinda una base suficiente</w:t>
      </w:r>
      <w:r w:rsidRPr="00375D77">
        <w:rPr>
          <w:rFonts w:ascii="Arial" w:hAnsi="Arial" w:cs="Arial"/>
          <w:sz w:val="24"/>
          <w:szCs w:val="24"/>
        </w:rPr>
        <w:t xml:space="preserve"> y apropiada para sustentar la opinión.</w:t>
      </w:r>
    </w:p>
    <w:p w:rsidR="00EF1BF2" w:rsidRPr="00375D77" w:rsidRDefault="00EF1BF2" w:rsidP="00A928DE">
      <w:pPr>
        <w:spacing w:after="260" w:line="360" w:lineRule="auto"/>
        <w:jc w:val="both"/>
        <w:rPr>
          <w:rFonts w:ascii="Arial" w:hAnsi="Arial" w:cs="Arial"/>
          <w:b/>
        </w:rPr>
      </w:pPr>
      <w:r w:rsidRPr="00375D77">
        <w:rPr>
          <w:rFonts w:ascii="Arial" w:hAnsi="Arial" w:cs="Arial"/>
          <w:b/>
        </w:rPr>
        <w:t>Opinión</w:t>
      </w:r>
    </w:p>
    <w:p w:rsidR="00EF1BF2" w:rsidRDefault="00EF1BF2" w:rsidP="00A928DE">
      <w:pPr>
        <w:spacing w:after="260" w:line="360" w:lineRule="auto"/>
        <w:ind w:firstLine="851"/>
        <w:jc w:val="both"/>
        <w:rPr>
          <w:rFonts w:ascii="Arial" w:hAnsi="Arial" w:cs="Arial"/>
        </w:rPr>
      </w:pPr>
      <w:r w:rsidRPr="00375D77">
        <w:rPr>
          <w:rFonts w:ascii="Arial" w:hAnsi="Arial" w:cs="Arial"/>
        </w:rPr>
        <w:t>En opinión del Tribu</w:t>
      </w:r>
      <w:r>
        <w:rPr>
          <w:rFonts w:ascii="Arial" w:hAnsi="Arial" w:cs="Arial"/>
        </w:rPr>
        <w:t>nal de Cuentas el Balance de Ejecución Presupuestal presenta razonablemente</w:t>
      </w:r>
      <w:r w:rsidRPr="00375D77">
        <w:rPr>
          <w:rFonts w:ascii="Arial" w:hAnsi="Arial" w:cs="Arial"/>
        </w:rPr>
        <w:t xml:space="preserve"> en todos sus aspectos importantes, </w:t>
      </w:r>
      <w:r w:rsidRPr="00394EEB">
        <w:rPr>
          <w:rFonts w:ascii="Arial" w:hAnsi="Arial" w:cs="Arial"/>
        </w:rPr>
        <w:t xml:space="preserve">la </w:t>
      </w:r>
      <w:r>
        <w:rPr>
          <w:rFonts w:ascii="Arial" w:hAnsi="Arial" w:cs="Arial"/>
        </w:rPr>
        <w:t>E</w:t>
      </w:r>
      <w:r w:rsidRPr="00394EEB">
        <w:rPr>
          <w:rFonts w:ascii="Arial" w:hAnsi="Arial" w:cs="Arial"/>
        </w:rPr>
        <w:t xml:space="preserve">jecución </w:t>
      </w:r>
      <w:r>
        <w:rPr>
          <w:rFonts w:ascii="Arial" w:hAnsi="Arial" w:cs="Arial"/>
        </w:rPr>
        <w:t>P</w:t>
      </w:r>
      <w:r w:rsidRPr="00394EEB">
        <w:rPr>
          <w:rFonts w:ascii="Arial" w:hAnsi="Arial" w:cs="Arial"/>
        </w:rPr>
        <w:t>resupuestal de la</w:t>
      </w:r>
      <w:r>
        <w:rPr>
          <w:rFonts w:ascii="Arial" w:hAnsi="Arial" w:cs="Arial"/>
        </w:rPr>
        <w:t xml:space="preserve"> DGC</w:t>
      </w:r>
      <w:r w:rsidRPr="00375D77">
        <w:rPr>
          <w:rFonts w:ascii="Arial" w:hAnsi="Arial" w:cs="Arial"/>
          <w:i/>
        </w:rPr>
        <w:t xml:space="preserve"> </w:t>
      </w:r>
      <w:r>
        <w:rPr>
          <w:rFonts w:ascii="Arial" w:hAnsi="Arial" w:cs="Arial"/>
        </w:rPr>
        <w:t>correspondiente al periodo 1 de enero al 31de diciembre de 2014.</w:t>
      </w:r>
    </w:p>
    <w:p w:rsidR="00EF1BF2" w:rsidRDefault="00EF1BF2" w:rsidP="00A928DE">
      <w:pPr>
        <w:spacing w:after="260" w:line="360" w:lineRule="auto"/>
        <w:ind w:firstLine="851"/>
        <w:jc w:val="both"/>
        <w:rPr>
          <w:rFonts w:ascii="Arial" w:hAnsi="Arial" w:cs="Arial"/>
        </w:rPr>
      </w:pPr>
      <w:r>
        <w:rPr>
          <w:rFonts w:ascii="Arial" w:hAnsi="Arial" w:cs="Arial"/>
        </w:rPr>
        <w:t>Con relación al cumplimiento de las disposiciones legales y  reglamentarias vigentes relacionadas con dicho Balance que fue objeto de examen en el transcurso de la auditoria  y en aplicación de lo dispuesto por el Articulo 211 Literales C) y E) de la Constitución de la República, en opinión del Tribunal de Cuentas la DGC no ha dado cumplimiento a las siguientes normas:</w:t>
      </w:r>
    </w:p>
    <w:p w:rsidR="00EF1BF2" w:rsidRPr="00C959C8" w:rsidRDefault="00EF1BF2" w:rsidP="00EF1BF2">
      <w:pPr>
        <w:numPr>
          <w:ilvl w:val="0"/>
          <w:numId w:val="6"/>
        </w:numPr>
        <w:spacing w:line="360" w:lineRule="auto"/>
        <w:jc w:val="both"/>
        <w:rPr>
          <w:rFonts w:ascii="Arial" w:hAnsi="Arial" w:cs="Arial"/>
          <w:bCs/>
          <w:lang w:val="es-ES_tradnl" w:eastAsia="en-US"/>
        </w:rPr>
      </w:pPr>
      <w:r w:rsidRPr="00C959C8">
        <w:rPr>
          <w:rFonts w:ascii="Arial" w:hAnsi="Arial" w:cs="Arial"/>
          <w:lang w:eastAsia="en-US"/>
        </w:rPr>
        <w:t>Artículo 49 Ley N° 18.651 de 2010,</w:t>
      </w:r>
      <w:r>
        <w:rPr>
          <w:rFonts w:ascii="Arial" w:hAnsi="Arial" w:cs="Arial"/>
          <w:lang w:eastAsia="en-US"/>
        </w:rPr>
        <w:t xml:space="preserve"> </w:t>
      </w:r>
      <w:r w:rsidRPr="00C959C8">
        <w:rPr>
          <w:rFonts w:ascii="Arial" w:hAnsi="Arial" w:cs="Arial"/>
          <w:lang w:eastAsia="en-US"/>
        </w:rPr>
        <w:t xml:space="preserve">por no cubrir </w:t>
      </w:r>
      <w:r w:rsidRPr="00DC7245">
        <w:rPr>
          <w:rFonts w:ascii="Arial" w:hAnsi="Arial" w:cs="Arial"/>
          <w:bCs/>
        </w:rPr>
        <w:t>el 4% de las vacantes</w:t>
      </w:r>
      <w:r>
        <w:rPr>
          <w:rFonts w:ascii="Arial" w:hAnsi="Arial" w:cs="Arial"/>
          <w:bCs/>
        </w:rPr>
        <w:t xml:space="preserve"> del Ejercicio</w:t>
      </w:r>
      <w:r w:rsidRPr="00DC7245">
        <w:rPr>
          <w:rFonts w:ascii="Arial" w:hAnsi="Arial" w:cs="Arial"/>
          <w:bCs/>
        </w:rPr>
        <w:t xml:space="preserve"> con personas  discapacitados</w:t>
      </w:r>
      <w:r>
        <w:rPr>
          <w:rFonts w:ascii="Arial" w:hAnsi="Arial" w:cs="Arial"/>
          <w:bCs/>
        </w:rPr>
        <w:t>.</w:t>
      </w:r>
    </w:p>
    <w:p w:rsidR="00EF1BF2" w:rsidRPr="00C959C8" w:rsidRDefault="00EF1BF2" w:rsidP="00EF1BF2">
      <w:pPr>
        <w:numPr>
          <w:ilvl w:val="0"/>
          <w:numId w:val="6"/>
        </w:numPr>
        <w:spacing w:line="360" w:lineRule="auto"/>
        <w:jc w:val="both"/>
        <w:rPr>
          <w:rFonts w:ascii="Arial" w:hAnsi="Arial" w:cs="Arial"/>
          <w:lang w:eastAsia="en-US"/>
        </w:rPr>
      </w:pPr>
      <w:r w:rsidRPr="00C959C8">
        <w:rPr>
          <w:rFonts w:ascii="Arial" w:hAnsi="Arial" w:cs="Arial"/>
          <w:lang w:eastAsia="en-US"/>
        </w:rPr>
        <w:t xml:space="preserve">Artículo 4 Ley 19122 de 2013 por no cubrir </w:t>
      </w:r>
      <w:r w:rsidRPr="00DC7245">
        <w:rPr>
          <w:rFonts w:ascii="Arial" w:hAnsi="Arial" w:cs="Arial"/>
          <w:lang w:eastAsia="en-US"/>
        </w:rPr>
        <w:t xml:space="preserve">el </w:t>
      </w:r>
      <w:r>
        <w:rPr>
          <w:rFonts w:ascii="Arial" w:hAnsi="Arial" w:cs="Arial"/>
          <w:lang w:eastAsia="en-US"/>
        </w:rPr>
        <w:t>8</w:t>
      </w:r>
      <w:r w:rsidRPr="00DC7245">
        <w:rPr>
          <w:rFonts w:ascii="Arial" w:hAnsi="Arial" w:cs="Arial"/>
          <w:lang w:eastAsia="en-US"/>
        </w:rPr>
        <w:t>% de las vacantes</w:t>
      </w:r>
      <w:r w:rsidRPr="00C959C8">
        <w:rPr>
          <w:rFonts w:ascii="Arial" w:hAnsi="Arial" w:cs="Arial"/>
          <w:lang w:eastAsia="en-US"/>
        </w:rPr>
        <w:t xml:space="preserve"> del </w:t>
      </w:r>
      <w:r>
        <w:rPr>
          <w:rFonts w:ascii="Arial" w:hAnsi="Arial" w:cs="Arial"/>
          <w:lang w:eastAsia="en-US"/>
        </w:rPr>
        <w:t>E</w:t>
      </w:r>
      <w:r w:rsidRPr="00C959C8">
        <w:rPr>
          <w:rFonts w:ascii="Arial" w:hAnsi="Arial" w:cs="Arial"/>
          <w:lang w:eastAsia="en-US"/>
        </w:rPr>
        <w:t>jercicio</w:t>
      </w:r>
      <w:r w:rsidRPr="00DC7245">
        <w:rPr>
          <w:rFonts w:ascii="Arial" w:hAnsi="Arial" w:cs="Arial"/>
          <w:lang w:eastAsia="en-US"/>
        </w:rPr>
        <w:t xml:space="preserve"> con personas  </w:t>
      </w:r>
      <w:r>
        <w:rPr>
          <w:rFonts w:ascii="Arial" w:hAnsi="Arial" w:cs="Arial"/>
          <w:lang w:eastAsia="en-US"/>
        </w:rPr>
        <w:t>afrodescendientes.</w:t>
      </w:r>
    </w:p>
    <w:p w:rsidR="00EF1BF2" w:rsidRPr="00347115" w:rsidRDefault="00EF1BF2" w:rsidP="00EF1BF2">
      <w:pPr>
        <w:numPr>
          <w:ilvl w:val="0"/>
          <w:numId w:val="6"/>
        </w:numPr>
        <w:spacing w:line="360" w:lineRule="auto"/>
        <w:jc w:val="both"/>
        <w:rPr>
          <w:rFonts w:ascii="Arial" w:hAnsi="Arial" w:cs="Arial"/>
          <w:lang w:eastAsia="en-US"/>
        </w:rPr>
      </w:pPr>
      <w:r w:rsidRPr="00DC7245">
        <w:rPr>
          <w:rFonts w:ascii="Arial" w:hAnsi="Arial" w:cs="Arial"/>
          <w:lang w:eastAsia="en-US"/>
        </w:rPr>
        <w:t>Art</w:t>
      </w:r>
      <w:r>
        <w:rPr>
          <w:rFonts w:ascii="Arial" w:hAnsi="Arial" w:cs="Arial"/>
          <w:lang w:eastAsia="en-US"/>
        </w:rPr>
        <w:t>ículo</w:t>
      </w:r>
      <w:r w:rsidRPr="00DC7245">
        <w:rPr>
          <w:rFonts w:ascii="Arial" w:hAnsi="Arial" w:cs="Arial"/>
          <w:lang w:eastAsia="en-US"/>
        </w:rPr>
        <w:t xml:space="preserve"> 80 Ley 17555 de 2002 </w:t>
      </w:r>
      <w:r>
        <w:rPr>
          <w:rFonts w:ascii="Arial" w:hAnsi="Arial" w:cs="Arial"/>
          <w:lang w:eastAsia="en-US"/>
        </w:rPr>
        <w:t>–</w:t>
      </w:r>
      <w:r w:rsidRPr="00DC7245">
        <w:rPr>
          <w:rFonts w:ascii="Arial" w:hAnsi="Arial" w:cs="Arial"/>
          <w:lang w:eastAsia="en-US"/>
        </w:rPr>
        <w:t xml:space="preserve"> </w:t>
      </w:r>
      <w:r>
        <w:rPr>
          <w:rFonts w:ascii="Arial" w:hAnsi="Arial" w:cs="Arial"/>
          <w:lang w:eastAsia="en-US"/>
        </w:rPr>
        <w:t>por no abonar los sueldos a través d</w:t>
      </w:r>
      <w:r w:rsidRPr="00DC7245">
        <w:rPr>
          <w:rFonts w:ascii="Arial" w:hAnsi="Arial" w:cs="Arial"/>
          <w:lang w:eastAsia="en-US"/>
        </w:rPr>
        <w:t>el BROU</w:t>
      </w:r>
      <w:r>
        <w:rPr>
          <w:rFonts w:ascii="Arial" w:hAnsi="Arial" w:cs="Arial"/>
          <w:lang w:eastAsia="en-US"/>
        </w:rPr>
        <w:t>.</w:t>
      </w:r>
    </w:p>
    <w:p w:rsidR="00EF1BF2" w:rsidRDefault="00EF1BF2" w:rsidP="00EF1BF2">
      <w:pPr>
        <w:numPr>
          <w:ilvl w:val="0"/>
          <w:numId w:val="6"/>
        </w:numPr>
        <w:spacing w:line="360" w:lineRule="auto"/>
        <w:jc w:val="both"/>
        <w:rPr>
          <w:rFonts w:ascii="Arial" w:hAnsi="Arial" w:cs="Arial"/>
          <w:lang w:eastAsia="en-US"/>
        </w:rPr>
      </w:pPr>
      <w:r w:rsidRPr="00DC7245">
        <w:rPr>
          <w:rFonts w:ascii="Arial" w:hAnsi="Arial" w:cs="Arial"/>
          <w:lang w:eastAsia="en-US"/>
        </w:rPr>
        <w:t xml:space="preserve">Numeral 4 de la Resolución del Presidente de la República de fecha 16/01/2014, correspondiente al Expediente 388/2013 por </w:t>
      </w:r>
      <w:r>
        <w:rPr>
          <w:rFonts w:ascii="Arial" w:hAnsi="Arial" w:cs="Arial"/>
          <w:lang w:eastAsia="en-US"/>
        </w:rPr>
        <w:t>haberse contratado</w:t>
      </w:r>
      <w:r w:rsidRPr="00DC7245">
        <w:rPr>
          <w:rFonts w:ascii="Arial" w:hAnsi="Arial" w:cs="Arial"/>
          <w:lang w:eastAsia="en-US"/>
        </w:rPr>
        <w:t xml:space="preserve"> 45 funcionarios zafrales, sin suscri</w:t>
      </w:r>
      <w:r w:rsidR="00A928DE">
        <w:rPr>
          <w:rFonts w:ascii="Arial" w:hAnsi="Arial" w:cs="Arial"/>
          <w:lang w:eastAsia="en-US"/>
        </w:rPr>
        <w:t>birse los contratos respetivos.</w:t>
      </w:r>
    </w:p>
    <w:p w:rsidR="00EF1BF2" w:rsidRDefault="00EF1BF2" w:rsidP="00EF1BF2">
      <w:pPr>
        <w:numPr>
          <w:ilvl w:val="0"/>
          <w:numId w:val="6"/>
        </w:numPr>
        <w:spacing w:line="360" w:lineRule="auto"/>
        <w:jc w:val="both"/>
        <w:rPr>
          <w:rFonts w:ascii="Arial" w:hAnsi="Arial" w:cs="Arial"/>
          <w:lang w:eastAsia="en-US"/>
        </w:rPr>
      </w:pPr>
      <w:r>
        <w:rPr>
          <w:rFonts w:ascii="Arial" w:hAnsi="Arial" w:cs="Arial"/>
          <w:lang w:eastAsia="en-US"/>
        </w:rPr>
        <w:t>Durante el Ejercicio 2014 los Contadores Delegados observaron              14 gastos por un monto total de $ 7:765.024, por incumplimiento al Artículo 211 Literal B) de la Constitución de la República, Artículos 14,16, 33 y 48 del TOCAF  y Artículo 1° del Decreto 148/992 y  un pago por un importe de $ 23:816.435  por incumplimiento del Artículo 48 del Decreto 269/13 y Artículo 3° del Convenio con MEF-Intendencia de Montevideo de 03/05/12, de los que a la fecha aún no ha sido reiterado por el Ordenador Competente un gasto de $ 2:350.000.</w:t>
      </w:r>
    </w:p>
    <w:p w:rsidR="00EF1BF2" w:rsidRDefault="00EF1BF2" w:rsidP="00A928DE">
      <w:pPr>
        <w:spacing w:after="260" w:line="360" w:lineRule="auto"/>
        <w:ind w:left="360"/>
        <w:jc w:val="right"/>
        <w:rPr>
          <w:rFonts w:ascii="Arial" w:hAnsi="Arial" w:cs="Arial"/>
        </w:rPr>
      </w:pPr>
      <w:r>
        <w:rPr>
          <w:rFonts w:ascii="Arial" w:hAnsi="Arial" w:cs="Arial"/>
        </w:rPr>
        <w:t>Montevideo, 09 de Noviembre de 2015</w:t>
      </w:r>
    </w:p>
    <w:p w:rsidR="00EF1BF2" w:rsidRDefault="00EF1BF2" w:rsidP="00A928DE">
      <w:pPr>
        <w:spacing w:after="260" w:line="360" w:lineRule="auto"/>
        <w:ind w:left="360"/>
        <w:jc w:val="right"/>
        <w:rPr>
          <w:rFonts w:ascii="Arial" w:hAnsi="Arial" w:cs="Arial"/>
        </w:rPr>
      </w:pPr>
    </w:p>
    <w:p w:rsidR="00EF1BF2" w:rsidRPr="006A4928" w:rsidRDefault="00EF1BF2" w:rsidP="00A928DE">
      <w:pPr>
        <w:spacing w:line="360" w:lineRule="auto"/>
        <w:jc w:val="center"/>
        <w:rPr>
          <w:rFonts w:ascii="Arial" w:hAnsi="Arial" w:cs="Arial"/>
          <w:b/>
          <w:bCs/>
        </w:rPr>
      </w:pPr>
      <w:r w:rsidRPr="006A4928">
        <w:rPr>
          <w:rFonts w:ascii="Arial" w:hAnsi="Arial" w:cs="Arial"/>
          <w:b/>
          <w:bCs/>
        </w:rPr>
        <w:t>INFORME A LA ADMINISTRACIÓN</w:t>
      </w:r>
    </w:p>
    <w:p w:rsidR="00EF1BF2" w:rsidRPr="006A4928" w:rsidRDefault="00EF1BF2" w:rsidP="00A928DE">
      <w:pPr>
        <w:spacing w:line="360" w:lineRule="auto"/>
        <w:rPr>
          <w:rFonts w:ascii="Arial" w:hAnsi="Arial" w:cs="Arial"/>
        </w:rPr>
      </w:pPr>
    </w:p>
    <w:p w:rsidR="00EF1BF2" w:rsidRDefault="00EF1BF2" w:rsidP="00A928DE">
      <w:pPr>
        <w:spacing w:after="260" w:line="360" w:lineRule="auto"/>
        <w:ind w:firstLine="851"/>
        <w:jc w:val="both"/>
        <w:rPr>
          <w:rFonts w:ascii="Arial" w:hAnsi="Arial" w:cs="Arial"/>
        </w:rPr>
      </w:pPr>
      <w:r w:rsidRPr="006A4928">
        <w:rPr>
          <w:rFonts w:ascii="Arial" w:hAnsi="Arial" w:cs="Arial"/>
        </w:rPr>
        <w:t>El Tribunal de Cuentas ha examina</w:t>
      </w:r>
      <w:r>
        <w:rPr>
          <w:rFonts w:ascii="Arial" w:hAnsi="Arial" w:cs="Arial"/>
        </w:rPr>
        <w:t xml:space="preserve">do el Balance de Ejecución Presupuestal de la </w:t>
      </w:r>
      <w:r>
        <w:rPr>
          <w:rFonts w:ascii="Arial" w:hAnsi="Arial" w:cs="Arial"/>
          <w:spacing w:val="-12"/>
        </w:rPr>
        <w:t xml:space="preserve">Dirección General de Casinos (DGC) </w:t>
      </w:r>
      <w:r>
        <w:rPr>
          <w:rFonts w:ascii="Arial" w:hAnsi="Arial" w:cs="Arial"/>
        </w:rPr>
        <w:t>correspondiente al período 1º de enero al 31 de diciembre de 2014</w:t>
      </w:r>
      <w:r w:rsidRPr="007F21C0">
        <w:rPr>
          <w:rFonts w:ascii="Arial" w:hAnsi="Arial" w:cs="Arial"/>
          <w:spacing w:val="-12"/>
        </w:rPr>
        <w:t xml:space="preserve"> </w:t>
      </w:r>
      <w:r>
        <w:rPr>
          <w:rFonts w:ascii="Arial" w:hAnsi="Arial" w:cs="Arial"/>
          <w:spacing w:val="-12"/>
        </w:rPr>
        <w:t xml:space="preserve">y </w:t>
      </w:r>
      <w:r w:rsidRPr="006A4928">
        <w:rPr>
          <w:rFonts w:ascii="Arial" w:hAnsi="Arial" w:cs="Arial"/>
          <w:spacing w:val="-12"/>
        </w:rPr>
        <w:t>ha emitido su</w:t>
      </w:r>
      <w:r w:rsidRPr="006A4928">
        <w:rPr>
          <w:rFonts w:ascii="Arial" w:hAnsi="Arial" w:cs="Arial"/>
        </w:rPr>
        <w:t xml:space="preserve"> Dictamen</w:t>
      </w:r>
      <w:r>
        <w:rPr>
          <w:rFonts w:ascii="Arial" w:hAnsi="Arial" w:cs="Arial"/>
        </w:rPr>
        <w:t>.</w:t>
      </w:r>
    </w:p>
    <w:p w:rsidR="00EF1BF2" w:rsidRPr="00A53C2E" w:rsidRDefault="00EF1BF2" w:rsidP="00A928DE">
      <w:pPr>
        <w:spacing w:after="260" w:line="360" w:lineRule="auto"/>
        <w:ind w:firstLine="851"/>
        <w:jc w:val="both"/>
        <w:rPr>
          <w:rFonts w:ascii="Arial" w:hAnsi="Arial" w:cs="Arial"/>
        </w:rPr>
      </w:pPr>
      <w:r>
        <w:rPr>
          <w:rFonts w:ascii="Arial" w:hAnsi="Arial" w:cs="Arial"/>
        </w:rPr>
        <w:t>Este informe contiene consideraciones relativas a la evaluación del control interno. Se incluyen además, comentarios que se han entendido pertinente exponer de los estados examinados y a disposiciones legales vigentes.</w:t>
      </w:r>
    </w:p>
    <w:p w:rsidR="00EF1BF2" w:rsidRPr="00A53C2E" w:rsidRDefault="00EF1BF2" w:rsidP="00A928DE">
      <w:pPr>
        <w:spacing w:after="260" w:line="360" w:lineRule="auto"/>
        <w:ind w:firstLine="851"/>
        <w:jc w:val="both"/>
        <w:rPr>
          <w:rFonts w:ascii="Arial" w:hAnsi="Arial" w:cs="Arial"/>
        </w:rPr>
      </w:pPr>
      <w:r w:rsidRPr="006A4928">
        <w:rPr>
          <w:rFonts w:ascii="Arial" w:hAnsi="Arial" w:cs="Arial"/>
        </w:rPr>
        <w:t xml:space="preserve">También se agregan las principales recomendaciones que </w:t>
      </w:r>
      <w:proofErr w:type="gramStart"/>
      <w:r>
        <w:rPr>
          <w:rFonts w:ascii="Arial" w:hAnsi="Arial" w:cs="Arial"/>
        </w:rPr>
        <w:t>deberá</w:t>
      </w:r>
      <w:proofErr w:type="gramEnd"/>
      <w:r w:rsidRPr="006A4928">
        <w:rPr>
          <w:rFonts w:ascii="Arial" w:hAnsi="Arial" w:cs="Arial"/>
        </w:rPr>
        <w:t xml:space="preserve"> atender el Organismo </w:t>
      </w:r>
      <w:r>
        <w:rPr>
          <w:rFonts w:ascii="Arial" w:hAnsi="Arial" w:cs="Arial"/>
        </w:rPr>
        <w:t>y una evaluación del cumplimiento de las recomendaciones presentadas en el informe de auditoría del Ejercicio anterior.</w:t>
      </w:r>
    </w:p>
    <w:p w:rsidR="00EF1BF2" w:rsidRDefault="00EF1BF2" w:rsidP="00A928DE">
      <w:pPr>
        <w:spacing w:line="360" w:lineRule="auto"/>
        <w:jc w:val="both"/>
        <w:rPr>
          <w:rFonts w:ascii="Arial" w:hAnsi="Arial" w:cs="Arial"/>
          <w:b/>
        </w:rPr>
      </w:pPr>
      <w:r w:rsidRPr="006A4928">
        <w:rPr>
          <w:rFonts w:ascii="Arial" w:hAnsi="Arial" w:cs="Arial"/>
          <w:b/>
        </w:rPr>
        <w:t>Presentación de</w:t>
      </w:r>
      <w:r w:rsidR="00A928DE">
        <w:rPr>
          <w:rFonts w:ascii="Arial" w:hAnsi="Arial" w:cs="Arial"/>
          <w:b/>
        </w:rPr>
        <w:t xml:space="preserve"> los Estados</w:t>
      </w:r>
    </w:p>
    <w:p w:rsidR="00EF1BF2" w:rsidRPr="006A4928" w:rsidRDefault="00EF1BF2" w:rsidP="00A928DE">
      <w:pPr>
        <w:spacing w:line="360" w:lineRule="auto"/>
        <w:ind w:firstLine="851"/>
        <w:jc w:val="both"/>
        <w:rPr>
          <w:rFonts w:ascii="Arial" w:hAnsi="Arial" w:cs="Arial"/>
          <w:spacing w:val="-3"/>
          <w:lang w:val="es-ES_tradnl"/>
        </w:rPr>
      </w:pPr>
      <w:r w:rsidRPr="00482D93">
        <w:rPr>
          <w:rFonts w:ascii="Arial" w:hAnsi="Arial" w:cs="Arial"/>
          <w:bCs/>
        </w:rPr>
        <w:t>El</w:t>
      </w:r>
      <w:r w:rsidRPr="00482D93">
        <w:rPr>
          <w:rFonts w:ascii="Arial" w:hAnsi="Arial" w:cs="Arial"/>
        </w:rPr>
        <w:t xml:space="preserve"> Balance de Ejecución Presupuestal de la </w:t>
      </w:r>
      <w:r w:rsidRPr="00482D93">
        <w:rPr>
          <w:rFonts w:ascii="Arial" w:hAnsi="Arial" w:cs="Arial"/>
          <w:spacing w:val="-12"/>
        </w:rPr>
        <w:t>Dirección General de Casinos</w:t>
      </w:r>
      <w:r>
        <w:rPr>
          <w:rFonts w:ascii="Arial" w:hAnsi="Arial" w:cs="Arial"/>
          <w:bCs/>
        </w:rPr>
        <w:t xml:space="preserve"> correspondiente</w:t>
      </w:r>
      <w:r w:rsidRPr="00482D93">
        <w:rPr>
          <w:rFonts w:ascii="Arial" w:hAnsi="Arial" w:cs="Arial"/>
          <w:bCs/>
        </w:rPr>
        <w:t xml:space="preserve"> al </w:t>
      </w:r>
      <w:r>
        <w:rPr>
          <w:rFonts w:ascii="Arial" w:hAnsi="Arial" w:cs="Arial"/>
          <w:bCs/>
        </w:rPr>
        <w:t>E</w:t>
      </w:r>
      <w:r w:rsidRPr="00482D93">
        <w:rPr>
          <w:rFonts w:ascii="Arial" w:hAnsi="Arial" w:cs="Arial"/>
          <w:bCs/>
        </w:rPr>
        <w:t xml:space="preserve">jercicio finalizado el </w:t>
      </w:r>
      <w:r w:rsidRPr="00482D93">
        <w:rPr>
          <w:rFonts w:ascii="Arial" w:hAnsi="Arial" w:cs="Arial"/>
          <w:spacing w:val="-12"/>
        </w:rPr>
        <w:t>31/12/14</w:t>
      </w:r>
      <w:r w:rsidRPr="0010263D">
        <w:rPr>
          <w:rFonts w:ascii="Arial" w:hAnsi="Arial" w:cs="Arial"/>
          <w:b/>
          <w:bCs/>
        </w:rPr>
        <w:t xml:space="preserve">, </w:t>
      </w:r>
      <w:r w:rsidRPr="00B66E87">
        <w:rPr>
          <w:rFonts w:ascii="Arial" w:hAnsi="Arial" w:cs="Arial"/>
          <w:bCs/>
        </w:rPr>
        <w:t xml:space="preserve">fue </w:t>
      </w:r>
      <w:r>
        <w:rPr>
          <w:rFonts w:ascii="Arial" w:hAnsi="Arial" w:cs="Arial"/>
          <w:bCs/>
        </w:rPr>
        <w:t xml:space="preserve">remitido </w:t>
      </w:r>
      <w:r w:rsidRPr="00482D93">
        <w:rPr>
          <w:rFonts w:ascii="Arial" w:hAnsi="Arial" w:cs="Arial"/>
          <w:spacing w:val="-3"/>
          <w:lang w:val="es-ES_tradnl"/>
        </w:rPr>
        <w:t>par</w:t>
      </w:r>
      <w:r>
        <w:rPr>
          <w:rFonts w:ascii="Arial" w:hAnsi="Arial" w:cs="Arial"/>
          <w:spacing w:val="-3"/>
          <w:lang w:val="es-ES_tradnl"/>
        </w:rPr>
        <w:t xml:space="preserve">a su examen a este Tribunal con fecha 27/03/15 </w:t>
      </w:r>
      <w:r w:rsidRPr="00B66E87">
        <w:rPr>
          <w:rFonts w:ascii="Arial" w:hAnsi="Arial" w:cs="Arial"/>
          <w:bCs/>
        </w:rPr>
        <w:t>por Oficio N°72/2015 de</w:t>
      </w:r>
      <w:r>
        <w:rPr>
          <w:rFonts w:ascii="Arial" w:hAnsi="Arial" w:cs="Arial"/>
          <w:bCs/>
        </w:rPr>
        <w:t xml:space="preserve"> fecha 27/03/2015.</w:t>
      </w:r>
    </w:p>
    <w:p w:rsidR="00EF1BF2" w:rsidRPr="0080278A" w:rsidRDefault="00EF1BF2" w:rsidP="00A928DE">
      <w:pPr>
        <w:spacing w:line="360" w:lineRule="auto"/>
        <w:jc w:val="both"/>
        <w:rPr>
          <w:rFonts w:ascii="Arial" w:hAnsi="Arial" w:cs="Arial"/>
          <w:lang w:val="es-ES_tradnl"/>
        </w:rPr>
      </w:pPr>
    </w:p>
    <w:p w:rsidR="00EF1BF2" w:rsidRPr="006A4928" w:rsidRDefault="00EF1BF2" w:rsidP="00A928DE">
      <w:pPr>
        <w:spacing w:line="360" w:lineRule="auto"/>
        <w:jc w:val="both"/>
        <w:rPr>
          <w:rFonts w:ascii="Arial" w:hAnsi="Arial" w:cs="Arial"/>
          <w:b/>
        </w:rPr>
      </w:pPr>
      <w:r>
        <w:rPr>
          <w:rFonts w:ascii="Arial" w:hAnsi="Arial" w:cs="Arial"/>
          <w:b/>
        </w:rPr>
        <w:t>Evaluación del Control I</w:t>
      </w:r>
      <w:r w:rsidRPr="006A4928">
        <w:rPr>
          <w:rFonts w:ascii="Arial" w:hAnsi="Arial" w:cs="Arial"/>
          <w:b/>
        </w:rPr>
        <w:t>nterno</w:t>
      </w:r>
    </w:p>
    <w:p w:rsidR="00EF1BF2" w:rsidRDefault="00EF1BF2" w:rsidP="00A928DE">
      <w:pPr>
        <w:spacing w:line="360" w:lineRule="auto"/>
        <w:ind w:firstLine="851"/>
        <w:jc w:val="both"/>
        <w:rPr>
          <w:rFonts w:ascii="Arial" w:hAnsi="Arial" w:cs="Arial"/>
          <w:bCs/>
        </w:rPr>
      </w:pPr>
      <w:r>
        <w:rPr>
          <w:rFonts w:ascii="Arial" w:hAnsi="Arial" w:cs="Arial"/>
          <w:bCs/>
        </w:rPr>
        <w:t xml:space="preserve">El examen de los aspectos de control interno relevantes para la preparación y presentación razonable de los Estados </w:t>
      </w:r>
      <w:proofErr w:type="spellStart"/>
      <w:r>
        <w:rPr>
          <w:rFonts w:ascii="Arial" w:hAnsi="Arial" w:cs="Arial"/>
          <w:bCs/>
        </w:rPr>
        <w:t>Einancieros</w:t>
      </w:r>
      <w:proofErr w:type="spellEnd"/>
      <w:r>
        <w:rPr>
          <w:rFonts w:ascii="Arial" w:hAnsi="Arial" w:cs="Arial"/>
          <w:bCs/>
        </w:rPr>
        <w:t>, permitió constatar las siguientes debilidades en relación a las actividades de control, información financiera y cumplimiento de normas legales:</w:t>
      </w:r>
    </w:p>
    <w:p w:rsidR="00EF1BF2" w:rsidRDefault="00EF1BF2" w:rsidP="00A928DE">
      <w:pPr>
        <w:spacing w:line="360" w:lineRule="auto"/>
        <w:ind w:firstLine="708"/>
        <w:jc w:val="both"/>
        <w:rPr>
          <w:rFonts w:ascii="Arial" w:hAnsi="Arial" w:cs="Arial"/>
          <w:bCs/>
        </w:rPr>
      </w:pPr>
    </w:p>
    <w:p w:rsidR="00EF1BF2" w:rsidRPr="009559BD" w:rsidRDefault="00A928DE" w:rsidP="00A928DE">
      <w:pPr>
        <w:spacing w:line="360" w:lineRule="auto"/>
        <w:jc w:val="both"/>
        <w:rPr>
          <w:rFonts w:ascii="Arial" w:hAnsi="Arial" w:cs="Arial"/>
          <w:b/>
          <w:bCs/>
        </w:rPr>
      </w:pPr>
      <w:r>
        <w:rPr>
          <w:rFonts w:ascii="Arial" w:hAnsi="Arial" w:cs="Arial"/>
          <w:b/>
          <w:bCs/>
        </w:rPr>
        <w:t>Bienes de Uso</w:t>
      </w:r>
    </w:p>
    <w:p w:rsidR="00EF1BF2" w:rsidRPr="0007631B" w:rsidRDefault="00EF1BF2" w:rsidP="00EF1BF2">
      <w:pPr>
        <w:pStyle w:val="Prrafodelista"/>
        <w:numPr>
          <w:ilvl w:val="0"/>
          <w:numId w:val="7"/>
        </w:numPr>
        <w:tabs>
          <w:tab w:val="left" w:pos="284"/>
        </w:tabs>
        <w:spacing w:after="0" w:line="360" w:lineRule="auto"/>
        <w:ind w:left="0" w:firstLine="0"/>
        <w:jc w:val="both"/>
        <w:rPr>
          <w:rFonts w:ascii="Arial" w:eastAsia="Times New Roman" w:hAnsi="Arial" w:cs="Arial"/>
          <w:bCs/>
          <w:sz w:val="24"/>
          <w:szCs w:val="24"/>
          <w:lang w:eastAsia="es-ES"/>
        </w:rPr>
      </w:pPr>
      <w:r w:rsidRPr="0007631B">
        <w:rPr>
          <w:rFonts w:ascii="Arial" w:eastAsia="Times New Roman" w:hAnsi="Arial" w:cs="Arial"/>
          <w:bCs/>
          <w:sz w:val="24"/>
          <w:szCs w:val="24"/>
          <w:lang w:eastAsia="es-ES"/>
        </w:rPr>
        <w:t xml:space="preserve">No se realizan recuentos físicos de los bienes de uso existentes en el </w:t>
      </w:r>
      <w:r w:rsidR="00A928DE">
        <w:rPr>
          <w:rFonts w:ascii="Arial" w:eastAsia="Times New Roman" w:hAnsi="Arial" w:cs="Arial"/>
          <w:bCs/>
          <w:sz w:val="24"/>
          <w:szCs w:val="24"/>
          <w:lang w:eastAsia="es-ES"/>
        </w:rPr>
        <w:t>organismo en forma  periódica.</w:t>
      </w:r>
    </w:p>
    <w:p w:rsidR="00EF1BF2" w:rsidRPr="0007631B" w:rsidRDefault="00EF1BF2" w:rsidP="00EF1BF2">
      <w:pPr>
        <w:pStyle w:val="Prrafodelista"/>
        <w:numPr>
          <w:ilvl w:val="0"/>
          <w:numId w:val="7"/>
        </w:numPr>
        <w:tabs>
          <w:tab w:val="left" w:pos="284"/>
        </w:tabs>
        <w:spacing w:after="0" w:line="360" w:lineRule="auto"/>
        <w:ind w:left="0" w:firstLine="0"/>
        <w:jc w:val="both"/>
        <w:rPr>
          <w:rFonts w:ascii="Arial" w:eastAsia="Times New Roman" w:hAnsi="Arial" w:cs="Arial"/>
          <w:bCs/>
          <w:sz w:val="24"/>
          <w:szCs w:val="24"/>
          <w:lang w:eastAsia="es-ES"/>
        </w:rPr>
      </w:pPr>
      <w:r w:rsidRPr="0007631B">
        <w:rPr>
          <w:rFonts w:ascii="Arial" w:eastAsia="Times New Roman" w:hAnsi="Arial" w:cs="Arial"/>
          <w:bCs/>
          <w:sz w:val="24"/>
          <w:szCs w:val="24"/>
          <w:lang w:eastAsia="es-ES"/>
        </w:rPr>
        <w:t xml:space="preserve">No existe una adecuada separación de funciones en lo que respecta a los procedimientos de </w:t>
      </w:r>
      <w:r w:rsidRPr="00C63043">
        <w:rPr>
          <w:rFonts w:ascii="Arial" w:eastAsia="Times New Roman" w:hAnsi="Arial" w:cs="Arial"/>
          <w:bCs/>
          <w:sz w:val="24"/>
          <w:szCs w:val="24"/>
          <w:lang w:eastAsia="es-ES"/>
        </w:rPr>
        <w:t>adquisición,</w:t>
      </w:r>
      <w:r w:rsidRPr="0007631B">
        <w:rPr>
          <w:rFonts w:ascii="Arial" w:eastAsia="Times New Roman" w:hAnsi="Arial" w:cs="Arial"/>
          <w:bCs/>
          <w:sz w:val="24"/>
          <w:szCs w:val="24"/>
          <w:lang w:eastAsia="es-ES"/>
        </w:rPr>
        <w:t xml:space="preserve"> recepción, custodia y gestión del uso de las máquinas y material de ju</w:t>
      </w:r>
      <w:r>
        <w:rPr>
          <w:rFonts w:ascii="Arial" w:eastAsia="Times New Roman" w:hAnsi="Arial" w:cs="Arial"/>
          <w:bCs/>
          <w:sz w:val="24"/>
          <w:szCs w:val="24"/>
          <w:lang w:eastAsia="es-ES"/>
        </w:rPr>
        <w:t>ego. La totalidad del proceso lo</w:t>
      </w:r>
      <w:r w:rsidR="00A928DE">
        <w:rPr>
          <w:rFonts w:ascii="Arial" w:eastAsia="Times New Roman" w:hAnsi="Arial" w:cs="Arial"/>
          <w:bCs/>
          <w:sz w:val="24"/>
          <w:szCs w:val="24"/>
          <w:lang w:eastAsia="es-ES"/>
        </w:rPr>
        <w:t xml:space="preserve"> realiza el área comercial.</w:t>
      </w:r>
    </w:p>
    <w:p w:rsidR="00EF1BF2" w:rsidRPr="0007631B" w:rsidRDefault="00EF1BF2" w:rsidP="00EF1BF2">
      <w:pPr>
        <w:pStyle w:val="Prrafodelista"/>
        <w:numPr>
          <w:ilvl w:val="0"/>
          <w:numId w:val="7"/>
        </w:numPr>
        <w:tabs>
          <w:tab w:val="left" w:pos="284"/>
        </w:tabs>
        <w:spacing w:after="0" w:line="360" w:lineRule="auto"/>
        <w:ind w:left="0" w:firstLine="0"/>
        <w:jc w:val="both"/>
        <w:rPr>
          <w:rFonts w:ascii="Arial" w:eastAsia="Times New Roman" w:hAnsi="Arial" w:cs="Arial"/>
          <w:bCs/>
          <w:sz w:val="24"/>
          <w:szCs w:val="24"/>
          <w:lang w:eastAsia="es-ES"/>
        </w:rPr>
      </w:pPr>
      <w:r w:rsidRPr="0007631B">
        <w:rPr>
          <w:rFonts w:ascii="Arial" w:eastAsia="Times New Roman" w:hAnsi="Arial" w:cs="Arial"/>
          <w:bCs/>
          <w:sz w:val="24"/>
          <w:szCs w:val="24"/>
          <w:lang w:eastAsia="es-ES"/>
        </w:rPr>
        <w:t xml:space="preserve">Hasta el mes de agosto de 2014 no se utilizó, para los trámites de importación de máquinas y material de juego, el procedimiento establecido  en el Artículo 18 del Texto Ordenado de Inversiones. </w:t>
      </w:r>
      <w:r>
        <w:rPr>
          <w:rFonts w:ascii="Arial" w:eastAsia="Times New Roman" w:hAnsi="Arial" w:cs="Arial"/>
          <w:bCs/>
          <w:sz w:val="24"/>
          <w:szCs w:val="24"/>
          <w:lang w:eastAsia="es-ES"/>
        </w:rPr>
        <w:t>H</w:t>
      </w:r>
      <w:r w:rsidRPr="0007631B">
        <w:rPr>
          <w:rFonts w:ascii="Arial" w:eastAsia="Times New Roman" w:hAnsi="Arial" w:cs="Arial"/>
          <w:bCs/>
          <w:sz w:val="24"/>
          <w:szCs w:val="24"/>
          <w:lang w:eastAsia="es-ES"/>
        </w:rPr>
        <w:t xml:space="preserve">asta </w:t>
      </w:r>
      <w:r>
        <w:rPr>
          <w:rFonts w:ascii="Arial" w:eastAsia="Times New Roman" w:hAnsi="Arial" w:cs="Arial"/>
          <w:bCs/>
          <w:sz w:val="24"/>
          <w:szCs w:val="24"/>
          <w:lang w:eastAsia="es-ES"/>
        </w:rPr>
        <w:t xml:space="preserve">esa </w:t>
      </w:r>
      <w:r w:rsidRPr="0007631B">
        <w:rPr>
          <w:rFonts w:ascii="Arial" w:eastAsia="Times New Roman" w:hAnsi="Arial" w:cs="Arial"/>
          <w:bCs/>
          <w:sz w:val="24"/>
          <w:szCs w:val="24"/>
          <w:lang w:eastAsia="es-ES"/>
        </w:rPr>
        <w:t>fecha, el Área Financiera no participaba en la tramitación de las Cartas de Crédito para abonar las importaciones</w:t>
      </w:r>
      <w:r>
        <w:rPr>
          <w:rFonts w:ascii="Arial" w:eastAsia="Times New Roman" w:hAnsi="Arial" w:cs="Arial"/>
          <w:bCs/>
          <w:sz w:val="24"/>
          <w:szCs w:val="24"/>
          <w:lang w:eastAsia="es-ES"/>
        </w:rPr>
        <w:t xml:space="preserve">. En </w:t>
      </w:r>
      <w:r w:rsidRPr="0007631B">
        <w:rPr>
          <w:rFonts w:ascii="Arial" w:eastAsia="Times New Roman" w:hAnsi="Arial" w:cs="Arial"/>
          <w:bCs/>
          <w:sz w:val="24"/>
          <w:szCs w:val="24"/>
          <w:lang w:eastAsia="es-ES"/>
        </w:rPr>
        <w:t xml:space="preserve">los expedientes </w:t>
      </w:r>
      <w:r>
        <w:rPr>
          <w:rFonts w:ascii="Arial" w:eastAsia="Times New Roman" w:hAnsi="Arial" w:cs="Arial"/>
          <w:bCs/>
          <w:sz w:val="24"/>
          <w:szCs w:val="24"/>
          <w:lang w:eastAsia="es-ES"/>
        </w:rPr>
        <w:t xml:space="preserve">no </w:t>
      </w:r>
      <w:r w:rsidRPr="0007631B">
        <w:rPr>
          <w:rFonts w:ascii="Arial" w:eastAsia="Times New Roman" w:hAnsi="Arial" w:cs="Arial"/>
          <w:bCs/>
          <w:sz w:val="24"/>
          <w:szCs w:val="24"/>
          <w:lang w:eastAsia="es-ES"/>
        </w:rPr>
        <w:t xml:space="preserve">se incorporaba la documentación original que acredita el ingreso al patrimonio </w:t>
      </w:r>
      <w:r>
        <w:rPr>
          <w:rFonts w:ascii="Arial" w:eastAsia="Times New Roman" w:hAnsi="Arial" w:cs="Arial"/>
          <w:bCs/>
          <w:sz w:val="24"/>
          <w:szCs w:val="24"/>
          <w:lang w:eastAsia="es-ES"/>
        </w:rPr>
        <w:t>de los bienes adquiridos por el</w:t>
      </w:r>
      <w:r w:rsidRPr="0007631B">
        <w:rPr>
          <w:rFonts w:ascii="Arial" w:eastAsia="Times New Roman" w:hAnsi="Arial" w:cs="Arial"/>
          <w:bCs/>
          <w:sz w:val="24"/>
          <w:szCs w:val="24"/>
          <w:lang w:eastAsia="es-ES"/>
        </w:rPr>
        <w:t xml:space="preserve"> organismo. </w:t>
      </w:r>
      <w:r>
        <w:rPr>
          <w:rFonts w:ascii="Arial" w:eastAsia="Times New Roman" w:hAnsi="Arial" w:cs="Arial"/>
          <w:bCs/>
          <w:sz w:val="24"/>
          <w:szCs w:val="24"/>
          <w:lang w:eastAsia="es-ES"/>
        </w:rPr>
        <w:t>A partir de dicha fecha</w:t>
      </w:r>
      <w:r w:rsidRPr="0007631B">
        <w:rPr>
          <w:rFonts w:ascii="Arial" w:eastAsia="Times New Roman" w:hAnsi="Arial" w:cs="Arial"/>
          <w:bCs/>
          <w:sz w:val="24"/>
          <w:szCs w:val="24"/>
          <w:lang w:eastAsia="es-ES"/>
        </w:rPr>
        <w:t xml:space="preserve"> el procedimiento </w:t>
      </w:r>
      <w:r>
        <w:rPr>
          <w:rFonts w:ascii="Arial" w:eastAsia="Times New Roman" w:hAnsi="Arial" w:cs="Arial"/>
          <w:bCs/>
          <w:sz w:val="24"/>
          <w:szCs w:val="24"/>
          <w:lang w:eastAsia="es-ES"/>
        </w:rPr>
        <w:t xml:space="preserve">fue </w:t>
      </w:r>
      <w:r w:rsidRPr="0007631B">
        <w:rPr>
          <w:rFonts w:ascii="Arial" w:eastAsia="Times New Roman" w:hAnsi="Arial" w:cs="Arial"/>
          <w:bCs/>
          <w:sz w:val="24"/>
          <w:szCs w:val="24"/>
          <w:lang w:eastAsia="es-ES"/>
        </w:rPr>
        <w:t>regulariz</w:t>
      </w:r>
      <w:r>
        <w:rPr>
          <w:rFonts w:ascii="Arial" w:eastAsia="Times New Roman" w:hAnsi="Arial" w:cs="Arial"/>
          <w:bCs/>
          <w:sz w:val="24"/>
          <w:szCs w:val="24"/>
          <w:lang w:eastAsia="es-ES"/>
        </w:rPr>
        <w:t>ado.</w:t>
      </w:r>
    </w:p>
    <w:p w:rsidR="00EF1BF2" w:rsidRDefault="00EF1BF2" w:rsidP="00A928DE">
      <w:pPr>
        <w:spacing w:line="360" w:lineRule="auto"/>
        <w:jc w:val="both"/>
        <w:rPr>
          <w:rFonts w:ascii="Arial" w:hAnsi="Arial" w:cs="Arial"/>
          <w:bCs/>
        </w:rPr>
      </w:pPr>
    </w:p>
    <w:p w:rsidR="00A928DE" w:rsidRDefault="00A928DE" w:rsidP="00A928DE">
      <w:pPr>
        <w:spacing w:line="360" w:lineRule="auto"/>
        <w:jc w:val="both"/>
        <w:rPr>
          <w:rFonts w:ascii="Arial" w:hAnsi="Arial" w:cs="Arial"/>
          <w:bCs/>
        </w:rPr>
      </w:pPr>
    </w:p>
    <w:p w:rsidR="00A928DE" w:rsidRDefault="00A928DE" w:rsidP="00A928DE">
      <w:pPr>
        <w:spacing w:line="360" w:lineRule="auto"/>
        <w:jc w:val="both"/>
        <w:rPr>
          <w:rFonts w:ascii="Arial" w:hAnsi="Arial" w:cs="Arial"/>
          <w:bCs/>
        </w:rPr>
      </w:pPr>
    </w:p>
    <w:p w:rsidR="00EF1BF2" w:rsidRPr="00081381" w:rsidRDefault="00EF1BF2" w:rsidP="00A928DE">
      <w:pPr>
        <w:spacing w:line="360" w:lineRule="auto"/>
        <w:jc w:val="both"/>
        <w:rPr>
          <w:rFonts w:ascii="Arial" w:hAnsi="Arial" w:cs="Arial"/>
          <w:b/>
          <w:bCs/>
        </w:rPr>
      </w:pPr>
      <w:r w:rsidRPr="00081381">
        <w:rPr>
          <w:rFonts w:ascii="Arial" w:hAnsi="Arial" w:cs="Arial"/>
          <w:b/>
          <w:bCs/>
        </w:rPr>
        <w:t>Otras constataciones</w:t>
      </w:r>
    </w:p>
    <w:p w:rsidR="00EF1BF2" w:rsidRPr="0011609E" w:rsidRDefault="00EF1BF2" w:rsidP="00EF1BF2">
      <w:pPr>
        <w:pStyle w:val="Prrafodelista"/>
        <w:numPr>
          <w:ilvl w:val="0"/>
          <w:numId w:val="7"/>
        </w:numPr>
        <w:tabs>
          <w:tab w:val="left" w:pos="284"/>
        </w:tabs>
        <w:spacing w:after="0" w:line="360" w:lineRule="auto"/>
        <w:ind w:left="0" w:firstLine="0"/>
        <w:jc w:val="both"/>
        <w:rPr>
          <w:rFonts w:ascii="Arial" w:eastAsia="Times New Roman" w:hAnsi="Arial" w:cs="Arial"/>
          <w:bCs/>
          <w:sz w:val="24"/>
          <w:szCs w:val="24"/>
          <w:lang w:eastAsia="es-ES"/>
        </w:rPr>
      </w:pPr>
      <w:r w:rsidRPr="0011609E">
        <w:rPr>
          <w:rFonts w:ascii="Arial" w:eastAsia="Times New Roman" w:hAnsi="Arial" w:cs="Arial"/>
          <w:bCs/>
          <w:sz w:val="24"/>
          <w:szCs w:val="24"/>
          <w:lang w:eastAsia="es-ES"/>
        </w:rPr>
        <w:t xml:space="preserve">En el </w:t>
      </w:r>
      <w:r>
        <w:rPr>
          <w:rFonts w:ascii="Arial" w:eastAsia="Times New Roman" w:hAnsi="Arial" w:cs="Arial"/>
          <w:bCs/>
          <w:sz w:val="24"/>
          <w:szCs w:val="24"/>
          <w:lang w:eastAsia="es-ES"/>
        </w:rPr>
        <w:t>E</w:t>
      </w:r>
      <w:r w:rsidRPr="0011609E">
        <w:rPr>
          <w:rFonts w:ascii="Arial" w:eastAsia="Times New Roman" w:hAnsi="Arial" w:cs="Arial"/>
          <w:bCs/>
          <w:sz w:val="24"/>
          <w:szCs w:val="24"/>
          <w:lang w:eastAsia="es-ES"/>
        </w:rPr>
        <w:t xml:space="preserve">jercicio se abonó la partida establecida en el </w:t>
      </w:r>
      <w:r>
        <w:rPr>
          <w:rFonts w:ascii="Arial" w:eastAsia="Times New Roman" w:hAnsi="Arial" w:cs="Arial"/>
          <w:bCs/>
          <w:sz w:val="24"/>
          <w:szCs w:val="24"/>
          <w:lang w:eastAsia="es-ES"/>
        </w:rPr>
        <w:t>A</w:t>
      </w:r>
      <w:r w:rsidRPr="0011609E">
        <w:rPr>
          <w:rFonts w:ascii="Arial" w:eastAsia="Times New Roman" w:hAnsi="Arial" w:cs="Arial"/>
          <w:bCs/>
          <w:sz w:val="24"/>
          <w:szCs w:val="24"/>
          <w:lang w:eastAsia="es-ES"/>
        </w:rPr>
        <w:t xml:space="preserve">rtículo 8 del Presupuesto 2014 de la DGC para tareas especializadas por un monto de </w:t>
      </w:r>
      <w:r>
        <w:rPr>
          <w:rFonts w:ascii="Arial" w:eastAsia="Times New Roman" w:hAnsi="Arial" w:cs="Arial"/>
          <w:bCs/>
          <w:sz w:val="24"/>
          <w:szCs w:val="24"/>
          <w:lang w:eastAsia="es-ES"/>
        </w:rPr>
        <w:t xml:space="preserve">        </w:t>
      </w:r>
      <w:r w:rsidRPr="0011609E">
        <w:rPr>
          <w:rFonts w:ascii="Arial" w:eastAsia="Times New Roman" w:hAnsi="Arial" w:cs="Arial"/>
          <w:bCs/>
          <w:sz w:val="24"/>
          <w:szCs w:val="24"/>
          <w:lang w:eastAsia="es-ES"/>
        </w:rPr>
        <w:t>$ 2</w:t>
      </w:r>
      <w:r>
        <w:rPr>
          <w:rFonts w:ascii="Arial" w:eastAsia="Times New Roman" w:hAnsi="Arial" w:cs="Arial"/>
          <w:bCs/>
          <w:sz w:val="24"/>
          <w:szCs w:val="24"/>
          <w:lang w:eastAsia="es-ES"/>
        </w:rPr>
        <w:t>:</w:t>
      </w:r>
      <w:r w:rsidRPr="0011609E">
        <w:rPr>
          <w:rFonts w:ascii="Arial" w:eastAsia="Times New Roman" w:hAnsi="Arial" w:cs="Arial"/>
          <w:bCs/>
          <w:sz w:val="24"/>
          <w:szCs w:val="24"/>
          <w:lang w:eastAsia="es-ES"/>
        </w:rPr>
        <w:t xml:space="preserve">288.782, la misma fue imputada al </w:t>
      </w:r>
      <w:r>
        <w:rPr>
          <w:rFonts w:ascii="Arial" w:eastAsia="Times New Roman" w:hAnsi="Arial" w:cs="Arial"/>
          <w:bCs/>
          <w:sz w:val="24"/>
          <w:szCs w:val="24"/>
          <w:lang w:eastAsia="es-ES"/>
        </w:rPr>
        <w:t>O</w:t>
      </w:r>
      <w:r w:rsidRPr="0011609E">
        <w:rPr>
          <w:rFonts w:ascii="Arial" w:eastAsia="Times New Roman" w:hAnsi="Arial" w:cs="Arial"/>
          <w:bCs/>
          <w:sz w:val="24"/>
          <w:szCs w:val="24"/>
          <w:lang w:eastAsia="es-ES"/>
        </w:rPr>
        <w:t xml:space="preserve">bjeto del </w:t>
      </w:r>
      <w:r>
        <w:rPr>
          <w:rFonts w:ascii="Arial" w:eastAsia="Times New Roman" w:hAnsi="Arial" w:cs="Arial"/>
          <w:bCs/>
          <w:sz w:val="24"/>
          <w:szCs w:val="24"/>
          <w:lang w:eastAsia="es-ES"/>
        </w:rPr>
        <w:t>G</w:t>
      </w:r>
      <w:r w:rsidRPr="0011609E">
        <w:rPr>
          <w:rFonts w:ascii="Arial" w:eastAsia="Times New Roman" w:hAnsi="Arial" w:cs="Arial"/>
          <w:bCs/>
          <w:sz w:val="24"/>
          <w:szCs w:val="24"/>
          <w:lang w:eastAsia="es-ES"/>
        </w:rPr>
        <w:t xml:space="preserve">asto 042.046 “Participación en la Utilidades", </w:t>
      </w:r>
      <w:r>
        <w:rPr>
          <w:rFonts w:ascii="Arial" w:eastAsia="Times New Roman" w:hAnsi="Arial" w:cs="Arial"/>
          <w:bCs/>
          <w:sz w:val="24"/>
          <w:szCs w:val="24"/>
          <w:lang w:eastAsia="es-ES"/>
        </w:rPr>
        <w:t xml:space="preserve">al no estar dicha retribución vinculada a las mismas </w:t>
      </w:r>
      <w:r w:rsidRPr="0011609E">
        <w:rPr>
          <w:rFonts w:ascii="Arial" w:eastAsia="Times New Roman" w:hAnsi="Arial" w:cs="Arial"/>
          <w:bCs/>
          <w:sz w:val="24"/>
          <w:szCs w:val="24"/>
          <w:lang w:eastAsia="es-ES"/>
        </w:rPr>
        <w:t>correspond</w:t>
      </w:r>
      <w:r>
        <w:rPr>
          <w:rFonts w:ascii="Arial" w:eastAsia="Times New Roman" w:hAnsi="Arial" w:cs="Arial"/>
          <w:bCs/>
          <w:sz w:val="24"/>
          <w:szCs w:val="24"/>
          <w:lang w:eastAsia="es-ES"/>
        </w:rPr>
        <w:t>ia</w:t>
      </w:r>
      <w:r w:rsidRPr="0011609E">
        <w:rPr>
          <w:rFonts w:ascii="Arial" w:eastAsia="Times New Roman" w:hAnsi="Arial" w:cs="Arial"/>
          <w:bCs/>
          <w:sz w:val="24"/>
          <w:szCs w:val="24"/>
          <w:lang w:eastAsia="es-ES"/>
        </w:rPr>
        <w:t xml:space="preserve"> registrarla en</w:t>
      </w:r>
      <w:r w:rsidR="00035746">
        <w:rPr>
          <w:rFonts w:ascii="Arial" w:eastAsia="Times New Roman" w:hAnsi="Arial" w:cs="Arial"/>
          <w:bCs/>
          <w:sz w:val="24"/>
          <w:szCs w:val="24"/>
          <w:lang w:eastAsia="es-ES"/>
        </w:rPr>
        <w:t xml:space="preserve"> un objeto del gasto diferente.</w:t>
      </w:r>
    </w:p>
    <w:p w:rsidR="00EF1BF2" w:rsidRPr="00035746" w:rsidRDefault="00EF1BF2" w:rsidP="00A928DE">
      <w:pPr>
        <w:spacing w:line="360" w:lineRule="auto"/>
        <w:jc w:val="both"/>
        <w:rPr>
          <w:rFonts w:ascii="Arial" w:hAnsi="Arial" w:cs="Arial"/>
          <w:bCs/>
          <w:lang w:val="es-UY"/>
        </w:rPr>
      </w:pPr>
    </w:p>
    <w:p w:rsidR="00EF1BF2" w:rsidRDefault="00EF1BF2" w:rsidP="00A928DE">
      <w:pPr>
        <w:pStyle w:val="Sangradetextonormal"/>
        <w:ind w:left="0"/>
        <w:jc w:val="both"/>
        <w:rPr>
          <w:rFonts w:ascii="Arial" w:hAnsi="Arial" w:cs="Arial"/>
          <w:b/>
          <w:bCs/>
          <w:sz w:val="24"/>
          <w:szCs w:val="24"/>
        </w:rPr>
      </w:pPr>
      <w:r>
        <w:rPr>
          <w:rFonts w:ascii="Arial" w:hAnsi="Arial" w:cs="Arial"/>
          <w:b/>
          <w:bCs/>
          <w:sz w:val="24"/>
          <w:szCs w:val="24"/>
        </w:rPr>
        <w:t>Incumplimiento de disposiciones Legales y Reglamentarias</w:t>
      </w:r>
    </w:p>
    <w:p w:rsidR="00EF1BF2" w:rsidRDefault="00EF1BF2" w:rsidP="00A928DE">
      <w:pPr>
        <w:pStyle w:val="Sangradetextonormal"/>
        <w:ind w:left="720"/>
        <w:jc w:val="both"/>
        <w:rPr>
          <w:rFonts w:ascii="Arial" w:hAnsi="Arial" w:cs="Arial"/>
          <w:bCs/>
          <w:sz w:val="24"/>
          <w:szCs w:val="24"/>
        </w:rPr>
      </w:pPr>
    </w:p>
    <w:p w:rsidR="00EF1BF2" w:rsidRPr="00035746" w:rsidRDefault="00EF1BF2" w:rsidP="00A928DE">
      <w:pPr>
        <w:pStyle w:val="Textoindependiente"/>
        <w:spacing w:line="360" w:lineRule="auto"/>
        <w:jc w:val="both"/>
        <w:rPr>
          <w:rFonts w:ascii="Arial" w:hAnsi="Arial" w:cs="Arial"/>
          <w:b/>
          <w:bCs/>
          <w:sz w:val="24"/>
          <w:szCs w:val="24"/>
        </w:rPr>
      </w:pPr>
      <w:r w:rsidRPr="00035746">
        <w:rPr>
          <w:rFonts w:ascii="Arial" w:hAnsi="Arial" w:cs="Arial"/>
          <w:b/>
          <w:sz w:val="24"/>
          <w:szCs w:val="24"/>
        </w:rPr>
        <w:t>Artículo 49 Ley N° 18.651 de 2010,”Protección Integral de personas con Discapacidad</w:t>
      </w:r>
      <w:r w:rsidR="00035746">
        <w:rPr>
          <w:rFonts w:ascii="Arial" w:hAnsi="Arial" w:cs="Arial"/>
          <w:sz w:val="24"/>
          <w:szCs w:val="24"/>
        </w:rPr>
        <w:t>”</w:t>
      </w:r>
    </w:p>
    <w:p w:rsidR="00EF1BF2" w:rsidRPr="00035746" w:rsidRDefault="00EF1BF2" w:rsidP="00A928DE">
      <w:pPr>
        <w:pStyle w:val="Textoindependiente"/>
        <w:spacing w:line="360" w:lineRule="auto"/>
        <w:ind w:firstLine="851"/>
        <w:jc w:val="both"/>
        <w:rPr>
          <w:rFonts w:ascii="Arial" w:hAnsi="Arial" w:cs="Arial"/>
          <w:sz w:val="24"/>
          <w:szCs w:val="24"/>
        </w:rPr>
      </w:pPr>
      <w:r w:rsidRPr="00035746">
        <w:rPr>
          <w:rFonts w:ascii="Arial" w:hAnsi="Arial" w:cs="Arial"/>
          <w:sz w:val="24"/>
          <w:szCs w:val="24"/>
        </w:rPr>
        <w:t>El Artículo 49 de la Ley 18.651 sobre “Protección Integral de Personas con Discapacidad” (aprobada el 19 de febrero de 2010) dispone que los organismos del Estado y las Personas Jurídicas de Derecho Público no Estatal están obligadas a ocupar personas con discapacidad que reúnan condiciones de idoneidad para el cargo en una proporción mínima no inferior al 4% (cuatro por ciento) de sus vacantes.</w:t>
      </w:r>
    </w:p>
    <w:p w:rsidR="00EF1BF2" w:rsidRPr="00B55E09" w:rsidRDefault="00EF1BF2" w:rsidP="00A928DE">
      <w:pPr>
        <w:spacing w:line="360" w:lineRule="auto"/>
        <w:jc w:val="both"/>
        <w:rPr>
          <w:rFonts w:ascii="Arial" w:hAnsi="Arial" w:cs="Arial"/>
          <w:lang w:val="es-ES_tradnl" w:eastAsia="en-US"/>
        </w:rPr>
      </w:pPr>
      <w:r w:rsidRPr="00B55E09">
        <w:rPr>
          <w:rFonts w:ascii="Arial" w:hAnsi="Arial" w:cs="Arial"/>
          <w:lang w:val="es-ES_tradnl" w:eastAsia="en-US"/>
        </w:rPr>
        <w:t xml:space="preserve">De los </w:t>
      </w:r>
      <w:r>
        <w:rPr>
          <w:rFonts w:ascii="Arial" w:hAnsi="Arial" w:cs="Arial"/>
          <w:lang w:val="es-ES_tradnl" w:eastAsia="en-US"/>
        </w:rPr>
        <w:t xml:space="preserve">informes realizados </w:t>
      </w:r>
      <w:r w:rsidRPr="00B55E09">
        <w:rPr>
          <w:rFonts w:ascii="Arial" w:hAnsi="Arial" w:cs="Arial"/>
          <w:lang w:val="es-ES_tradnl" w:eastAsia="en-US"/>
        </w:rPr>
        <w:t xml:space="preserve">por la ONSC durante el </w:t>
      </w:r>
      <w:r>
        <w:rPr>
          <w:rFonts w:ascii="Arial" w:hAnsi="Arial" w:cs="Arial"/>
          <w:lang w:val="es-ES_tradnl" w:eastAsia="en-US"/>
        </w:rPr>
        <w:t>E</w:t>
      </w:r>
      <w:r w:rsidRPr="00B55E09">
        <w:rPr>
          <w:rFonts w:ascii="Arial" w:hAnsi="Arial" w:cs="Arial"/>
          <w:lang w:val="es-ES_tradnl" w:eastAsia="en-US"/>
        </w:rPr>
        <w:t xml:space="preserve">jercicio 2014 </w:t>
      </w:r>
      <w:r>
        <w:rPr>
          <w:rFonts w:ascii="Arial" w:hAnsi="Arial" w:cs="Arial"/>
          <w:lang w:val="es-ES_tradnl" w:eastAsia="en-US"/>
        </w:rPr>
        <w:t xml:space="preserve"> surge que no </w:t>
      </w:r>
      <w:r w:rsidRPr="00B55E09">
        <w:rPr>
          <w:rFonts w:ascii="Arial" w:hAnsi="Arial" w:cs="Arial"/>
          <w:lang w:val="es-ES_tradnl" w:eastAsia="en-US"/>
        </w:rPr>
        <w:t>ingres</w:t>
      </w:r>
      <w:r>
        <w:rPr>
          <w:rFonts w:ascii="Arial" w:hAnsi="Arial" w:cs="Arial"/>
          <w:lang w:val="es-ES_tradnl" w:eastAsia="en-US"/>
        </w:rPr>
        <w:t>ar</w:t>
      </w:r>
      <w:r w:rsidRPr="00B55E09">
        <w:rPr>
          <w:rFonts w:ascii="Arial" w:hAnsi="Arial" w:cs="Arial"/>
          <w:lang w:val="es-ES_tradnl" w:eastAsia="en-US"/>
        </w:rPr>
        <w:t>o</w:t>
      </w:r>
      <w:r>
        <w:rPr>
          <w:rFonts w:ascii="Arial" w:hAnsi="Arial" w:cs="Arial"/>
          <w:lang w:val="es-ES_tradnl" w:eastAsia="en-US"/>
        </w:rPr>
        <w:t>n</w:t>
      </w:r>
      <w:r w:rsidRPr="00B55E09">
        <w:rPr>
          <w:rFonts w:ascii="Arial" w:hAnsi="Arial" w:cs="Arial"/>
          <w:lang w:val="es-ES_tradnl" w:eastAsia="en-US"/>
        </w:rPr>
        <w:t xml:space="preserve"> persona</w:t>
      </w:r>
      <w:r>
        <w:rPr>
          <w:rFonts w:ascii="Arial" w:hAnsi="Arial" w:cs="Arial"/>
          <w:lang w:val="es-ES_tradnl" w:eastAsia="en-US"/>
        </w:rPr>
        <w:t>s</w:t>
      </w:r>
      <w:r w:rsidRPr="00B55E09">
        <w:rPr>
          <w:rFonts w:ascii="Arial" w:hAnsi="Arial" w:cs="Arial"/>
          <w:lang w:val="es-ES_tradnl" w:eastAsia="en-US"/>
        </w:rPr>
        <w:t xml:space="preserve"> </w:t>
      </w:r>
      <w:r w:rsidRPr="002431DA">
        <w:rPr>
          <w:rFonts w:ascii="Arial" w:hAnsi="Arial" w:cs="Arial"/>
          <w:lang w:val="es-ES_tradnl" w:eastAsia="en-US"/>
        </w:rPr>
        <w:t>con discapacidad</w:t>
      </w:r>
      <w:r>
        <w:rPr>
          <w:rFonts w:ascii="Arial" w:hAnsi="Arial" w:cs="Arial"/>
          <w:lang w:val="es-ES_tradnl" w:eastAsia="en-US"/>
        </w:rPr>
        <w:t xml:space="preserve"> a la DGC.</w:t>
      </w:r>
    </w:p>
    <w:p w:rsidR="00EF1BF2" w:rsidRPr="001F0E1E" w:rsidRDefault="00EF1BF2" w:rsidP="00A928DE">
      <w:pPr>
        <w:autoSpaceDE w:val="0"/>
        <w:autoSpaceDN w:val="0"/>
        <w:adjustRightInd w:val="0"/>
        <w:spacing w:line="360" w:lineRule="auto"/>
        <w:jc w:val="both"/>
        <w:rPr>
          <w:rFonts w:ascii="Arial" w:hAnsi="Arial" w:cs="Arial"/>
          <w:lang w:val="es-ES_tradnl"/>
        </w:rPr>
      </w:pPr>
    </w:p>
    <w:p w:rsidR="00EF1BF2" w:rsidRPr="00035746" w:rsidRDefault="00EF1BF2" w:rsidP="00A928DE">
      <w:pPr>
        <w:pStyle w:val="Textoindependiente"/>
        <w:spacing w:line="360" w:lineRule="auto"/>
        <w:jc w:val="both"/>
        <w:rPr>
          <w:rFonts w:ascii="Arial" w:hAnsi="Arial" w:cs="Arial"/>
          <w:b/>
          <w:sz w:val="24"/>
          <w:szCs w:val="24"/>
        </w:rPr>
      </w:pPr>
      <w:r w:rsidRPr="00035746">
        <w:rPr>
          <w:rFonts w:ascii="Arial" w:hAnsi="Arial" w:cs="Arial"/>
          <w:b/>
          <w:sz w:val="24"/>
          <w:szCs w:val="24"/>
        </w:rPr>
        <w:t>Artículo 4 Ley 19122 de 2013 “Afrodescendientes - Normas para favorecer su participación en las áreas educativa y laboral”</w:t>
      </w:r>
    </w:p>
    <w:p w:rsidR="00EF1BF2" w:rsidRDefault="00EF1BF2" w:rsidP="00A928DE">
      <w:pPr>
        <w:pStyle w:val="Textoindependiente"/>
        <w:spacing w:line="360" w:lineRule="auto"/>
        <w:ind w:firstLine="851"/>
        <w:jc w:val="both"/>
        <w:rPr>
          <w:rFonts w:ascii="Arial" w:hAnsi="Arial" w:cs="Arial"/>
          <w:sz w:val="24"/>
          <w:szCs w:val="24"/>
        </w:rPr>
      </w:pPr>
      <w:r w:rsidRPr="00035746">
        <w:rPr>
          <w:rFonts w:ascii="Arial" w:hAnsi="Arial" w:cs="Arial"/>
          <w:sz w:val="24"/>
          <w:szCs w:val="24"/>
        </w:rPr>
        <w:t>De los datos informados por la ONSC surge que durante el Ejercicio 2014 ingresaron 56 funcionarios no siendo ninguno de ellos afro descendiente,  por lo que no se cumplió con  dicha norma.</w:t>
      </w:r>
    </w:p>
    <w:p w:rsidR="00035746" w:rsidRDefault="00035746" w:rsidP="00A928DE">
      <w:pPr>
        <w:pStyle w:val="Textoindependiente"/>
        <w:spacing w:line="360" w:lineRule="auto"/>
        <w:ind w:firstLine="851"/>
        <w:jc w:val="both"/>
        <w:rPr>
          <w:rFonts w:ascii="Arial" w:hAnsi="Arial" w:cs="Arial"/>
          <w:sz w:val="24"/>
          <w:szCs w:val="24"/>
        </w:rPr>
      </w:pPr>
    </w:p>
    <w:p w:rsidR="00035746" w:rsidRDefault="00035746" w:rsidP="00A928DE">
      <w:pPr>
        <w:pStyle w:val="Textoindependiente"/>
        <w:spacing w:line="360" w:lineRule="auto"/>
        <w:ind w:firstLine="851"/>
        <w:jc w:val="both"/>
        <w:rPr>
          <w:rFonts w:ascii="Arial" w:hAnsi="Arial" w:cs="Arial"/>
          <w:sz w:val="24"/>
          <w:szCs w:val="24"/>
        </w:rPr>
      </w:pPr>
    </w:p>
    <w:p w:rsidR="00035746" w:rsidRPr="00035746" w:rsidRDefault="00035746" w:rsidP="00A928DE">
      <w:pPr>
        <w:pStyle w:val="Textoindependiente"/>
        <w:spacing w:line="360" w:lineRule="auto"/>
        <w:ind w:firstLine="851"/>
        <w:jc w:val="both"/>
        <w:rPr>
          <w:rFonts w:ascii="Arial" w:hAnsi="Arial" w:cs="Arial"/>
          <w:sz w:val="24"/>
          <w:szCs w:val="24"/>
        </w:rPr>
      </w:pPr>
    </w:p>
    <w:p w:rsidR="00EF1BF2" w:rsidRPr="00035746" w:rsidRDefault="00EF1BF2" w:rsidP="00A928DE">
      <w:pPr>
        <w:pStyle w:val="Textoindependiente"/>
        <w:spacing w:line="360" w:lineRule="auto"/>
        <w:jc w:val="both"/>
        <w:rPr>
          <w:rFonts w:ascii="Arial" w:hAnsi="Arial" w:cs="Arial"/>
          <w:b/>
          <w:bCs/>
          <w:sz w:val="24"/>
          <w:szCs w:val="24"/>
        </w:rPr>
      </w:pPr>
      <w:r w:rsidRPr="00035746">
        <w:rPr>
          <w:rFonts w:ascii="Arial" w:hAnsi="Arial" w:cs="Arial"/>
          <w:b/>
          <w:bCs/>
          <w:sz w:val="24"/>
          <w:szCs w:val="24"/>
        </w:rPr>
        <w:t>Art. 80</w:t>
      </w:r>
      <w:r w:rsidRPr="00035746">
        <w:rPr>
          <w:rFonts w:ascii="Arial" w:hAnsi="Arial" w:cs="Arial"/>
          <w:bCs/>
          <w:sz w:val="24"/>
          <w:szCs w:val="24"/>
        </w:rPr>
        <w:t xml:space="preserve"> </w:t>
      </w:r>
      <w:r w:rsidRPr="00035746">
        <w:rPr>
          <w:rFonts w:ascii="Arial" w:hAnsi="Arial" w:cs="Arial"/>
          <w:b/>
          <w:bCs/>
          <w:sz w:val="24"/>
          <w:szCs w:val="24"/>
        </w:rPr>
        <w:t>Ley  17555  de  2002 - LEY DE REACTIVACION ECONOMICA</w:t>
      </w:r>
    </w:p>
    <w:p w:rsidR="00EF1BF2" w:rsidRPr="00035746" w:rsidRDefault="00EF1BF2" w:rsidP="00A928DE">
      <w:pPr>
        <w:pStyle w:val="Textoindependiente"/>
        <w:spacing w:line="360" w:lineRule="auto"/>
        <w:ind w:firstLine="851"/>
        <w:jc w:val="both"/>
        <w:rPr>
          <w:rFonts w:ascii="Arial" w:hAnsi="Arial" w:cs="Arial"/>
          <w:bCs/>
          <w:sz w:val="24"/>
          <w:szCs w:val="24"/>
        </w:rPr>
      </w:pPr>
      <w:r w:rsidRPr="00035746">
        <w:rPr>
          <w:rFonts w:ascii="Arial" w:hAnsi="Arial" w:cs="Arial"/>
          <w:bCs/>
          <w:sz w:val="24"/>
          <w:szCs w:val="24"/>
        </w:rPr>
        <w:t>Los sueldos no se abonan por el BROU por lo que no se da cumplimiento a lo establecido en dicha norma.</w:t>
      </w:r>
    </w:p>
    <w:p w:rsidR="00EF1BF2" w:rsidRDefault="00EF1BF2" w:rsidP="00A928DE">
      <w:pPr>
        <w:pStyle w:val="Sangradetextonormal"/>
        <w:spacing w:after="0" w:line="360" w:lineRule="auto"/>
        <w:ind w:left="0"/>
        <w:jc w:val="both"/>
        <w:rPr>
          <w:rFonts w:ascii="Arial" w:hAnsi="Arial" w:cs="Arial"/>
          <w:b/>
          <w:bCs/>
          <w:sz w:val="24"/>
          <w:szCs w:val="24"/>
        </w:rPr>
      </w:pPr>
    </w:p>
    <w:p w:rsidR="00EF1BF2" w:rsidRPr="002431DA" w:rsidRDefault="00EF1BF2" w:rsidP="00A928DE">
      <w:pPr>
        <w:pStyle w:val="Sangradetextonormal"/>
        <w:spacing w:after="0" w:line="360" w:lineRule="auto"/>
        <w:ind w:left="0"/>
        <w:jc w:val="both"/>
        <w:rPr>
          <w:rFonts w:ascii="Arial" w:eastAsia="Times New Roman" w:hAnsi="Arial" w:cs="Arial"/>
          <w:b/>
          <w:sz w:val="24"/>
          <w:szCs w:val="24"/>
          <w:lang w:val="es-ES" w:eastAsia="es-ES"/>
        </w:rPr>
      </w:pPr>
      <w:r w:rsidRPr="0080278A">
        <w:rPr>
          <w:rFonts w:ascii="Arial" w:hAnsi="Arial" w:cs="Arial"/>
          <w:b/>
          <w:bCs/>
          <w:sz w:val="24"/>
          <w:szCs w:val="24"/>
        </w:rPr>
        <w:t>Numeral 4 de la Resolución del Presidente de la República de fecha 16/01/2014</w:t>
      </w:r>
      <w:r w:rsidRPr="0080278A">
        <w:rPr>
          <w:rFonts w:ascii="Arial" w:hAnsi="Arial" w:cs="Arial"/>
          <w:bCs/>
          <w:sz w:val="24"/>
          <w:szCs w:val="24"/>
        </w:rPr>
        <w:t>, correspondiente al Expediente 388/2013 por el que se contrataron 45 funcionarios zafrales, que ingresaron a prestar funciones a la DGC, sin suscribirse los contratos respetivos</w:t>
      </w:r>
      <w:r>
        <w:rPr>
          <w:rFonts w:ascii="Arial" w:hAnsi="Arial" w:cs="Arial"/>
          <w:bCs/>
          <w:sz w:val="24"/>
          <w:szCs w:val="24"/>
        </w:rPr>
        <w:t xml:space="preserve"> como lo dispone la  resolución mencionada</w:t>
      </w:r>
      <w:r w:rsidR="00E74AA6">
        <w:rPr>
          <w:rFonts w:ascii="Arial" w:hAnsi="Arial" w:cs="Arial"/>
          <w:bCs/>
          <w:sz w:val="24"/>
          <w:szCs w:val="24"/>
        </w:rPr>
        <w:t>.</w:t>
      </w:r>
    </w:p>
    <w:p w:rsidR="00EF1BF2" w:rsidRDefault="00EF1BF2" w:rsidP="00A928DE">
      <w:pPr>
        <w:spacing w:line="360" w:lineRule="auto"/>
        <w:jc w:val="both"/>
        <w:rPr>
          <w:rFonts w:ascii="Arial" w:hAnsi="Arial" w:cs="Arial"/>
          <w:b/>
        </w:rPr>
      </w:pPr>
    </w:p>
    <w:p w:rsidR="00EF1BF2" w:rsidRDefault="00EF1BF2" w:rsidP="00A928DE">
      <w:pPr>
        <w:spacing w:line="360" w:lineRule="auto"/>
        <w:jc w:val="both"/>
        <w:rPr>
          <w:rFonts w:ascii="Arial" w:hAnsi="Arial" w:cs="Arial"/>
          <w:b/>
        </w:rPr>
      </w:pPr>
      <w:r w:rsidRPr="006A4928">
        <w:rPr>
          <w:rFonts w:ascii="Arial" w:hAnsi="Arial" w:cs="Arial"/>
          <w:b/>
        </w:rPr>
        <w:t>Recomendaciones</w:t>
      </w:r>
    </w:p>
    <w:p w:rsidR="00EF1BF2" w:rsidRPr="009559BD" w:rsidRDefault="00EF1BF2" w:rsidP="00A928DE">
      <w:pPr>
        <w:spacing w:line="360" w:lineRule="auto"/>
        <w:jc w:val="both"/>
        <w:rPr>
          <w:rFonts w:ascii="Arial" w:hAnsi="Arial" w:cs="Arial"/>
          <w:b/>
          <w:bCs/>
        </w:rPr>
      </w:pPr>
      <w:r>
        <w:rPr>
          <w:rFonts w:ascii="Arial" w:hAnsi="Arial" w:cs="Arial"/>
          <w:b/>
          <w:bCs/>
        </w:rPr>
        <w:t>Recomendaciones del presente E</w:t>
      </w:r>
      <w:r w:rsidR="00635179">
        <w:rPr>
          <w:rFonts w:ascii="Arial" w:hAnsi="Arial" w:cs="Arial"/>
          <w:b/>
          <w:bCs/>
        </w:rPr>
        <w:t>jercicio</w:t>
      </w:r>
    </w:p>
    <w:p w:rsidR="00EF1BF2" w:rsidRPr="00775DD0" w:rsidRDefault="00EF1BF2" w:rsidP="00EF1BF2">
      <w:pPr>
        <w:pStyle w:val="Prrafodelista"/>
        <w:numPr>
          <w:ilvl w:val="0"/>
          <w:numId w:val="8"/>
        </w:numPr>
        <w:tabs>
          <w:tab w:val="left" w:pos="284"/>
        </w:tabs>
        <w:spacing w:after="0" w:line="360" w:lineRule="auto"/>
        <w:ind w:left="0" w:firstLine="0"/>
        <w:jc w:val="both"/>
        <w:rPr>
          <w:rFonts w:ascii="Arial" w:hAnsi="Arial" w:cs="Arial"/>
          <w:b/>
          <w:color w:val="000000"/>
          <w:sz w:val="24"/>
          <w:szCs w:val="24"/>
        </w:rPr>
      </w:pPr>
      <w:r w:rsidRPr="00775DD0">
        <w:rPr>
          <w:rFonts w:ascii="Arial" w:hAnsi="Arial" w:cs="Arial"/>
          <w:sz w:val="24"/>
          <w:szCs w:val="24"/>
          <w:lang w:val="es-ES"/>
        </w:rPr>
        <w:t xml:space="preserve">Realizar periódicamente recuentos físicos para controlar </w:t>
      </w:r>
      <w:r>
        <w:rPr>
          <w:rFonts w:ascii="Arial" w:hAnsi="Arial" w:cs="Arial"/>
          <w:sz w:val="24"/>
          <w:szCs w:val="24"/>
          <w:lang w:val="es-ES"/>
        </w:rPr>
        <w:t xml:space="preserve">la </w:t>
      </w:r>
      <w:r w:rsidRPr="00775DD0">
        <w:rPr>
          <w:rFonts w:ascii="Arial" w:hAnsi="Arial" w:cs="Arial"/>
          <w:sz w:val="24"/>
          <w:szCs w:val="24"/>
          <w:lang w:val="es-ES"/>
        </w:rPr>
        <w:t>existencia, destino y ubicación de los bienes de uso, dejando constancia formal de las actuaciones realizadas</w:t>
      </w:r>
      <w:r>
        <w:rPr>
          <w:rFonts w:ascii="Arial" w:hAnsi="Arial" w:cs="Arial"/>
          <w:sz w:val="24"/>
          <w:szCs w:val="24"/>
          <w:lang w:val="es-ES"/>
        </w:rPr>
        <w:t>.</w:t>
      </w:r>
    </w:p>
    <w:p w:rsidR="00EF1BF2" w:rsidRPr="00775DD0" w:rsidRDefault="00EF1BF2" w:rsidP="00EF1BF2">
      <w:pPr>
        <w:pStyle w:val="Prrafodelista"/>
        <w:numPr>
          <w:ilvl w:val="0"/>
          <w:numId w:val="8"/>
        </w:numPr>
        <w:tabs>
          <w:tab w:val="left" w:pos="284"/>
        </w:tabs>
        <w:spacing w:after="0" w:line="360" w:lineRule="auto"/>
        <w:ind w:left="0" w:firstLine="0"/>
        <w:jc w:val="both"/>
        <w:rPr>
          <w:rFonts w:ascii="Arial" w:hAnsi="Arial" w:cs="Arial"/>
          <w:b/>
          <w:color w:val="000000"/>
          <w:sz w:val="24"/>
          <w:szCs w:val="24"/>
        </w:rPr>
      </w:pPr>
      <w:r w:rsidRPr="00775DD0">
        <w:rPr>
          <w:rFonts w:ascii="Arial" w:hAnsi="Arial" w:cs="Arial"/>
          <w:sz w:val="24"/>
          <w:szCs w:val="24"/>
          <w:lang w:val="es-ES"/>
        </w:rPr>
        <w:t>Implementar las medidas pertinentes que garanticen una adecuada separación de funciones</w:t>
      </w:r>
      <w:r w:rsidRPr="00775DD0">
        <w:rPr>
          <w:rFonts w:ascii="Arial" w:eastAsia="Times New Roman" w:hAnsi="Arial" w:cs="Arial"/>
          <w:bCs/>
          <w:sz w:val="24"/>
          <w:szCs w:val="24"/>
          <w:lang w:eastAsia="es-ES"/>
        </w:rPr>
        <w:t xml:space="preserve"> en lo que respecta a los procedimientos de adquisición, recepción, custodia y gestión del uso de las máquinas y material de juego.</w:t>
      </w:r>
    </w:p>
    <w:p w:rsidR="00EF1BF2" w:rsidRPr="00F502FA" w:rsidRDefault="00EF1BF2" w:rsidP="00EF1BF2">
      <w:pPr>
        <w:pStyle w:val="Prrafodelista"/>
        <w:numPr>
          <w:ilvl w:val="0"/>
          <w:numId w:val="8"/>
        </w:numPr>
        <w:tabs>
          <w:tab w:val="left" w:pos="284"/>
        </w:tabs>
        <w:spacing w:after="0" w:line="360" w:lineRule="auto"/>
        <w:ind w:left="0" w:firstLine="0"/>
        <w:jc w:val="both"/>
        <w:rPr>
          <w:rFonts w:ascii="Arial" w:hAnsi="Arial" w:cs="Arial"/>
          <w:b/>
          <w:color w:val="000000"/>
          <w:sz w:val="24"/>
          <w:szCs w:val="24"/>
        </w:rPr>
      </w:pPr>
      <w:r w:rsidRPr="00775DD0">
        <w:rPr>
          <w:rFonts w:ascii="Arial" w:hAnsi="Arial" w:cs="Arial"/>
          <w:sz w:val="24"/>
          <w:szCs w:val="24"/>
          <w:lang w:val="es-ES"/>
        </w:rPr>
        <w:t>Considerar en la</w:t>
      </w:r>
      <w:r>
        <w:rPr>
          <w:rFonts w:ascii="Arial" w:hAnsi="Arial" w:cs="Arial"/>
          <w:sz w:val="24"/>
          <w:szCs w:val="24"/>
          <w:lang w:val="es-ES"/>
        </w:rPr>
        <w:t xml:space="preserve"> próxima</w:t>
      </w:r>
      <w:r w:rsidRPr="00775DD0">
        <w:rPr>
          <w:rFonts w:ascii="Arial" w:hAnsi="Arial" w:cs="Arial"/>
          <w:sz w:val="24"/>
          <w:szCs w:val="24"/>
          <w:lang w:val="es-ES"/>
        </w:rPr>
        <w:t xml:space="preserve"> </w:t>
      </w:r>
      <w:r>
        <w:rPr>
          <w:rFonts w:ascii="Arial" w:hAnsi="Arial" w:cs="Arial"/>
          <w:sz w:val="24"/>
          <w:szCs w:val="24"/>
          <w:lang w:val="es-ES"/>
        </w:rPr>
        <w:t xml:space="preserve">instancia </w:t>
      </w:r>
      <w:r w:rsidRPr="00775DD0">
        <w:rPr>
          <w:rFonts w:ascii="Arial" w:hAnsi="Arial" w:cs="Arial"/>
          <w:sz w:val="24"/>
          <w:szCs w:val="24"/>
          <w:lang w:val="es-ES"/>
        </w:rPr>
        <w:t xml:space="preserve">presupuestal </w:t>
      </w:r>
      <w:r>
        <w:rPr>
          <w:rFonts w:ascii="Arial" w:hAnsi="Arial" w:cs="Arial"/>
          <w:sz w:val="24"/>
          <w:szCs w:val="24"/>
          <w:lang w:val="es-ES"/>
        </w:rPr>
        <w:t xml:space="preserve">la apertura de </w:t>
      </w:r>
      <w:r w:rsidRPr="00775DD0">
        <w:rPr>
          <w:rFonts w:ascii="Arial" w:hAnsi="Arial" w:cs="Arial"/>
          <w:sz w:val="24"/>
          <w:szCs w:val="24"/>
          <w:lang w:val="es-ES"/>
        </w:rPr>
        <w:t xml:space="preserve">un </w:t>
      </w:r>
      <w:r>
        <w:rPr>
          <w:rFonts w:ascii="Arial" w:hAnsi="Arial" w:cs="Arial"/>
          <w:sz w:val="24"/>
          <w:szCs w:val="24"/>
          <w:lang w:val="es-ES"/>
        </w:rPr>
        <w:t>O</w:t>
      </w:r>
      <w:r w:rsidRPr="00775DD0">
        <w:rPr>
          <w:rFonts w:ascii="Arial" w:hAnsi="Arial" w:cs="Arial"/>
          <w:sz w:val="24"/>
          <w:szCs w:val="24"/>
          <w:lang w:val="es-ES"/>
        </w:rPr>
        <w:t xml:space="preserve">bjeto del </w:t>
      </w:r>
      <w:r>
        <w:rPr>
          <w:rFonts w:ascii="Arial" w:hAnsi="Arial" w:cs="Arial"/>
          <w:sz w:val="24"/>
          <w:szCs w:val="24"/>
          <w:lang w:val="es-ES"/>
        </w:rPr>
        <w:t>G</w:t>
      </w:r>
      <w:r w:rsidRPr="00775DD0">
        <w:rPr>
          <w:rFonts w:ascii="Arial" w:hAnsi="Arial" w:cs="Arial"/>
          <w:sz w:val="24"/>
          <w:szCs w:val="24"/>
          <w:lang w:val="es-ES"/>
        </w:rPr>
        <w:t>asto para</w:t>
      </w:r>
      <w:r>
        <w:rPr>
          <w:rFonts w:ascii="Arial" w:hAnsi="Arial" w:cs="Arial"/>
          <w:sz w:val="24"/>
          <w:szCs w:val="24"/>
          <w:lang w:val="es-ES"/>
        </w:rPr>
        <w:t xml:space="preserve"> imputar el  pago de </w:t>
      </w:r>
      <w:r w:rsidRPr="00775DD0">
        <w:rPr>
          <w:rFonts w:ascii="Arial" w:hAnsi="Arial" w:cs="Arial"/>
          <w:sz w:val="24"/>
          <w:szCs w:val="24"/>
          <w:lang w:val="es-ES"/>
        </w:rPr>
        <w:t xml:space="preserve"> la partida</w:t>
      </w:r>
      <w:r>
        <w:rPr>
          <w:rFonts w:ascii="Arial" w:hAnsi="Arial" w:cs="Arial"/>
          <w:sz w:val="24"/>
          <w:szCs w:val="24"/>
          <w:lang w:val="es-ES"/>
        </w:rPr>
        <w:t xml:space="preserve"> por</w:t>
      </w:r>
      <w:r w:rsidR="00E74AA6">
        <w:rPr>
          <w:rFonts w:ascii="Arial" w:hAnsi="Arial" w:cs="Arial"/>
          <w:sz w:val="24"/>
          <w:szCs w:val="24"/>
          <w:lang w:val="es-ES"/>
        </w:rPr>
        <w:t xml:space="preserve"> tareas especializadas.</w:t>
      </w:r>
    </w:p>
    <w:p w:rsidR="00EF1BF2" w:rsidRPr="00F502FA" w:rsidRDefault="00EF1BF2" w:rsidP="00EF1BF2">
      <w:pPr>
        <w:pStyle w:val="Prrafodelista"/>
        <w:numPr>
          <w:ilvl w:val="0"/>
          <w:numId w:val="8"/>
        </w:numPr>
        <w:tabs>
          <w:tab w:val="left" w:pos="284"/>
        </w:tabs>
        <w:spacing w:after="0" w:line="360" w:lineRule="auto"/>
        <w:ind w:left="0" w:firstLine="0"/>
        <w:jc w:val="both"/>
        <w:rPr>
          <w:rFonts w:ascii="Arial" w:hAnsi="Arial" w:cs="Arial"/>
          <w:b/>
          <w:color w:val="000000"/>
          <w:sz w:val="24"/>
          <w:szCs w:val="24"/>
        </w:rPr>
      </w:pPr>
      <w:r w:rsidRPr="00F502FA">
        <w:rPr>
          <w:rFonts w:ascii="Arial" w:hAnsi="Arial" w:cs="Arial"/>
          <w:sz w:val="24"/>
          <w:szCs w:val="24"/>
          <w:lang w:val="es-ES"/>
        </w:rPr>
        <w:t>Dar cumplimiento a lo dispuesto por el Articulo 49 de la Ley 18.651</w:t>
      </w:r>
      <w:r>
        <w:rPr>
          <w:rFonts w:ascii="Arial" w:hAnsi="Arial" w:cs="Arial"/>
          <w:sz w:val="24"/>
          <w:szCs w:val="24"/>
          <w:lang w:val="es-ES"/>
        </w:rPr>
        <w:t>,</w:t>
      </w:r>
      <w:r w:rsidRPr="00F502FA">
        <w:rPr>
          <w:rFonts w:ascii="Arial" w:hAnsi="Arial" w:cs="Arial"/>
          <w:sz w:val="24"/>
          <w:szCs w:val="24"/>
          <w:lang w:val="es-ES"/>
        </w:rPr>
        <w:t xml:space="preserve"> en relación al cupo de ingreso de personas con discapacidad.</w:t>
      </w:r>
    </w:p>
    <w:p w:rsidR="00EF1BF2" w:rsidRPr="00F502FA" w:rsidRDefault="00EF1BF2" w:rsidP="00EF1BF2">
      <w:pPr>
        <w:pStyle w:val="Prrafodelista"/>
        <w:numPr>
          <w:ilvl w:val="0"/>
          <w:numId w:val="8"/>
        </w:numPr>
        <w:tabs>
          <w:tab w:val="left" w:pos="284"/>
        </w:tabs>
        <w:spacing w:after="0" w:line="360" w:lineRule="auto"/>
        <w:ind w:left="0" w:firstLine="0"/>
        <w:jc w:val="both"/>
        <w:rPr>
          <w:rFonts w:ascii="Arial" w:hAnsi="Arial" w:cs="Arial"/>
          <w:b/>
          <w:color w:val="000000"/>
          <w:sz w:val="24"/>
          <w:szCs w:val="24"/>
        </w:rPr>
      </w:pPr>
      <w:r w:rsidRPr="00F502FA">
        <w:rPr>
          <w:rFonts w:ascii="Arial" w:hAnsi="Arial" w:cs="Arial"/>
          <w:sz w:val="24"/>
          <w:szCs w:val="24"/>
          <w:lang w:val="es-ES"/>
        </w:rPr>
        <w:t>Dar cumplimiento a lo dispuesto por el Articulo 4 de la Ley 19122 de 2013</w:t>
      </w:r>
      <w:r>
        <w:rPr>
          <w:rFonts w:ascii="Arial" w:hAnsi="Arial" w:cs="Arial"/>
          <w:sz w:val="24"/>
          <w:szCs w:val="24"/>
          <w:lang w:val="es-ES"/>
        </w:rPr>
        <w:t>,</w:t>
      </w:r>
      <w:r w:rsidRPr="00F502FA">
        <w:rPr>
          <w:rFonts w:ascii="Arial" w:hAnsi="Arial" w:cs="Arial"/>
          <w:sz w:val="24"/>
          <w:szCs w:val="24"/>
          <w:lang w:val="es-ES"/>
        </w:rPr>
        <w:t xml:space="preserve"> en </w:t>
      </w:r>
      <w:r>
        <w:rPr>
          <w:rFonts w:ascii="Arial" w:hAnsi="Arial" w:cs="Arial"/>
          <w:sz w:val="24"/>
          <w:szCs w:val="24"/>
          <w:lang w:val="es-ES"/>
        </w:rPr>
        <w:t xml:space="preserve">lo referente </w:t>
      </w:r>
      <w:r w:rsidRPr="00F502FA">
        <w:rPr>
          <w:rFonts w:ascii="Arial" w:hAnsi="Arial" w:cs="Arial"/>
          <w:sz w:val="24"/>
          <w:szCs w:val="24"/>
          <w:lang w:val="es-ES"/>
        </w:rPr>
        <w:t xml:space="preserve">al cupo de ingreso de personas </w:t>
      </w:r>
      <w:proofErr w:type="spellStart"/>
      <w:r w:rsidRPr="00F502FA">
        <w:rPr>
          <w:rFonts w:ascii="Arial" w:hAnsi="Arial" w:cs="Arial"/>
          <w:sz w:val="24"/>
          <w:szCs w:val="24"/>
          <w:lang w:val="es-ES"/>
        </w:rPr>
        <w:t>Afrodescendientes</w:t>
      </w:r>
      <w:proofErr w:type="spellEnd"/>
      <w:r>
        <w:rPr>
          <w:rFonts w:ascii="Arial" w:hAnsi="Arial" w:cs="Arial"/>
          <w:sz w:val="24"/>
          <w:szCs w:val="24"/>
          <w:lang w:val="es-ES"/>
        </w:rPr>
        <w:t>.</w:t>
      </w:r>
    </w:p>
    <w:p w:rsidR="00EF1BF2" w:rsidRPr="00F502FA" w:rsidRDefault="00EF1BF2" w:rsidP="00EF1BF2">
      <w:pPr>
        <w:pStyle w:val="Prrafodelista"/>
        <w:numPr>
          <w:ilvl w:val="0"/>
          <w:numId w:val="8"/>
        </w:numPr>
        <w:tabs>
          <w:tab w:val="left" w:pos="284"/>
        </w:tabs>
        <w:spacing w:after="0" w:line="360" w:lineRule="auto"/>
        <w:ind w:left="0" w:firstLine="0"/>
        <w:jc w:val="both"/>
        <w:rPr>
          <w:rFonts w:ascii="Arial" w:hAnsi="Arial" w:cs="Arial"/>
          <w:b/>
          <w:color w:val="000000"/>
          <w:sz w:val="24"/>
          <w:szCs w:val="24"/>
        </w:rPr>
      </w:pPr>
      <w:r w:rsidRPr="00F502FA">
        <w:rPr>
          <w:rFonts w:ascii="Arial" w:hAnsi="Arial" w:cs="Arial"/>
          <w:sz w:val="24"/>
          <w:szCs w:val="24"/>
          <w:lang w:val="es-ES"/>
        </w:rPr>
        <w:t>Implementar las medidas pertinentes de forma que el pago de los sueldos cumpla con</w:t>
      </w:r>
      <w:r>
        <w:rPr>
          <w:rFonts w:ascii="Arial" w:hAnsi="Arial" w:cs="Arial"/>
          <w:sz w:val="24"/>
          <w:szCs w:val="24"/>
          <w:lang w:val="es-ES"/>
        </w:rPr>
        <w:t xml:space="preserve"> lo establecido </w:t>
      </w:r>
      <w:r w:rsidRPr="00F502FA">
        <w:rPr>
          <w:rFonts w:ascii="Arial" w:hAnsi="Arial" w:cs="Arial"/>
          <w:sz w:val="24"/>
          <w:szCs w:val="24"/>
          <w:lang w:val="es-ES"/>
        </w:rPr>
        <w:t xml:space="preserve"> el Articulo  80 de la Ley  17555  de  2002.</w:t>
      </w:r>
    </w:p>
    <w:p w:rsidR="00EF1BF2" w:rsidRPr="00F502FA" w:rsidRDefault="00EF1BF2" w:rsidP="00EF1BF2">
      <w:pPr>
        <w:pStyle w:val="Prrafodelista"/>
        <w:numPr>
          <w:ilvl w:val="0"/>
          <w:numId w:val="8"/>
        </w:numPr>
        <w:tabs>
          <w:tab w:val="left" w:pos="284"/>
        </w:tabs>
        <w:spacing w:after="0" w:line="360" w:lineRule="auto"/>
        <w:ind w:left="0" w:firstLine="0"/>
        <w:jc w:val="both"/>
        <w:rPr>
          <w:rFonts w:ascii="Arial" w:eastAsia="Times New Roman" w:hAnsi="Arial" w:cs="Arial"/>
          <w:snapToGrid w:val="0"/>
          <w:sz w:val="24"/>
          <w:szCs w:val="24"/>
          <w:lang w:val="es-ES" w:eastAsia="es-ES"/>
        </w:rPr>
      </w:pPr>
      <w:r>
        <w:rPr>
          <w:rFonts w:ascii="Arial" w:hAnsi="Arial" w:cs="Arial"/>
          <w:sz w:val="24"/>
          <w:szCs w:val="24"/>
          <w:lang w:val="es-ES"/>
        </w:rPr>
        <w:t>Dar cumplimiento a lo dispuesto en las Resoluciones Presidenciales en las que se designan funcionarios,  suscribiendo  los  contr</w:t>
      </w:r>
      <w:r w:rsidR="00E74AA6">
        <w:rPr>
          <w:rFonts w:ascii="Arial" w:hAnsi="Arial" w:cs="Arial"/>
          <w:sz w:val="24"/>
          <w:szCs w:val="24"/>
          <w:lang w:val="es-ES"/>
        </w:rPr>
        <w:t>atos respectivos.</w:t>
      </w:r>
    </w:p>
    <w:p w:rsidR="00EF1BF2" w:rsidRDefault="00EF1BF2" w:rsidP="00EF1BF2">
      <w:pPr>
        <w:pStyle w:val="Prrafodelista"/>
        <w:numPr>
          <w:ilvl w:val="0"/>
          <w:numId w:val="8"/>
        </w:numPr>
        <w:tabs>
          <w:tab w:val="left" w:pos="284"/>
          <w:tab w:val="left" w:pos="426"/>
        </w:tabs>
        <w:spacing w:after="0" w:line="360" w:lineRule="auto"/>
        <w:ind w:left="0" w:firstLine="0"/>
        <w:jc w:val="both"/>
        <w:rPr>
          <w:rFonts w:ascii="Arial" w:eastAsia="Times New Roman" w:hAnsi="Arial" w:cs="Arial"/>
          <w:snapToGrid w:val="0"/>
          <w:sz w:val="24"/>
          <w:szCs w:val="24"/>
          <w:lang w:val="es-ES" w:eastAsia="es-ES"/>
        </w:rPr>
      </w:pPr>
      <w:r>
        <w:rPr>
          <w:rFonts w:ascii="Arial" w:eastAsia="Times New Roman" w:hAnsi="Arial" w:cs="Arial"/>
          <w:snapToGrid w:val="0"/>
          <w:sz w:val="24"/>
          <w:szCs w:val="24"/>
          <w:lang w:val="es-ES" w:eastAsia="es-ES"/>
        </w:rPr>
        <w:t>Implementar los mecanismos necesarios para evitar que se vuelvan a producir los incumplimientos de las disposiciones legales observadas por los Contadores Destacados y/o el Tribunal de Cuentas.</w:t>
      </w:r>
    </w:p>
    <w:p w:rsidR="00EF1BF2" w:rsidRPr="004F7298" w:rsidRDefault="00EF1BF2" w:rsidP="00A928DE">
      <w:pPr>
        <w:jc w:val="right"/>
        <w:rPr>
          <w:rFonts w:ascii="Arial" w:hAnsi="Arial" w:cs="Arial"/>
          <w:lang w:val="es-CO"/>
        </w:rPr>
      </w:pPr>
      <w:r w:rsidRPr="007C5200">
        <w:rPr>
          <w:rFonts w:ascii="Arial" w:hAnsi="Arial" w:cs="Arial"/>
          <w:lang w:val="es-CO"/>
        </w:rPr>
        <w:t xml:space="preserve">Montevideo, </w:t>
      </w:r>
      <w:r>
        <w:rPr>
          <w:rFonts w:ascii="Arial" w:hAnsi="Arial" w:cs="Arial"/>
          <w:lang w:val="es-CO"/>
        </w:rPr>
        <w:t>09</w:t>
      </w:r>
      <w:r w:rsidRPr="007C5200">
        <w:rPr>
          <w:rFonts w:ascii="Arial" w:hAnsi="Arial" w:cs="Arial"/>
          <w:lang w:val="es-CO"/>
        </w:rPr>
        <w:t xml:space="preserve"> de </w:t>
      </w:r>
      <w:r>
        <w:rPr>
          <w:rFonts w:ascii="Arial" w:hAnsi="Arial" w:cs="Arial"/>
          <w:lang w:val="es-CO"/>
        </w:rPr>
        <w:t>Noviembre</w:t>
      </w:r>
      <w:r w:rsidRPr="007C5200">
        <w:rPr>
          <w:rFonts w:ascii="Arial" w:hAnsi="Arial" w:cs="Arial"/>
          <w:lang w:val="es-CO"/>
        </w:rPr>
        <w:t xml:space="preserve"> de 2015</w:t>
      </w:r>
    </w:p>
    <w:p w:rsidR="00EF1BF2" w:rsidRDefault="00EF1BF2" w:rsidP="00EF1BF2">
      <w:pPr>
        <w:tabs>
          <w:tab w:val="left" w:pos="426"/>
        </w:tabs>
        <w:suppressAutoHyphens/>
        <w:spacing w:line="360" w:lineRule="auto"/>
        <w:rPr>
          <w:rFonts w:ascii="Arial" w:hAnsi="Arial" w:cs="Arial"/>
        </w:rPr>
      </w:pPr>
      <w:proofErr w:type="spellStart"/>
      <w:proofErr w:type="gramStart"/>
      <w:r>
        <w:rPr>
          <w:rFonts w:ascii="Arial" w:hAnsi="Arial" w:cs="Arial"/>
        </w:rPr>
        <w:t>bf</w:t>
      </w:r>
      <w:proofErr w:type="spellEnd"/>
      <w:proofErr w:type="gramEnd"/>
    </w:p>
    <w:sectPr w:rsidR="00EF1BF2" w:rsidSect="00715650">
      <w:footerReference w:type="even" r:id="rId8"/>
      <w:footerReference w:type="default" r:id="rId9"/>
      <w:footerReference w:type="first" r:id="rId10"/>
      <w:pgSz w:w="11906" w:h="16838" w:code="9"/>
      <w:pgMar w:top="3402" w:right="1701" w:bottom="1134" w:left="1701" w:header="0" w:footer="0" w:gutter="0"/>
      <w:paperSrc w:first="1" w:other="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AB7" w:rsidRDefault="00270AB7">
      <w:r>
        <w:separator/>
      </w:r>
    </w:p>
  </w:endnote>
  <w:endnote w:type="continuationSeparator" w:id="0">
    <w:p w:rsidR="00270AB7" w:rsidRDefault="00270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AB7" w:rsidRDefault="00270AB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70AB7" w:rsidRDefault="00270AB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0845450"/>
      <w:docPartObj>
        <w:docPartGallery w:val="Page Numbers (Bottom of Page)"/>
        <w:docPartUnique/>
      </w:docPartObj>
    </w:sdtPr>
    <w:sdtEndPr/>
    <w:sdtContent>
      <w:p w:rsidR="00270AB7" w:rsidRDefault="00270AB7">
        <w:pPr>
          <w:pStyle w:val="Piedepgina"/>
          <w:jc w:val="center"/>
        </w:pPr>
        <w:r>
          <w:fldChar w:fldCharType="begin"/>
        </w:r>
        <w:r>
          <w:instrText>PAGE   \* MERGEFORMAT</w:instrText>
        </w:r>
        <w:r>
          <w:fldChar w:fldCharType="separate"/>
        </w:r>
        <w:r w:rsidR="0015422B">
          <w:rPr>
            <w:noProof/>
          </w:rPr>
          <w:t>8</w:t>
        </w:r>
        <w:r>
          <w:fldChar w:fldCharType="end"/>
        </w:r>
      </w:p>
    </w:sdtContent>
  </w:sdt>
  <w:p w:rsidR="00270AB7" w:rsidRDefault="00270AB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1568328"/>
      <w:docPartObj>
        <w:docPartGallery w:val="Page Numbers (Bottom of Page)"/>
        <w:docPartUnique/>
      </w:docPartObj>
    </w:sdtPr>
    <w:sdtEndPr/>
    <w:sdtContent>
      <w:p w:rsidR="00270AB7" w:rsidRDefault="00270AB7">
        <w:pPr>
          <w:pStyle w:val="Piedepgina"/>
          <w:jc w:val="center"/>
        </w:pPr>
        <w:r>
          <w:fldChar w:fldCharType="begin"/>
        </w:r>
        <w:r>
          <w:instrText>PAGE   \* MERGEFORMAT</w:instrText>
        </w:r>
        <w:r>
          <w:fldChar w:fldCharType="separate"/>
        </w:r>
        <w:r w:rsidR="0015422B">
          <w:rPr>
            <w:noProof/>
          </w:rPr>
          <w:t>1</w:t>
        </w:r>
        <w:r>
          <w:fldChar w:fldCharType="end"/>
        </w:r>
      </w:p>
    </w:sdtContent>
  </w:sdt>
  <w:p w:rsidR="00270AB7" w:rsidRDefault="00270AB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AB7" w:rsidRDefault="00270AB7">
      <w:r>
        <w:separator/>
      </w:r>
    </w:p>
  </w:footnote>
  <w:footnote w:type="continuationSeparator" w:id="0">
    <w:p w:rsidR="00270AB7" w:rsidRDefault="00270A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F0506"/>
    <w:multiLevelType w:val="hybridMultilevel"/>
    <w:tmpl w:val="BF82944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9E229BF"/>
    <w:multiLevelType w:val="hybridMultilevel"/>
    <w:tmpl w:val="BAD40CD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2FC7101B"/>
    <w:multiLevelType w:val="hybridMultilevel"/>
    <w:tmpl w:val="9D787D62"/>
    <w:lvl w:ilvl="0" w:tplc="0AEEBB36">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53AE024E"/>
    <w:multiLevelType w:val="hybridMultilevel"/>
    <w:tmpl w:val="9A52BF6A"/>
    <w:lvl w:ilvl="0" w:tplc="D1D472FA">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816017C"/>
    <w:multiLevelType w:val="hybridMultilevel"/>
    <w:tmpl w:val="77BCCFB6"/>
    <w:lvl w:ilvl="0" w:tplc="380A0001">
      <w:start w:val="1"/>
      <w:numFmt w:val="bullet"/>
      <w:lvlText w:val=""/>
      <w:lvlJc w:val="left"/>
      <w:pPr>
        <w:ind w:left="720" w:hanging="360"/>
      </w:pPr>
      <w:rPr>
        <w:rFonts w:ascii="Symbol" w:hAnsi="Symbol" w:hint="default"/>
      </w:rPr>
    </w:lvl>
    <w:lvl w:ilvl="1" w:tplc="380A0019" w:tentative="1">
      <w:start w:val="1"/>
      <w:numFmt w:val="lowerLetter"/>
      <w:lvlText w:val="%2."/>
      <w:lvlJc w:val="left"/>
      <w:pPr>
        <w:ind w:left="1440" w:hanging="360"/>
      </w:pPr>
    </w:lvl>
    <w:lvl w:ilvl="2" w:tplc="380A001B">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5">
    <w:nsid w:val="5C8E06BF"/>
    <w:multiLevelType w:val="hybridMultilevel"/>
    <w:tmpl w:val="041E61D8"/>
    <w:lvl w:ilvl="0" w:tplc="380A000F">
      <w:start w:val="1"/>
      <w:numFmt w:val="decimal"/>
      <w:lvlText w:val="%1."/>
      <w:lvlJc w:val="left"/>
      <w:pPr>
        <w:ind w:left="1070" w:hanging="360"/>
      </w:pPr>
      <w:rPr>
        <w:rFonts w:hint="default"/>
        <w:b w:val="0"/>
        <w:color w:val="auto"/>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6">
    <w:nsid w:val="701F16C6"/>
    <w:multiLevelType w:val="multilevel"/>
    <w:tmpl w:val="BA00322A"/>
    <w:lvl w:ilvl="0">
      <w:start w:val="3"/>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79F62019"/>
    <w:multiLevelType w:val="hybridMultilevel"/>
    <w:tmpl w:val="0C7C6AA4"/>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1"/>
  </w:num>
  <w:num w:numId="5">
    <w:abstractNumId w:val="0"/>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844"/>
    <w:rsid w:val="00035746"/>
    <w:rsid w:val="000C09EF"/>
    <w:rsid w:val="001050EF"/>
    <w:rsid w:val="0015422B"/>
    <w:rsid w:val="00270AB7"/>
    <w:rsid w:val="003663EC"/>
    <w:rsid w:val="00367530"/>
    <w:rsid w:val="0038721F"/>
    <w:rsid w:val="003D11FA"/>
    <w:rsid w:val="005D5C74"/>
    <w:rsid w:val="00635179"/>
    <w:rsid w:val="00657661"/>
    <w:rsid w:val="00715650"/>
    <w:rsid w:val="00731508"/>
    <w:rsid w:val="007507B5"/>
    <w:rsid w:val="00A928DE"/>
    <w:rsid w:val="00AB0844"/>
    <w:rsid w:val="00B9242B"/>
    <w:rsid w:val="00C50F54"/>
    <w:rsid w:val="00D703A7"/>
    <w:rsid w:val="00E74AA6"/>
    <w:rsid w:val="00E77B75"/>
    <w:rsid w:val="00ED5C0D"/>
    <w:rsid w:val="00EF1BF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spacing w:line="360" w:lineRule="auto"/>
      <w:jc w:val="both"/>
      <w:outlineLvl w:val="0"/>
    </w:pPr>
    <w:rPr>
      <w:rFonts w:ascii="Bookman Old Style" w:hAnsi="Bookman Old Style"/>
      <w:b/>
      <w:bCs/>
      <w:szCs w:val="20"/>
    </w:rPr>
  </w:style>
  <w:style w:type="paragraph" w:styleId="Ttulo2">
    <w:name w:val="heading 2"/>
    <w:basedOn w:val="Normal"/>
    <w:next w:val="Normal"/>
    <w:qFormat/>
    <w:pPr>
      <w:keepNext/>
      <w:spacing w:after="260" w:line="360" w:lineRule="auto"/>
      <w:jc w:val="both"/>
      <w:outlineLvl w:val="1"/>
    </w:pPr>
    <w:rPr>
      <w:rFonts w:ascii="Arial" w:hAnsi="Arial" w:cs="Arial"/>
      <w:szCs w:val="20"/>
      <w:lang w:val="es-UY"/>
    </w:rPr>
  </w:style>
  <w:style w:type="paragraph" w:styleId="Ttulo6">
    <w:name w:val="heading 6"/>
    <w:basedOn w:val="Normal"/>
    <w:next w:val="Normal"/>
    <w:qFormat/>
    <w:pPr>
      <w:keepNext/>
      <w:spacing w:line="360" w:lineRule="auto"/>
      <w:jc w:val="both"/>
      <w:outlineLvl w:val="5"/>
    </w:pPr>
    <w:rPr>
      <w:rFonts w:ascii="Arial" w:hAnsi="Arial"/>
      <w:b/>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semiHidden/>
    <w:pPr>
      <w:spacing w:line="360" w:lineRule="auto"/>
      <w:jc w:val="both"/>
    </w:pPr>
    <w:rPr>
      <w:rFonts w:ascii="Arial" w:hAnsi="Arial"/>
      <w:color w:val="FF0000"/>
      <w:szCs w:val="20"/>
    </w:rPr>
  </w:style>
  <w:style w:type="paragraph" w:customStyle="1" w:styleId="Textodenotaalfinal">
    <w:name w:val="Texto de nota al final"/>
    <w:basedOn w:val="Normal"/>
    <w:pPr>
      <w:widowControl w:val="0"/>
    </w:pPr>
    <w:rPr>
      <w:rFonts w:ascii="Courier New" w:hAnsi="Courier New"/>
      <w:snapToGrid w:val="0"/>
      <w:szCs w:val="20"/>
    </w:rPr>
  </w:style>
  <w:style w:type="paragraph" w:styleId="Textoindependiente">
    <w:name w:val="Body Text"/>
    <w:basedOn w:val="Normal"/>
    <w:link w:val="TextoindependienteCar"/>
    <w:semiHidden/>
    <w:pPr>
      <w:spacing w:after="120"/>
    </w:pPr>
    <w:rPr>
      <w:sz w:val="20"/>
      <w:szCs w:val="20"/>
      <w:lang w:val="es-UY"/>
    </w:r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emiHidden/>
  </w:style>
  <w:style w:type="paragraph" w:styleId="Textoindependiente3">
    <w:name w:val="Body Text 3"/>
    <w:basedOn w:val="Normal"/>
    <w:semiHidden/>
    <w:pPr>
      <w:widowControl w:val="0"/>
      <w:spacing w:line="360" w:lineRule="auto"/>
      <w:jc w:val="both"/>
    </w:pPr>
    <w:rPr>
      <w:rFonts w:ascii="Arial" w:hAnsi="Arial" w:cs="Arial"/>
    </w:rPr>
  </w:style>
  <w:style w:type="paragraph" w:styleId="Encabezado">
    <w:name w:val="header"/>
    <w:basedOn w:val="Normal"/>
    <w:link w:val="EncabezadoCar"/>
    <w:uiPriority w:val="99"/>
    <w:pPr>
      <w:tabs>
        <w:tab w:val="center" w:pos="4252"/>
        <w:tab w:val="right" w:pos="8504"/>
      </w:tabs>
    </w:pPr>
  </w:style>
  <w:style w:type="paragraph" w:styleId="Textonotapie">
    <w:name w:val="footnote text"/>
    <w:basedOn w:val="Normal"/>
    <w:semiHidden/>
    <w:rPr>
      <w:sz w:val="20"/>
      <w:szCs w:val="20"/>
    </w:rPr>
  </w:style>
  <w:style w:type="character" w:styleId="Refdenotaalpie">
    <w:name w:val="footnote reference"/>
    <w:semiHidden/>
    <w:rPr>
      <w:vertAlign w:val="superscript"/>
    </w:rPr>
  </w:style>
  <w:style w:type="paragraph" w:customStyle="1" w:styleId="Sangra3detindependiente1">
    <w:name w:val="Sangría 3 de t. independiente1"/>
    <w:basedOn w:val="Normal"/>
    <w:pPr>
      <w:widowControl w:val="0"/>
      <w:overflowPunct w:val="0"/>
      <w:autoSpaceDE w:val="0"/>
      <w:autoSpaceDN w:val="0"/>
      <w:adjustRightInd w:val="0"/>
      <w:ind w:firstLine="1418"/>
      <w:jc w:val="both"/>
      <w:textAlignment w:val="baseline"/>
    </w:pPr>
    <w:rPr>
      <w:szCs w:val="20"/>
      <w:lang w:val="es-ES_tradnl"/>
    </w:rPr>
  </w:style>
  <w:style w:type="paragraph" w:customStyle="1" w:styleId="Sangradetindependiente">
    <w:name w:val="SangrÌa de t. independiente"/>
    <w:basedOn w:val="Normal"/>
    <w:pPr>
      <w:tabs>
        <w:tab w:val="left" w:pos="860"/>
      </w:tabs>
      <w:spacing w:after="260"/>
      <w:jc w:val="both"/>
    </w:pPr>
    <w:rPr>
      <w:rFonts w:ascii="Times" w:hAnsi="Times"/>
      <w:sz w:val="22"/>
      <w:szCs w:val="20"/>
    </w:rPr>
  </w:style>
  <w:style w:type="character" w:customStyle="1" w:styleId="PiedepginaCar">
    <w:name w:val="Pie de página Car"/>
    <w:link w:val="Piedepgina"/>
    <w:uiPriority w:val="99"/>
    <w:rsid w:val="00367530"/>
    <w:rPr>
      <w:sz w:val="24"/>
      <w:szCs w:val="24"/>
      <w:lang w:val="es-ES" w:eastAsia="es-ES"/>
    </w:rPr>
  </w:style>
  <w:style w:type="paragraph" w:styleId="Textodeglobo">
    <w:name w:val="Balloon Text"/>
    <w:basedOn w:val="Normal"/>
    <w:link w:val="TextodegloboCar"/>
    <w:uiPriority w:val="99"/>
    <w:semiHidden/>
    <w:unhideWhenUsed/>
    <w:rsid w:val="00367530"/>
    <w:rPr>
      <w:rFonts w:ascii="Tahoma" w:hAnsi="Tahoma" w:cs="Tahoma"/>
      <w:sz w:val="16"/>
      <w:szCs w:val="16"/>
    </w:rPr>
  </w:style>
  <w:style w:type="character" w:customStyle="1" w:styleId="TextodegloboCar">
    <w:name w:val="Texto de globo Car"/>
    <w:link w:val="Textodeglobo"/>
    <w:uiPriority w:val="99"/>
    <w:semiHidden/>
    <w:rsid w:val="00367530"/>
    <w:rPr>
      <w:rFonts w:ascii="Tahoma" w:hAnsi="Tahoma" w:cs="Tahoma"/>
      <w:sz w:val="16"/>
      <w:szCs w:val="16"/>
      <w:lang w:val="es-ES" w:eastAsia="es-ES"/>
    </w:rPr>
  </w:style>
  <w:style w:type="paragraph" w:styleId="Prrafodelista">
    <w:name w:val="List Paragraph"/>
    <w:basedOn w:val="Normal"/>
    <w:uiPriority w:val="34"/>
    <w:qFormat/>
    <w:rsid w:val="00EF1BF2"/>
    <w:pPr>
      <w:spacing w:after="200" w:line="276" w:lineRule="auto"/>
      <w:ind w:left="720"/>
      <w:contextualSpacing/>
    </w:pPr>
    <w:rPr>
      <w:rFonts w:asciiTheme="minorHAnsi" w:eastAsiaTheme="minorEastAsia" w:hAnsiTheme="minorHAnsi" w:cstheme="minorBidi"/>
      <w:sz w:val="22"/>
      <w:szCs w:val="22"/>
      <w:lang w:val="es-UY" w:eastAsia="es-UY"/>
    </w:rPr>
  </w:style>
  <w:style w:type="character" w:customStyle="1" w:styleId="TextoindependienteCar">
    <w:name w:val="Texto independiente Car"/>
    <w:basedOn w:val="Fuentedeprrafopredeter"/>
    <w:link w:val="Textoindependiente"/>
    <w:semiHidden/>
    <w:rsid w:val="00EF1BF2"/>
    <w:rPr>
      <w:lang w:eastAsia="es-ES"/>
    </w:rPr>
  </w:style>
  <w:style w:type="paragraph" w:styleId="Sangradetextonormal">
    <w:name w:val="Body Text Indent"/>
    <w:basedOn w:val="Normal"/>
    <w:link w:val="SangradetextonormalCar"/>
    <w:uiPriority w:val="99"/>
    <w:unhideWhenUsed/>
    <w:rsid w:val="00EF1BF2"/>
    <w:pPr>
      <w:spacing w:after="120" w:line="276" w:lineRule="auto"/>
      <w:ind w:left="283"/>
    </w:pPr>
    <w:rPr>
      <w:rFonts w:asciiTheme="minorHAnsi" w:eastAsiaTheme="minorEastAsia" w:hAnsiTheme="minorHAnsi" w:cstheme="minorBidi"/>
      <w:sz w:val="22"/>
      <w:szCs w:val="22"/>
      <w:lang w:val="es-UY" w:eastAsia="es-UY"/>
    </w:rPr>
  </w:style>
  <w:style w:type="character" w:customStyle="1" w:styleId="SangradetextonormalCar">
    <w:name w:val="Sangría de texto normal Car"/>
    <w:basedOn w:val="Fuentedeprrafopredeter"/>
    <w:link w:val="Sangradetextonormal"/>
    <w:uiPriority w:val="99"/>
    <w:rsid w:val="00EF1BF2"/>
    <w:rPr>
      <w:rFonts w:asciiTheme="minorHAnsi" w:eastAsiaTheme="minorEastAsia" w:hAnsiTheme="minorHAnsi" w:cstheme="minorBidi"/>
      <w:sz w:val="22"/>
      <w:szCs w:val="22"/>
    </w:rPr>
  </w:style>
  <w:style w:type="paragraph" w:styleId="Sinespaciado">
    <w:name w:val="No Spacing"/>
    <w:link w:val="SinespaciadoCar"/>
    <w:uiPriority w:val="1"/>
    <w:qFormat/>
    <w:rsid w:val="00270AB7"/>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270AB7"/>
    <w:rPr>
      <w:rFonts w:asciiTheme="minorHAnsi" w:eastAsiaTheme="minorEastAsia" w:hAnsiTheme="minorHAnsi" w:cstheme="minorBidi"/>
      <w:sz w:val="22"/>
      <w:szCs w:val="22"/>
    </w:rPr>
  </w:style>
  <w:style w:type="character" w:customStyle="1" w:styleId="EncabezadoCar">
    <w:name w:val="Encabezado Car"/>
    <w:basedOn w:val="Fuentedeprrafopredeter"/>
    <w:link w:val="Encabezado"/>
    <w:uiPriority w:val="99"/>
    <w:rsid w:val="00270AB7"/>
    <w:rPr>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spacing w:line="360" w:lineRule="auto"/>
      <w:jc w:val="both"/>
      <w:outlineLvl w:val="0"/>
    </w:pPr>
    <w:rPr>
      <w:rFonts w:ascii="Bookman Old Style" w:hAnsi="Bookman Old Style"/>
      <w:b/>
      <w:bCs/>
      <w:szCs w:val="20"/>
    </w:rPr>
  </w:style>
  <w:style w:type="paragraph" w:styleId="Ttulo2">
    <w:name w:val="heading 2"/>
    <w:basedOn w:val="Normal"/>
    <w:next w:val="Normal"/>
    <w:qFormat/>
    <w:pPr>
      <w:keepNext/>
      <w:spacing w:after="260" w:line="360" w:lineRule="auto"/>
      <w:jc w:val="both"/>
      <w:outlineLvl w:val="1"/>
    </w:pPr>
    <w:rPr>
      <w:rFonts w:ascii="Arial" w:hAnsi="Arial" w:cs="Arial"/>
      <w:szCs w:val="20"/>
      <w:lang w:val="es-UY"/>
    </w:rPr>
  </w:style>
  <w:style w:type="paragraph" w:styleId="Ttulo6">
    <w:name w:val="heading 6"/>
    <w:basedOn w:val="Normal"/>
    <w:next w:val="Normal"/>
    <w:qFormat/>
    <w:pPr>
      <w:keepNext/>
      <w:spacing w:line="360" w:lineRule="auto"/>
      <w:jc w:val="both"/>
      <w:outlineLvl w:val="5"/>
    </w:pPr>
    <w:rPr>
      <w:rFonts w:ascii="Arial" w:hAnsi="Arial"/>
      <w:b/>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semiHidden/>
    <w:pPr>
      <w:spacing w:line="360" w:lineRule="auto"/>
      <w:jc w:val="both"/>
    </w:pPr>
    <w:rPr>
      <w:rFonts w:ascii="Arial" w:hAnsi="Arial"/>
      <w:color w:val="FF0000"/>
      <w:szCs w:val="20"/>
    </w:rPr>
  </w:style>
  <w:style w:type="paragraph" w:customStyle="1" w:styleId="Textodenotaalfinal">
    <w:name w:val="Texto de nota al final"/>
    <w:basedOn w:val="Normal"/>
    <w:pPr>
      <w:widowControl w:val="0"/>
    </w:pPr>
    <w:rPr>
      <w:rFonts w:ascii="Courier New" w:hAnsi="Courier New"/>
      <w:snapToGrid w:val="0"/>
      <w:szCs w:val="20"/>
    </w:rPr>
  </w:style>
  <w:style w:type="paragraph" w:styleId="Textoindependiente">
    <w:name w:val="Body Text"/>
    <w:basedOn w:val="Normal"/>
    <w:link w:val="TextoindependienteCar"/>
    <w:semiHidden/>
    <w:pPr>
      <w:spacing w:after="120"/>
    </w:pPr>
    <w:rPr>
      <w:sz w:val="20"/>
      <w:szCs w:val="20"/>
      <w:lang w:val="es-UY"/>
    </w:r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emiHidden/>
  </w:style>
  <w:style w:type="paragraph" w:styleId="Textoindependiente3">
    <w:name w:val="Body Text 3"/>
    <w:basedOn w:val="Normal"/>
    <w:semiHidden/>
    <w:pPr>
      <w:widowControl w:val="0"/>
      <w:spacing w:line="360" w:lineRule="auto"/>
      <w:jc w:val="both"/>
    </w:pPr>
    <w:rPr>
      <w:rFonts w:ascii="Arial" w:hAnsi="Arial" w:cs="Arial"/>
    </w:rPr>
  </w:style>
  <w:style w:type="paragraph" w:styleId="Encabezado">
    <w:name w:val="header"/>
    <w:basedOn w:val="Normal"/>
    <w:link w:val="EncabezadoCar"/>
    <w:uiPriority w:val="99"/>
    <w:pPr>
      <w:tabs>
        <w:tab w:val="center" w:pos="4252"/>
        <w:tab w:val="right" w:pos="8504"/>
      </w:tabs>
    </w:pPr>
  </w:style>
  <w:style w:type="paragraph" w:styleId="Textonotapie">
    <w:name w:val="footnote text"/>
    <w:basedOn w:val="Normal"/>
    <w:semiHidden/>
    <w:rPr>
      <w:sz w:val="20"/>
      <w:szCs w:val="20"/>
    </w:rPr>
  </w:style>
  <w:style w:type="character" w:styleId="Refdenotaalpie">
    <w:name w:val="footnote reference"/>
    <w:semiHidden/>
    <w:rPr>
      <w:vertAlign w:val="superscript"/>
    </w:rPr>
  </w:style>
  <w:style w:type="paragraph" w:customStyle="1" w:styleId="Sangra3detindependiente1">
    <w:name w:val="Sangría 3 de t. independiente1"/>
    <w:basedOn w:val="Normal"/>
    <w:pPr>
      <w:widowControl w:val="0"/>
      <w:overflowPunct w:val="0"/>
      <w:autoSpaceDE w:val="0"/>
      <w:autoSpaceDN w:val="0"/>
      <w:adjustRightInd w:val="0"/>
      <w:ind w:firstLine="1418"/>
      <w:jc w:val="both"/>
      <w:textAlignment w:val="baseline"/>
    </w:pPr>
    <w:rPr>
      <w:szCs w:val="20"/>
      <w:lang w:val="es-ES_tradnl"/>
    </w:rPr>
  </w:style>
  <w:style w:type="paragraph" w:customStyle="1" w:styleId="Sangradetindependiente">
    <w:name w:val="SangrÌa de t. independiente"/>
    <w:basedOn w:val="Normal"/>
    <w:pPr>
      <w:tabs>
        <w:tab w:val="left" w:pos="860"/>
      </w:tabs>
      <w:spacing w:after="260"/>
      <w:jc w:val="both"/>
    </w:pPr>
    <w:rPr>
      <w:rFonts w:ascii="Times" w:hAnsi="Times"/>
      <w:sz w:val="22"/>
      <w:szCs w:val="20"/>
    </w:rPr>
  </w:style>
  <w:style w:type="character" w:customStyle="1" w:styleId="PiedepginaCar">
    <w:name w:val="Pie de página Car"/>
    <w:link w:val="Piedepgina"/>
    <w:uiPriority w:val="99"/>
    <w:rsid w:val="00367530"/>
    <w:rPr>
      <w:sz w:val="24"/>
      <w:szCs w:val="24"/>
      <w:lang w:val="es-ES" w:eastAsia="es-ES"/>
    </w:rPr>
  </w:style>
  <w:style w:type="paragraph" w:styleId="Textodeglobo">
    <w:name w:val="Balloon Text"/>
    <w:basedOn w:val="Normal"/>
    <w:link w:val="TextodegloboCar"/>
    <w:uiPriority w:val="99"/>
    <w:semiHidden/>
    <w:unhideWhenUsed/>
    <w:rsid w:val="00367530"/>
    <w:rPr>
      <w:rFonts w:ascii="Tahoma" w:hAnsi="Tahoma" w:cs="Tahoma"/>
      <w:sz w:val="16"/>
      <w:szCs w:val="16"/>
    </w:rPr>
  </w:style>
  <w:style w:type="character" w:customStyle="1" w:styleId="TextodegloboCar">
    <w:name w:val="Texto de globo Car"/>
    <w:link w:val="Textodeglobo"/>
    <w:uiPriority w:val="99"/>
    <w:semiHidden/>
    <w:rsid w:val="00367530"/>
    <w:rPr>
      <w:rFonts w:ascii="Tahoma" w:hAnsi="Tahoma" w:cs="Tahoma"/>
      <w:sz w:val="16"/>
      <w:szCs w:val="16"/>
      <w:lang w:val="es-ES" w:eastAsia="es-ES"/>
    </w:rPr>
  </w:style>
  <w:style w:type="paragraph" w:styleId="Prrafodelista">
    <w:name w:val="List Paragraph"/>
    <w:basedOn w:val="Normal"/>
    <w:uiPriority w:val="34"/>
    <w:qFormat/>
    <w:rsid w:val="00EF1BF2"/>
    <w:pPr>
      <w:spacing w:after="200" w:line="276" w:lineRule="auto"/>
      <w:ind w:left="720"/>
      <w:contextualSpacing/>
    </w:pPr>
    <w:rPr>
      <w:rFonts w:asciiTheme="minorHAnsi" w:eastAsiaTheme="minorEastAsia" w:hAnsiTheme="minorHAnsi" w:cstheme="minorBidi"/>
      <w:sz w:val="22"/>
      <w:szCs w:val="22"/>
      <w:lang w:val="es-UY" w:eastAsia="es-UY"/>
    </w:rPr>
  </w:style>
  <w:style w:type="character" w:customStyle="1" w:styleId="TextoindependienteCar">
    <w:name w:val="Texto independiente Car"/>
    <w:basedOn w:val="Fuentedeprrafopredeter"/>
    <w:link w:val="Textoindependiente"/>
    <w:semiHidden/>
    <w:rsid w:val="00EF1BF2"/>
    <w:rPr>
      <w:lang w:eastAsia="es-ES"/>
    </w:rPr>
  </w:style>
  <w:style w:type="paragraph" w:styleId="Sangradetextonormal">
    <w:name w:val="Body Text Indent"/>
    <w:basedOn w:val="Normal"/>
    <w:link w:val="SangradetextonormalCar"/>
    <w:uiPriority w:val="99"/>
    <w:unhideWhenUsed/>
    <w:rsid w:val="00EF1BF2"/>
    <w:pPr>
      <w:spacing w:after="120" w:line="276" w:lineRule="auto"/>
      <w:ind w:left="283"/>
    </w:pPr>
    <w:rPr>
      <w:rFonts w:asciiTheme="minorHAnsi" w:eastAsiaTheme="minorEastAsia" w:hAnsiTheme="minorHAnsi" w:cstheme="minorBidi"/>
      <w:sz w:val="22"/>
      <w:szCs w:val="22"/>
      <w:lang w:val="es-UY" w:eastAsia="es-UY"/>
    </w:rPr>
  </w:style>
  <w:style w:type="character" w:customStyle="1" w:styleId="SangradetextonormalCar">
    <w:name w:val="Sangría de texto normal Car"/>
    <w:basedOn w:val="Fuentedeprrafopredeter"/>
    <w:link w:val="Sangradetextonormal"/>
    <w:uiPriority w:val="99"/>
    <w:rsid w:val="00EF1BF2"/>
    <w:rPr>
      <w:rFonts w:asciiTheme="minorHAnsi" w:eastAsiaTheme="minorEastAsia" w:hAnsiTheme="minorHAnsi" w:cstheme="minorBidi"/>
      <w:sz w:val="22"/>
      <w:szCs w:val="22"/>
    </w:rPr>
  </w:style>
  <w:style w:type="paragraph" w:styleId="Sinespaciado">
    <w:name w:val="No Spacing"/>
    <w:link w:val="SinespaciadoCar"/>
    <w:uiPriority w:val="1"/>
    <w:qFormat/>
    <w:rsid w:val="00270AB7"/>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270AB7"/>
    <w:rPr>
      <w:rFonts w:asciiTheme="minorHAnsi" w:eastAsiaTheme="minorEastAsia" w:hAnsiTheme="minorHAnsi" w:cstheme="minorBidi"/>
      <w:sz w:val="22"/>
      <w:szCs w:val="22"/>
    </w:rPr>
  </w:style>
  <w:style w:type="character" w:customStyle="1" w:styleId="EncabezadoCar">
    <w:name w:val="Encabezado Car"/>
    <w:basedOn w:val="Fuentedeprrafopredeter"/>
    <w:link w:val="Encabezado"/>
    <w:uiPriority w:val="99"/>
    <w:rsid w:val="00270AB7"/>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8</Pages>
  <Words>1625</Words>
  <Characters>8858</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INFORME A LA ADMINISTRACION</vt:lpstr>
    </vt:vector>
  </TitlesOfParts>
  <Company>Tribunal de Cuentas</Company>
  <LinksUpToDate>false</LinksUpToDate>
  <CharactersWithSpaces>10463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A LA ADMINISTRACION</dc:title>
  <dc:creator>Sec. Gral. P.B.</dc:creator>
  <cp:lastModifiedBy> </cp:lastModifiedBy>
  <cp:revision>5</cp:revision>
  <cp:lastPrinted>2015-01-09T15:14:00Z</cp:lastPrinted>
  <dcterms:created xsi:type="dcterms:W3CDTF">2015-11-23T16:37:00Z</dcterms:created>
  <dcterms:modified xsi:type="dcterms:W3CDTF">2015-12-01T18:42:00Z</dcterms:modified>
</cp:coreProperties>
</file>