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79" w:rsidRDefault="00BC0079" w:rsidP="007112F6">
      <w:pPr>
        <w:pStyle w:val="Ttulo2"/>
        <w:spacing w:line="360" w:lineRule="auto"/>
        <w:jc w:val="left"/>
      </w:pPr>
      <w:bookmarkStart w:id="0" w:name="_GoBack"/>
      <w:bookmarkEnd w:id="0"/>
    </w:p>
    <w:p w:rsidR="00BC0079" w:rsidRDefault="00BC0079" w:rsidP="00EB62C8">
      <w:pPr>
        <w:tabs>
          <w:tab w:val="center" w:pos="4253"/>
        </w:tabs>
        <w:suppressAutoHyphens/>
        <w:jc w:val="center"/>
        <w:rPr>
          <w:rFonts w:ascii="Helvetica" w:hAnsi="Helvetica"/>
          <w:b w:val="0"/>
          <w:lang w:val="es-ES_tradnl"/>
        </w:rPr>
      </w:pPr>
      <w:r>
        <w:rPr>
          <w:rFonts w:ascii="Helvetica" w:hAnsi="Helvetica"/>
          <w:lang w:val="es-ES_tradnl"/>
        </w:rPr>
        <w:t>RESOLUCION ADOPTADA POR EL</w:t>
      </w:r>
    </w:p>
    <w:p w:rsidR="00BC0079" w:rsidRDefault="00BC0079" w:rsidP="00EB62C8">
      <w:pPr>
        <w:tabs>
          <w:tab w:val="left" w:pos="-720"/>
        </w:tabs>
        <w:suppressAutoHyphens/>
        <w:jc w:val="center"/>
        <w:rPr>
          <w:rFonts w:ascii="Helvetica" w:hAnsi="Helvetica"/>
          <w:b w:val="0"/>
          <w:lang w:val="es-ES_tradnl"/>
        </w:rPr>
      </w:pPr>
    </w:p>
    <w:p w:rsidR="00BC0079" w:rsidRDefault="00BC0079" w:rsidP="00EB62C8">
      <w:pPr>
        <w:tabs>
          <w:tab w:val="center" w:pos="4253"/>
        </w:tabs>
        <w:suppressAutoHyphens/>
        <w:jc w:val="center"/>
        <w:rPr>
          <w:rFonts w:ascii="Helvetica" w:hAnsi="Helvetica"/>
          <w:b w:val="0"/>
          <w:lang w:val="es-ES_tradnl"/>
        </w:rPr>
      </w:pPr>
      <w:r>
        <w:rPr>
          <w:rFonts w:ascii="Helvetica" w:hAnsi="Helvetica"/>
          <w:lang w:val="es-ES_tradnl"/>
        </w:rPr>
        <w:t>TRIBUNAL DE CUENTAS</w:t>
      </w:r>
    </w:p>
    <w:p w:rsidR="00BC0079" w:rsidRDefault="00BC0079" w:rsidP="00EB62C8">
      <w:pPr>
        <w:tabs>
          <w:tab w:val="left" w:pos="-720"/>
        </w:tabs>
        <w:suppressAutoHyphens/>
        <w:jc w:val="center"/>
        <w:rPr>
          <w:rFonts w:ascii="Helvetica" w:hAnsi="Helvetica"/>
          <w:b w:val="0"/>
          <w:lang w:val="es-ES_tradnl"/>
        </w:rPr>
      </w:pPr>
    </w:p>
    <w:p w:rsidR="00BC0079" w:rsidRDefault="00BC0079" w:rsidP="00EB62C8">
      <w:pPr>
        <w:tabs>
          <w:tab w:val="center" w:pos="4253"/>
        </w:tabs>
        <w:suppressAutoHyphens/>
        <w:jc w:val="center"/>
        <w:rPr>
          <w:rFonts w:ascii="Helvetica" w:hAnsi="Helvetica"/>
          <w:b w:val="0"/>
          <w:lang w:val="es-ES_tradnl"/>
        </w:rPr>
      </w:pPr>
      <w:r>
        <w:rPr>
          <w:rFonts w:ascii="Helvetica" w:hAnsi="Helvetica"/>
          <w:lang w:val="es-ES_tradnl"/>
        </w:rPr>
        <w:t>EN SESION DE FECHA 27 DE AGOSTO DE 2015</w:t>
      </w:r>
    </w:p>
    <w:p w:rsidR="00BC0079" w:rsidRDefault="00BC0079" w:rsidP="00EB62C8">
      <w:pPr>
        <w:tabs>
          <w:tab w:val="center" w:pos="4253"/>
        </w:tabs>
        <w:suppressAutoHyphens/>
        <w:jc w:val="center"/>
        <w:rPr>
          <w:rFonts w:ascii="Helvetica" w:hAnsi="Helvetica"/>
          <w:b w:val="0"/>
          <w:lang w:val="es-ES_tradnl"/>
        </w:rPr>
      </w:pPr>
    </w:p>
    <w:p w:rsidR="00BC0079" w:rsidRPr="00BC0079" w:rsidRDefault="00BC0079" w:rsidP="00EB62C8">
      <w:pPr>
        <w:tabs>
          <w:tab w:val="center" w:pos="4253"/>
        </w:tabs>
        <w:suppressAutoHyphens/>
        <w:jc w:val="center"/>
        <w:rPr>
          <w:rFonts w:ascii="Helvetica" w:hAnsi="Helvetica"/>
          <w:b w:val="0"/>
          <w:lang w:val="es-UY"/>
        </w:rPr>
      </w:pPr>
      <w:r w:rsidRPr="00BC0079">
        <w:rPr>
          <w:rFonts w:ascii="Helvetica" w:hAnsi="Helvetica"/>
          <w:lang w:val="es-UY"/>
        </w:rPr>
        <w:t xml:space="preserve">(E. E. Nº 2015-17-1-0006376, </w:t>
      </w:r>
      <w:proofErr w:type="spellStart"/>
      <w:r w:rsidRPr="00BC0079">
        <w:rPr>
          <w:rFonts w:ascii="Helvetica" w:hAnsi="Helvetica"/>
          <w:lang w:val="es-UY"/>
        </w:rPr>
        <w:t>Ents</w:t>
      </w:r>
      <w:proofErr w:type="spellEnd"/>
      <w:r w:rsidRPr="00BC0079">
        <w:rPr>
          <w:rFonts w:ascii="Helvetica" w:hAnsi="Helvetica"/>
          <w:lang w:val="es-UY"/>
        </w:rPr>
        <w:t>. N</w:t>
      </w:r>
      <w:r>
        <w:rPr>
          <w:rFonts w:ascii="Helvetica" w:hAnsi="Helvetica"/>
          <w:lang w:val="es-UY"/>
        </w:rPr>
        <w:t>os.</w:t>
      </w:r>
      <w:r w:rsidRPr="00BC0079">
        <w:rPr>
          <w:rFonts w:ascii="Helvetica" w:hAnsi="Helvetica"/>
          <w:lang w:val="es-UY"/>
        </w:rPr>
        <w:t xml:space="preserve"> </w:t>
      </w:r>
      <w:r>
        <w:rPr>
          <w:rFonts w:ascii="Helvetica" w:hAnsi="Helvetica"/>
          <w:lang w:val="es-UY"/>
        </w:rPr>
        <w:t>5111/</w:t>
      </w:r>
      <w:r w:rsidRPr="00BC0079">
        <w:rPr>
          <w:rFonts w:ascii="Helvetica" w:hAnsi="Helvetica"/>
          <w:lang w:val="es-UY"/>
        </w:rPr>
        <w:t>15</w:t>
      </w:r>
      <w:r>
        <w:rPr>
          <w:rFonts w:ascii="Helvetica" w:hAnsi="Helvetica"/>
          <w:lang w:val="es-UY"/>
        </w:rPr>
        <w:t xml:space="preserve"> y 5575/15</w:t>
      </w:r>
      <w:r w:rsidRPr="00BC0079">
        <w:rPr>
          <w:rFonts w:ascii="Helvetica" w:hAnsi="Helvetica"/>
          <w:lang w:val="es-UY"/>
        </w:rPr>
        <w:t>)</w:t>
      </w:r>
    </w:p>
    <w:p w:rsidR="00BC0079" w:rsidRPr="00BC0079" w:rsidRDefault="00BC0079" w:rsidP="00EB62C8">
      <w:pPr>
        <w:tabs>
          <w:tab w:val="center" w:pos="4253"/>
        </w:tabs>
        <w:suppressAutoHyphens/>
        <w:jc w:val="center"/>
        <w:rPr>
          <w:rFonts w:ascii="Arial" w:hAnsi="Arial"/>
          <w:spacing w:val="-3"/>
          <w:lang w:val="es-UY"/>
        </w:rPr>
      </w:pPr>
    </w:p>
    <w:p w:rsidR="00BC0079" w:rsidRDefault="00BC0079"/>
    <w:p w:rsidR="00F71D2F" w:rsidRDefault="00BC2DDE" w:rsidP="00A21F11">
      <w:pPr>
        <w:pStyle w:val="Ttulo"/>
        <w:ind w:firstLine="851"/>
        <w:jc w:val="both"/>
        <w:rPr>
          <w:b w:val="0"/>
          <w:bCs/>
          <w:u w:val="none"/>
        </w:rPr>
      </w:pPr>
      <w:r>
        <w:rPr>
          <w:bCs/>
          <w:u w:val="none"/>
          <w:lang w:val="es-ES_tradnl"/>
        </w:rPr>
        <w:t xml:space="preserve">VISTO: </w:t>
      </w:r>
      <w:r w:rsidRPr="00BC2DDE">
        <w:rPr>
          <w:b w:val="0"/>
          <w:bCs/>
          <w:u w:val="none"/>
          <w:lang w:val="es-ES_tradnl"/>
        </w:rPr>
        <w:t xml:space="preserve">las actuaciones remitidas por </w:t>
      </w:r>
      <w:r w:rsidR="00F71D2F">
        <w:rPr>
          <w:b w:val="0"/>
          <w:bCs/>
          <w:u w:val="none"/>
        </w:rPr>
        <w:t>Presidencia de la República – Agencia para el Desarrollo del Gobierno de Gestión Electrónica</w:t>
      </w:r>
      <w:r>
        <w:rPr>
          <w:b w:val="0"/>
          <w:bCs/>
          <w:u w:val="none"/>
        </w:rPr>
        <w:t xml:space="preserve"> (AGESIC) relacionadas con el Convenio Marco Nº 1/2015, cuyo objeto es la </w:t>
      </w:r>
      <w:r w:rsidR="00F71D2F">
        <w:rPr>
          <w:b w:val="0"/>
          <w:bCs/>
          <w:u w:val="none"/>
        </w:rPr>
        <w:t xml:space="preserve">                                 </w:t>
      </w:r>
      <w:r w:rsidR="00F71D2F">
        <w:rPr>
          <w:rFonts w:cs="Arial"/>
          <w:b w:val="0"/>
          <w:u w:val="none"/>
          <w:lang w:val="es-ES_tradnl"/>
        </w:rPr>
        <w:t>“Adquisición d</w:t>
      </w:r>
      <w:r w:rsidR="007A2BD4">
        <w:rPr>
          <w:rFonts w:cs="Arial"/>
          <w:b w:val="0"/>
          <w:u w:val="none"/>
          <w:lang w:val="es-ES_tradnl"/>
        </w:rPr>
        <w:t>e PC de escritorio y Portátiles</w:t>
      </w:r>
      <w:r w:rsidR="00F71D2F">
        <w:rPr>
          <w:rFonts w:cs="Arial"/>
          <w:b w:val="0"/>
          <w:u w:val="none"/>
          <w:lang w:val="es-ES_tradnl"/>
        </w:rPr>
        <w:t>”</w:t>
      </w:r>
      <w:r>
        <w:rPr>
          <w:rFonts w:cs="Arial"/>
          <w:b w:val="0"/>
          <w:u w:val="none"/>
          <w:lang w:val="es-ES_tradnl"/>
        </w:rPr>
        <w:t xml:space="preserve">; </w:t>
      </w:r>
    </w:p>
    <w:p w:rsidR="00A21F11" w:rsidRDefault="00196863" w:rsidP="00A21F11">
      <w:pPr>
        <w:spacing w:line="360" w:lineRule="auto"/>
        <w:ind w:firstLine="851"/>
        <w:jc w:val="both"/>
        <w:rPr>
          <w:rFonts w:ascii="Arial" w:hAnsi="Arial" w:cs="Arial"/>
          <w:b w:val="0"/>
          <w:lang w:val="es-ES_tradnl"/>
        </w:rPr>
      </w:pPr>
      <w:r>
        <w:rPr>
          <w:rFonts w:ascii="Arial" w:hAnsi="Arial"/>
          <w:bCs/>
          <w:color w:val="auto"/>
          <w:szCs w:val="24"/>
          <w:lang w:val="es-UY"/>
        </w:rPr>
        <w:t>RESULTANDO: 1)</w:t>
      </w:r>
      <w:r w:rsidR="00FD40B2">
        <w:rPr>
          <w:rFonts w:ascii="Arial" w:hAnsi="Arial"/>
          <w:b w:val="0"/>
          <w:bCs/>
          <w:color w:val="auto"/>
          <w:szCs w:val="24"/>
          <w:lang w:val="es-UY"/>
        </w:rPr>
        <w:t xml:space="preserve"> que se remite </w:t>
      </w:r>
      <w:r w:rsidR="00F71D2F" w:rsidRPr="00FD40B2">
        <w:rPr>
          <w:rFonts w:ascii="Arial" w:hAnsi="Arial" w:cs="Arial"/>
          <w:b w:val="0"/>
          <w:lang w:val="es-ES_tradnl"/>
        </w:rPr>
        <w:t xml:space="preserve">Resolución Nº 3/2015, Acta </w:t>
      </w:r>
      <w:r w:rsidR="00A21F11">
        <w:rPr>
          <w:rFonts w:ascii="Arial" w:hAnsi="Arial" w:cs="Arial"/>
          <w:b w:val="0"/>
          <w:lang w:val="es-ES_tradnl"/>
        </w:rPr>
        <w:t xml:space="preserve">                        </w:t>
      </w:r>
      <w:r w:rsidR="00F71D2F" w:rsidRPr="00FD40B2">
        <w:rPr>
          <w:rFonts w:ascii="Arial" w:hAnsi="Arial" w:cs="Arial"/>
          <w:b w:val="0"/>
          <w:lang w:val="es-ES_tradnl"/>
        </w:rPr>
        <w:t xml:space="preserve">Nº 01/2015, de fecha 4 de febrero de 2015, mediante la cual el Consejo Directivo Honorario de AGESIC, resolvió: </w:t>
      </w:r>
    </w:p>
    <w:p w:rsidR="00A21F11" w:rsidRDefault="00FD40B2" w:rsidP="00A21F11">
      <w:pPr>
        <w:spacing w:line="360" w:lineRule="auto"/>
        <w:jc w:val="both"/>
        <w:rPr>
          <w:rFonts w:ascii="Arial" w:hAnsi="Arial" w:cs="Arial"/>
          <w:b w:val="0"/>
          <w:lang w:val="es-ES_tradnl"/>
        </w:rPr>
      </w:pPr>
      <w:r>
        <w:rPr>
          <w:rFonts w:ascii="Arial" w:hAnsi="Arial" w:cs="Arial"/>
          <w:b w:val="0"/>
          <w:lang w:val="es-ES_tradnl"/>
        </w:rPr>
        <w:t xml:space="preserve">a) </w:t>
      </w:r>
      <w:r w:rsidR="00F71D2F" w:rsidRPr="00FD40B2">
        <w:rPr>
          <w:rFonts w:ascii="Arial" w:hAnsi="Arial" w:cs="Arial"/>
          <w:b w:val="0"/>
          <w:lang w:val="es-ES_tradnl"/>
        </w:rPr>
        <w:t xml:space="preserve">proponer el desarrollo de Convenios Marco para la adquisición de bienes y servicios informáticos, conforme a lo dispuesto por el Artículo 4 del Decreto del Poder Ejecutivo Nº 42/2015, de 27 de enero de 2015; </w:t>
      </w:r>
    </w:p>
    <w:p w:rsidR="00F71D2F" w:rsidRPr="00FD40B2" w:rsidRDefault="00FD40B2" w:rsidP="00A21F11">
      <w:pPr>
        <w:spacing w:line="360" w:lineRule="auto"/>
        <w:jc w:val="both"/>
        <w:rPr>
          <w:rFonts w:ascii="Arial" w:hAnsi="Arial" w:cs="Arial"/>
          <w:b w:val="0"/>
          <w:lang w:val="es-ES_tradnl"/>
        </w:rPr>
      </w:pPr>
      <w:r>
        <w:rPr>
          <w:rFonts w:ascii="Arial" w:hAnsi="Arial" w:cs="Arial"/>
          <w:b w:val="0"/>
          <w:lang w:val="es-ES_tradnl"/>
        </w:rPr>
        <w:t xml:space="preserve">b) </w:t>
      </w:r>
      <w:r w:rsidR="00F71D2F" w:rsidRPr="00FD40B2">
        <w:rPr>
          <w:rFonts w:ascii="Arial" w:hAnsi="Arial" w:cs="Arial"/>
          <w:b w:val="0"/>
          <w:lang w:val="es-ES_tradnl"/>
        </w:rPr>
        <w:t>postular a la Agencia para el Desarrollo del Gobierno de Gestión Electrónica y la Sociedad de la Información y el Conocimiento (AGESIC) como Unidad Administradora del referido Convenio Marco</w:t>
      </w:r>
      <w:r>
        <w:rPr>
          <w:rFonts w:ascii="Arial" w:hAnsi="Arial" w:cs="Arial"/>
          <w:b w:val="0"/>
          <w:lang w:val="es-ES_tradnl"/>
        </w:rPr>
        <w:t xml:space="preserve">; </w:t>
      </w:r>
    </w:p>
    <w:p w:rsidR="00F71D2F" w:rsidRDefault="00FD40B2" w:rsidP="00A21F11">
      <w:pPr>
        <w:spacing w:line="360" w:lineRule="auto"/>
        <w:ind w:firstLine="2835"/>
        <w:jc w:val="both"/>
        <w:rPr>
          <w:rFonts w:ascii="Arial" w:hAnsi="Arial" w:cs="Arial"/>
          <w:b w:val="0"/>
          <w:lang w:val="es-ES_tradnl"/>
        </w:rPr>
      </w:pPr>
      <w:r w:rsidRPr="00FD40B2">
        <w:rPr>
          <w:rFonts w:ascii="Arial" w:hAnsi="Arial" w:cs="Arial"/>
          <w:lang w:val="es-ES_tradnl"/>
        </w:rPr>
        <w:t>2)</w:t>
      </w:r>
      <w:r>
        <w:rPr>
          <w:rFonts w:ascii="Arial" w:hAnsi="Arial" w:cs="Arial"/>
          <w:b w:val="0"/>
          <w:lang w:val="es-ES_tradnl"/>
        </w:rPr>
        <w:t xml:space="preserve"> que mediante Resolución </w:t>
      </w:r>
      <w:r w:rsidR="00F71D2F" w:rsidRPr="00FD40B2">
        <w:rPr>
          <w:rFonts w:ascii="Arial" w:hAnsi="Arial" w:cs="Arial"/>
          <w:b w:val="0"/>
          <w:lang w:val="es-ES_tradnl"/>
        </w:rPr>
        <w:t xml:space="preserve">Nº 3/2015, Acta </w:t>
      </w:r>
      <w:r w:rsidR="00A21F11">
        <w:rPr>
          <w:rFonts w:ascii="Arial" w:hAnsi="Arial" w:cs="Arial"/>
          <w:b w:val="0"/>
          <w:lang w:val="es-ES_tradnl"/>
        </w:rPr>
        <w:t xml:space="preserve">                    </w:t>
      </w:r>
      <w:r w:rsidR="00F71D2F" w:rsidRPr="00FD40B2">
        <w:rPr>
          <w:rFonts w:ascii="Arial" w:hAnsi="Arial" w:cs="Arial"/>
          <w:b w:val="0"/>
          <w:lang w:val="es-ES_tradnl"/>
        </w:rPr>
        <w:t>Nº 002/2015</w:t>
      </w:r>
      <w:r w:rsidR="00F71D2F">
        <w:rPr>
          <w:rFonts w:ascii="Arial" w:hAnsi="Arial" w:cs="Arial"/>
          <w:b w:val="0"/>
          <w:lang w:val="es-ES_tradnl"/>
        </w:rPr>
        <w:t>, de fecha 4 de febrero de 2015, el Consejo Direct</w:t>
      </w:r>
      <w:r w:rsidR="007A2BD4">
        <w:rPr>
          <w:rFonts w:ascii="Arial" w:hAnsi="Arial" w:cs="Arial"/>
          <w:b w:val="0"/>
          <w:lang w:val="es-ES_tradnl"/>
        </w:rPr>
        <w:t>ivo Honorario de AGESIC resolvió</w:t>
      </w:r>
      <w:r w:rsidR="00F71D2F">
        <w:rPr>
          <w:rFonts w:ascii="Arial" w:hAnsi="Arial" w:cs="Arial"/>
          <w:b w:val="0"/>
          <w:lang w:val="es-ES_tradnl"/>
        </w:rPr>
        <w:t xml:space="preserve"> remitir al Poder Ejecutivo la postulación de la AGESIC como unidad administradora de Convenios Marco para la adquisición de bienes y servicios relativos</w:t>
      </w:r>
      <w:r w:rsidR="00786674">
        <w:rPr>
          <w:rFonts w:ascii="Arial" w:hAnsi="Arial" w:cs="Arial"/>
          <w:b w:val="0"/>
          <w:lang w:val="es-ES_tradnl"/>
        </w:rPr>
        <w:t xml:space="preserve"> a tecnología de la información; </w:t>
      </w:r>
    </w:p>
    <w:p w:rsidR="00F71D2F" w:rsidRDefault="00786674" w:rsidP="00A21F11">
      <w:pPr>
        <w:spacing w:line="360" w:lineRule="auto"/>
        <w:ind w:firstLine="2835"/>
        <w:jc w:val="both"/>
        <w:rPr>
          <w:rFonts w:ascii="Arial" w:hAnsi="Arial" w:cs="Arial"/>
          <w:b w:val="0"/>
          <w:lang w:val="es-ES_tradnl"/>
        </w:rPr>
      </w:pPr>
      <w:r>
        <w:rPr>
          <w:rFonts w:ascii="Arial" w:hAnsi="Arial" w:cs="Arial"/>
          <w:lang w:val="es-ES_tradnl"/>
        </w:rPr>
        <w:t>3</w:t>
      </w:r>
      <w:r w:rsidRPr="00FD40B2">
        <w:rPr>
          <w:rFonts w:ascii="Arial" w:hAnsi="Arial" w:cs="Arial"/>
          <w:lang w:val="es-ES_tradnl"/>
        </w:rPr>
        <w:t>)</w:t>
      </w:r>
      <w:r>
        <w:rPr>
          <w:rFonts w:ascii="Arial" w:hAnsi="Arial" w:cs="Arial"/>
          <w:b w:val="0"/>
          <w:lang w:val="es-ES_tradnl"/>
        </w:rPr>
        <w:t xml:space="preserve"> que</w:t>
      </w:r>
      <w:r w:rsidR="000122FB">
        <w:rPr>
          <w:rFonts w:ascii="Arial" w:hAnsi="Arial" w:cs="Arial"/>
          <w:b w:val="0"/>
          <w:lang w:val="es-ES_tradnl"/>
        </w:rPr>
        <w:t xml:space="preserve"> la </w:t>
      </w:r>
      <w:r w:rsidR="00F71D2F" w:rsidRPr="000122FB">
        <w:rPr>
          <w:rFonts w:ascii="Arial" w:hAnsi="Arial" w:cs="Arial"/>
          <w:b w:val="0"/>
          <w:lang w:val="es-ES_tradnl"/>
        </w:rPr>
        <w:t>Resolución del Poder Ejecutivo,</w:t>
      </w:r>
      <w:r w:rsidR="00F71D2F">
        <w:rPr>
          <w:rFonts w:ascii="Arial" w:hAnsi="Arial" w:cs="Arial"/>
          <w:b w:val="0"/>
          <w:lang w:val="es-ES_tradnl"/>
        </w:rPr>
        <w:t xml:space="preserve"> de fecha 4 de mayo de 2015, autoriz</w:t>
      </w:r>
      <w:r w:rsidR="000122FB">
        <w:rPr>
          <w:rFonts w:ascii="Arial" w:hAnsi="Arial" w:cs="Arial"/>
          <w:b w:val="0"/>
          <w:lang w:val="es-ES_tradnl"/>
        </w:rPr>
        <w:t>ó</w:t>
      </w:r>
      <w:r w:rsidR="007A2BD4">
        <w:rPr>
          <w:rFonts w:ascii="Arial" w:hAnsi="Arial" w:cs="Arial"/>
          <w:b w:val="0"/>
          <w:lang w:val="es-ES_tradnl"/>
        </w:rPr>
        <w:t xml:space="preserve"> la realización de Convenios M</w:t>
      </w:r>
      <w:r w:rsidR="00F71D2F">
        <w:rPr>
          <w:rFonts w:ascii="Arial" w:hAnsi="Arial" w:cs="Arial"/>
          <w:b w:val="0"/>
          <w:lang w:val="es-ES_tradnl"/>
        </w:rPr>
        <w:t xml:space="preserve">arco para la adquisición de bienes y servicios relativos a tecnología de la información </w:t>
      </w:r>
      <w:r w:rsidR="00F71D2F">
        <w:rPr>
          <w:rFonts w:ascii="Arial" w:hAnsi="Arial" w:cs="Arial"/>
          <w:b w:val="0"/>
          <w:lang w:val="es-ES_tradnl"/>
        </w:rPr>
        <w:lastRenderedPageBreak/>
        <w:t>aprobando la postulación de la AGESIC como Unidad Administradora de los mismo</w:t>
      </w:r>
      <w:r w:rsidR="000122FB">
        <w:rPr>
          <w:rFonts w:ascii="Arial" w:hAnsi="Arial" w:cs="Arial"/>
          <w:b w:val="0"/>
          <w:lang w:val="es-ES_tradnl"/>
        </w:rPr>
        <w:t xml:space="preserve">s; </w:t>
      </w:r>
    </w:p>
    <w:p w:rsidR="00F71D2F" w:rsidRDefault="005942B4" w:rsidP="00A21F11">
      <w:pPr>
        <w:spacing w:line="360" w:lineRule="auto"/>
        <w:ind w:firstLine="2835"/>
        <w:jc w:val="both"/>
        <w:rPr>
          <w:rFonts w:ascii="Arial" w:hAnsi="Arial" w:cs="Arial"/>
          <w:b w:val="0"/>
          <w:lang w:val="es-ES_tradnl"/>
        </w:rPr>
      </w:pPr>
      <w:r>
        <w:rPr>
          <w:rFonts w:ascii="Arial" w:hAnsi="Arial" w:cs="Arial"/>
          <w:lang w:val="es-ES_tradnl"/>
        </w:rPr>
        <w:t>4</w:t>
      </w:r>
      <w:r w:rsidRPr="00FD40B2">
        <w:rPr>
          <w:rFonts w:ascii="Arial" w:hAnsi="Arial" w:cs="Arial"/>
          <w:lang w:val="es-ES_tradnl"/>
        </w:rPr>
        <w:t>)</w:t>
      </w:r>
      <w:r>
        <w:rPr>
          <w:rFonts w:ascii="Arial" w:hAnsi="Arial" w:cs="Arial"/>
          <w:b w:val="0"/>
          <w:lang w:val="es-ES_tradnl"/>
        </w:rPr>
        <w:t xml:space="preserve"> que se adjunta </w:t>
      </w:r>
      <w:r w:rsidR="00F71D2F" w:rsidRPr="005942B4">
        <w:rPr>
          <w:rFonts w:ascii="Arial" w:hAnsi="Arial" w:cs="Arial"/>
          <w:b w:val="0"/>
          <w:lang w:val="es-ES_tradnl"/>
        </w:rPr>
        <w:t xml:space="preserve">Resolución Nº 9/2015, Acta </w:t>
      </w:r>
      <w:r w:rsidR="00A21F11">
        <w:rPr>
          <w:rFonts w:ascii="Arial" w:hAnsi="Arial" w:cs="Arial"/>
          <w:b w:val="0"/>
          <w:lang w:val="es-ES_tradnl"/>
        </w:rPr>
        <w:t xml:space="preserve">                      </w:t>
      </w:r>
      <w:r w:rsidR="00F71D2F" w:rsidRPr="005942B4">
        <w:rPr>
          <w:rFonts w:ascii="Arial" w:hAnsi="Arial" w:cs="Arial"/>
          <w:b w:val="0"/>
          <w:lang w:val="es-ES_tradnl"/>
        </w:rPr>
        <w:t>Nº 007/2015,</w:t>
      </w:r>
      <w:r w:rsidR="00F71D2F">
        <w:rPr>
          <w:rFonts w:ascii="Arial" w:hAnsi="Arial" w:cs="Arial"/>
          <w:b w:val="0"/>
          <w:lang w:val="es-ES_tradnl"/>
        </w:rPr>
        <w:t xml:space="preserve"> de fecha 3 de junio de 2015, mediante la cual el Consejo Directiv</w:t>
      </w:r>
      <w:r w:rsidR="00272D07">
        <w:rPr>
          <w:rFonts w:ascii="Arial" w:hAnsi="Arial" w:cs="Arial"/>
          <w:b w:val="0"/>
          <w:lang w:val="es-ES_tradnl"/>
        </w:rPr>
        <w:t>o Honorario de AGESIC recomendó</w:t>
      </w:r>
      <w:r w:rsidR="00F71D2F">
        <w:rPr>
          <w:rFonts w:ascii="Arial" w:hAnsi="Arial" w:cs="Arial"/>
          <w:b w:val="0"/>
          <w:lang w:val="es-ES_tradnl"/>
        </w:rPr>
        <w:t xml:space="preserve"> la realización de Convenios Marco  para la adquisición de “</w:t>
      </w:r>
      <w:proofErr w:type="spellStart"/>
      <w:r w:rsidR="00F71D2F">
        <w:rPr>
          <w:rFonts w:ascii="Arial" w:hAnsi="Arial" w:cs="Arial"/>
          <w:b w:val="0"/>
          <w:lang w:val="es-ES_tradnl"/>
        </w:rPr>
        <w:t>PCs</w:t>
      </w:r>
      <w:proofErr w:type="spellEnd"/>
      <w:r w:rsidR="00F71D2F">
        <w:rPr>
          <w:rFonts w:ascii="Arial" w:hAnsi="Arial" w:cs="Arial"/>
          <w:b w:val="0"/>
          <w:lang w:val="es-ES_tradnl"/>
        </w:rPr>
        <w:t xml:space="preserve"> de escritorio y portátiles” prestando la conformidad con el Pliego de Condiciones Particulares presentado por la AGESIC y </w:t>
      </w:r>
      <w:r w:rsidR="00D935AE">
        <w:rPr>
          <w:rFonts w:ascii="Arial" w:hAnsi="Arial" w:cs="Arial"/>
          <w:b w:val="0"/>
          <w:lang w:val="es-ES_tradnl"/>
        </w:rPr>
        <w:t xml:space="preserve">su Estudio de Mercado; </w:t>
      </w:r>
    </w:p>
    <w:p w:rsidR="00F71D2F" w:rsidRDefault="00D935AE" w:rsidP="00A21F11">
      <w:pPr>
        <w:spacing w:line="360" w:lineRule="auto"/>
        <w:ind w:firstLine="2835"/>
        <w:jc w:val="both"/>
        <w:rPr>
          <w:rFonts w:ascii="Arial" w:hAnsi="Arial" w:cs="Arial"/>
          <w:b w:val="0"/>
          <w:color w:val="auto"/>
          <w:lang w:val="es-ES_tradnl"/>
        </w:rPr>
      </w:pPr>
      <w:r>
        <w:rPr>
          <w:rFonts w:ascii="Arial" w:hAnsi="Arial" w:cs="Arial"/>
          <w:lang w:val="es-ES_tradnl"/>
        </w:rPr>
        <w:t>5</w:t>
      </w:r>
      <w:r w:rsidRPr="00FD40B2">
        <w:rPr>
          <w:rFonts w:ascii="Arial" w:hAnsi="Arial" w:cs="Arial"/>
          <w:lang w:val="es-ES_tradnl"/>
        </w:rPr>
        <w:t>)</w:t>
      </w:r>
      <w:r>
        <w:rPr>
          <w:rFonts w:ascii="Arial" w:hAnsi="Arial" w:cs="Arial"/>
          <w:b w:val="0"/>
          <w:lang w:val="es-ES_tradnl"/>
        </w:rPr>
        <w:t xml:space="preserve"> que se remite </w:t>
      </w:r>
      <w:r w:rsidR="00F71D2F" w:rsidRPr="00864C0E">
        <w:rPr>
          <w:rFonts w:ascii="Arial" w:hAnsi="Arial" w:cs="Arial"/>
          <w:b w:val="0"/>
          <w:color w:val="auto"/>
          <w:lang w:val="es-ES_tradnl"/>
        </w:rPr>
        <w:t>Pliego de Condiciones Particulares referen</w:t>
      </w:r>
      <w:r>
        <w:rPr>
          <w:rFonts w:ascii="Arial" w:hAnsi="Arial" w:cs="Arial"/>
          <w:b w:val="0"/>
          <w:color w:val="auto"/>
          <w:lang w:val="es-ES_tradnl"/>
        </w:rPr>
        <w:t>tes al Convenio Marco de referencia así como publicaciones efectuadas en la página de Compras y Contrataciones Estatales (3/6/2015), en la Revista Especializada “Contacto” (6/</w:t>
      </w:r>
      <w:r w:rsidR="005A723F">
        <w:rPr>
          <w:rFonts w:ascii="Arial" w:hAnsi="Arial" w:cs="Arial"/>
          <w:b w:val="0"/>
          <w:color w:val="auto"/>
          <w:lang w:val="es-ES_tradnl"/>
        </w:rPr>
        <w:t xml:space="preserve">6/2015) y en INFOCOM (10/6/2015); </w:t>
      </w:r>
    </w:p>
    <w:p w:rsidR="00F71D2F" w:rsidRPr="00D80A83" w:rsidRDefault="00E024BE" w:rsidP="00A21F11">
      <w:pPr>
        <w:spacing w:line="360" w:lineRule="auto"/>
        <w:ind w:firstLine="2835"/>
        <w:jc w:val="both"/>
        <w:rPr>
          <w:rFonts w:ascii="Arial" w:hAnsi="Arial" w:cs="Arial"/>
          <w:b w:val="0"/>
          <w:color w:val="auto"/>
          <w:lang w:val="es-ES_tradnl"/>
        </w:rPr>
      </w:pPr>
      <w:r>
        <w:rPr>
          <w:rFonts w:ascii="Arial" w:hAnsi="Arial" w:cs="Arial"/>
          <w:lang w:val="es-ES_tradnl"/>
        </w:rPr>
        <w:t>6</w:t>
      </w:r>
      <w:r w:rsidR="005A723F" w:rsidRPr="00FD40B2">
        <w:rPr>
          <w:rFonts w:ascii="Arial" w:hAnsi="Arial" w:cs="Arial"/>
          <w:lang w:val="es-ES_tradnl"/>
        </w:rPr>
        <w:t>)</w:t>
      </w:r>
      <w:r w:rsidR="005A723F">
        <w:rPr>
          <w:rFonts w:ascii="Arial" w:hAnsi="Arial" w:cs="Arial"/>
          <w:b w:val="0"/>
          <w:lang w:val="es-ES_tradnl"/>
        </w:rPr>
        <w:t xml:space="preserve"> que se</w:t>
      </w:r>
      <w:r>
        <w:rPr>
          <w:rFonts w:ascii="Arial" w:hAnsi="Arial" w:cs="Arial"/>
          <w:b w:val="0"/>
          <w:lang w:val="es-ES_tradnl"/>
        </w:rPr>
        <w:t xml:space="preserve"> adjuntan Aclaraciones 1 a 9 mediante las cuales la Administración modificó la Parte II (Especificaciones Técnicas del Pliego de Condiciones Particulares, ítem 1, 6, 7, 8, 9) y evacuó consultas a los interesados, así como las correspondientes publicaciones en la página web de Compras Estatales; </w:t>
      </w:r>
    </w:p>
    <w:p w:rsidR="006E2FFD" w:rsidRDefault="006E2FFD" w:rsidP="00A21F11">
      <w:pPr>
        <w:spacing w:line="360" w:lineRule="auto"/>
        <w:ind w:firstLine="2835"/>
        <w:jc w:val="both"/>
        <w:rPr>
          <w:rFonts w:ascii="Arial" w:hAnsi="Arial" w:cs="Arial"/>
          <w:b w:val="0"/>
          <w:lang w:val="es-ES_tradnl"/>
        </w:rPr>
      </w:pPr>
      <w:r>
        <w:rPr>
          <w:rFonts w:ascii="Arial" w:hAnsi="Arial" w:cs="Arial"/>
          <w:lang w:val="es-ES_tradnl"/>
        </w:rPr>
        <w:t>7</w:t>
      </w:r>
      <w:r w:rsidRPr="00FD40B2">
        <w:rPr>
          <w:rFonts w:ascii="Arial" w:hAnsi="Arial" w:cs="Arial"/>
          <w:lang w:val="es-ES_tradnl"/>
        </w:rPr>
        <w:t>)</w:t>
      </w:r>
      <w:r>
        <w:rPr>
          <w:rFonts w:ascii="Arial" w:hAnsi="Arial" w:cs="Arial"/>
          <w:b w:val="0"/>
          <w:lang w:val="es-ES_tradnl"/>
        </w:rPr>
        <w:t xml:space="preserve"> que l</w:t>
      </w:r>
      <w:r w:rsidR="00F71D2F">
        <w:rPr>
          <w:rFonts w:ascii="Arial" w:hAnsi="Arial" w:cs="Arial"/>
          <w:b w:val="0"/>
          <w:lang w:val="es-ES_tradnl"/>
        </w:rPr>
        <w:t xml:space="preserve">uce </w:t>
      </w:r>
      <w:r w:rsidR="00F71D2F" w:rsidRPr="006E2FFD">
        <w:rPr>
          <w:rFonts w:ascii="Arial" w:hAnsi="Arial" w:cs="Arial"/>
          <w:b w:val="0"/>
          <w:lang w:val="es-ES_tradnl"/>
        </w:rPr>
        <w:t>Acta de Apertura</w:t>
      </w:r>
      <w:r w:rsidR="00F71D2F">
        <w:rPr>
          <w:rFonts w:ascii="Arial" w:hAnsi="Arial" w:cs="Arial"/>
          <w:b w:val="0"/>
          <w:lang w:val="es-ES_tradnl"/>
        </w:rPr>
        <w:t xml:space="preserve"> de fecha 13 de julio de 2015, de la que surge que se presentaron las siguientes firmas (las ofertas</w:t>
      </w:r>
      <w:r>
        <w:rPr>
          <w:rFonts w:ascii="Arial" w:hAnsi="Arial" w:cs="Arial"/>
          <w:b w:val="0"/>
          <w:lang w:val="es-ES_tradnl"/>
        </w:rPr>
        <w:t xml:space="preserve"> se adjuntan en un cd</w:t>
      </w:r>
      <w:r w:rsidR="00F71D2F">
        <w:rPr>
          <w:rFonts w:ascii="Arial" w:hAnsi="Arial" w:cs="Arial"/>
          <w:b w:val="0"/>
          <w:lang w:val="es-ES_tradnl"/>
        </w:rPr>
        <w:t>)</w:t>
      </w:r>
      <w:r>
        <w:rPr>
          <w:rFonts w:ascii="Arial" w:hAnsi="Arial" w:cs="Arial"/>
          <w:b w:val="0"/>
          <w:lang w:val="es-ES_tradnl"/>
        </w:rPr>
        <w:t xml:space="preserve">: </w:t>
      </w:r>
      <w:r w:rsidR="00F71D2F">
        <w:rPr>
          <w:rFonts w:ascii="Arial" w:hAnsi="Arial" w:cs="Arial"/>
          <w:b w:val="0"/>
          <w:lang w:val="es-ES_tradnl"/>
        </w:rPr>
        <w:t>ABACUS S.A.</w:t>
      </w:r>
      <w:r>
        <w:rPr>
          <w:rFonts w:ascii="Arial" w:hAnsi="Arial" w:cs="Arial"/>
          <w:b w:val="0"/>
          <w:lang w:val="es-ES_tradnl"/>
        </w:rPr>
        <w:t xml:space="preserve">, </w:t>
      </w:r>
      <w:r w:rsidR="00F71D2F">
        <w:rPr>
          <w:rFonts w:ascii="Arial" w:hAnsi="Arial" w:cs="Arial"/>
          <w:b w:val="0"/>
          <w:lang w:val="es-ES_tradnl"/>
        </w:rPr>
        <w:t>ARNALDO C. CASTRO S.A.</w:t>
      </w:r>
      <w:r>
        <w:rPr>
          <w:rFonts w:ascii="Arial" w:hAnsi="Arial" w:cs="Arial"/>
          <w:b w:val="0"/>
          <w:lang w:val="es-ES_tradnl"/>
        </w:rPr>
        <w:t xml:space="preserve">, </w:t>
      </w:r>
      <w:r w:rsidR="00F71D2F">
        <w:rPr>
          <w:rFonts w:ascii="Arial" w:hAnsi="Arial" w:cs="Arial"/>
          <w:b w:val="0"/>
          <w:lang w:val="es-ES_tradnl"/>
        </w:rPr>
        <w:t>I S D LIMITADA.</w:t>
      </w:r>
      <w:r>
        <w:rPr>
          <w:rFonts w:ascii="Arial" w:hAnsi="Arial" w:cs="Arial"/>
          <w:b w:val="0"/>
          <w:lang w:val="es-ES_tradnl"/>
        </w:rPr>
        <w:t xml:space="preserve">, </w:t>
      </w:r>
      <w:r w:rsidR="00F71D2F">
        <w:rPr>
          <w:rFonts w:ascii="Arial" w:hAnsi="Arial" w:cs="Arial"/>
          <w:b w:val="0"/>
          <w:lang w:val="es-ES_tradnl"/>
        </w:rPr>
        <w:t>LABTECH S.A.</w:t>
      </w:r>
      <w:r>
        <w:rPr>
          <w:rFonts w:ascii="Arial" w:hAnsi="Arial" w:cs="Arial"/>
          <w:b w:val="0"/>
          <w:lang w:val="es-ES_tradnl"/>
        </w:rPr>
        <w:t xml:space="preserve">, </w:t>
      </w:r>
      <w:r w:rsidR="00F71D2F">
        <w:rPr>
          <w:rFonts w:ascii="Arial" w:hAnsi="Arial" w:cs="Arial"/>
          <w:b w:val="0"/>
          <w:lang w:val="es-ES_tradnl"/>
        </w:rPr>
        <w:t>LIBRERIAS DEL LITORAL S.A.</w:t>
      </w:r>
      <w:r>
        <w:rPr>
          <w:rFonts w:ascii="Arial" w:hAnsi="Arial" w:cs="Arial"/>
          <w:b w:val="0"/>
          <w:lang w:val="es-ES_tradnl"/>
        </w:rPr>
        <w:t xml:space="preserve">, </w:t>
      </w:r>
      <w:r w:rsidR="00F71D2F">
        <w:rPr>
          <w:rFonts w:ascii="Arial" w:hAnsi="Arial" w:cs="Arial"/>
          <w:b w:val="0"/>
          <w:lang w:val="es-ES_tradnl"/>
        </w:rPr>
        <w:t>NISUL S.A.</w:t>
      </w:r>
      <w:r>
        <w:rPr>
          <w:rFonts w:ascii="Arial" w:hAnsi="Arial" w:cs="Arial"/>
          <w:b w:val="0"/>
          <w:lang w:val="es-ES_tradnl"/>
        </w:rPr>
        <w:t xml:space="preserve"> y </w:t>
      </w:r>
      <w:r w:rsidR="00F71D2F">
        <w:rPr>
          <w:rFonts w:ascii="Arial" w:hAnsi="Arial" w:cs="Arial"/>
          <w:b w:val="0"/>
          <w:lang w:val="es-ES_tradnl"/>
        </w:rPr>
        <w:t>PALDIR S.A.</w:t>
      </w:r>
      <w:r>
        <w:rPr>
          <w:rFonts w:ascii="Arial" w:hAnsi="Arial" w:cs="Arial"/>
          <w:b w:val="0"/>
          <w:lang w:val="es-ES_tradnl"/>
        </w:rPr>
        <w:t xml:space="preserve">; </w:t>
      </w:r>
    </w:p>
    <w:p w:rsidR="00F71D2F" w:rsidRPr="006E2FFD" w:rsidRDefault="006E2FFD" w:rsidP="00A21F11">
      <w:pPr>
        <w:spacing w:line="360" w:lineRule="auto"/>
        <w:ind w:firstLine="2835"/>
        <w:jc w:val="both"/>
        <w:rPr>
          <w:rFonts w:ascii="Arial" w:hAnsi="Arial" w:cs="Arial"/>
          <w:b w:val="0"/>
          <w:lang w:val="es-ES_tradnl"/>
        </w:rPr>
      </w:pPr>
      <w:r w:rsidRPr="006E2FFD">
        <w:rPr>
          <w:rFonts w:ascii="Arial" w:hAnsi="Arial" w:cs="Arial"/>
          <w:lang w:val="es-ES_tradnl"/>
        </w:rPr>
        <w:t>8)</w:t>
      </w:r>
      <w:r w:rsidRPr="006E2FFD">
        <w:rPr>
          <w:rFonts w:ascii="Arial" w:hAnsi="Arial" w:cs="Arial"/>
          <w:b w:val="0"/>
          <w:lang w:val="es-ES_tradnl"/>
        </w:rPr>
        <w:t xml:space="preserve"> que l</w:t>
      </w:r>
      <w:r w:rsidR="00F71D2F" w:rsidRPr="006E2FFD">
        <w:rPr>
          <w:rFonts w:ascii="Arial" w:hAnsi="Arial" w:cs="Arial"/>
          <w:b w:val="0"/>
          <w:lang w:val="es-ES_tradnl"/>
        </w:rPr>
        <w:t xml:space="preserve">a Administración, con fecha 3 de agosto de 2015,  cursó nota vía mail a las siguientes firmas, solicitando: </w:t>
      </w:r>
    </w:p>
    <w:p w:rsidR="006E2FFD" w:rsidRDefault="006E2FFD" w:rsidP="00A21F11">
      <w:pPr>
        <w:spacing w:line="360" w:lineRule="auto"/>
        <w:jc w:val="both"/>
        <w:rPr>
          <w:rFonts w:ascii="Arial" w:hAnsi="Arial" w:cs="Arial"/>
          <w:b w:val="0"/>
          <w:lang w:val="es-ES_tradnl"/>
        </w:rPr>
      </w:pPr>
      <w:r w:rsidRPr="006E2FFD">
        <w:rPr>
          <w:rFonts w:ascii="Arial" w:hAnsi="Arial" w:cs="Arial"/>
          <w:lang w:val="es-ES_tradnl"/>
        </w:rPr>
        <w:t xml:space="preserve">8.1) </w:t>
      </w:r>
      <w:r w:rsidR="00F71D2F" w:rsidRPr="006E2FFD">
        <w:rPr>
          <w:rFonts w:ascii="Arial" w:hAnsi="Arial" w:cs="Arial"/>
          <w:b w:val="0"/>
          <w:lang w:val="es-ES_tradnl"/>
        </w:rPr>
        <w:t xml:space="preserve">ARNALDO C. CASTRO: presentación de recaudos que certifiquen su capacidad de otorgar válidamente las licencias de software que ofrecen o, en su defecto, una declaración jurada de que ostentan tales derechos y, por ende, cuentan con título bastante para otorgar la licencia de uso ofertada para cumplir </w:t>
      </w:r>
      <w:r w:rsidR="00F71D2F" w:rsidRPr="006E2FFD">
        <w:rPr>
          <w:rFonts w:ascii="Arial" w:hAnsi="Arial" w:cs="Arial"/>
          <w:b w:val="0"/>
          <w:lang w:val="es-ES_tradnl"/>
        </w:rPr>
        <w:lastRenderedPageBreak/>
        <w:t>con el presente llamado, según lo establece el Pliego de Condiciones Particulares en su numera</w:t>
      </w:r>
      <w:r>
        <w:rPr>
          <w:rFonts w:ascii="Arial" w:hAnsi="Arial" w:cs="Arial"/>
          <w:b w:val="0"/>
          <w:lang w:val="es-ES_tradnl"/>
        </w:rPr>
        <w:t xml:space="preserve">l 10 “Contenido de las Ofertas”; </w:t>
      </w:r>
    </w:p>
    <w:p w:rsidR="00F71D2F" w:rsidRPr="006E2FFD" w:rsidRDefault="006E2FFD" w:rsidP="00A21F11">
      <w:pPr>
        <w:spacing w:line="360" w:lineRule="auto"/>
        <w:jc w:val="both"/>
        <w:rPr>
          <w:rFonts w:ascii="Arial" w:hAnsi="Arial" w:cs="Arial"/>
          <w:b w:val="0"/>
          <w:lang w:val="es-ES_tradnl"/>
        </w:rPr>
      </w:pPr>
      <w:r>
        <w:rPr>
          <w:rFonts w:ascii="Arial" w:hAnsi="Arial" w:cs="Arial"/>
          <w:lang w:val="es-ES_tradnl"/>
        </w:rPr>
        <w:t xml:space="preserve">8.2) </w:t>
      </w:r>
      <w:r w:rsidR="00F71D2F" w:rsidRPr="006E2FFD">
        <w:rPr>
          <w:rFonts w:ascii="Arial" w:hAnsi="Arial" w:cs="Arial"/>
          <w:b w:val="0"/>
          <w:lang w:val="es-ES_tradnl"/>
        </w:rPr>
        <w:t>IDS LTDA.:</w:t>
      </w:r>
      <w:r w:rsidR="00F71D2F" w:rsidRPr="006E2FFD">
        <w:rPr>
          <w:rFonts w:ascii="Arial" w:hAnsi="Arial" w:cs="Arial"/>
          <w:lang w:val="es-ES_tradnl"/>
        </w:rPr>
        <w:t xml:space="preserve"> </w:t>
      </w:r>
      <w:r w:rsidR="00F71D2F" w:rsidRPr="006E2FFD">
        <w:rPr>
          <w:rFonts w:ascii="Arial" w:hAnsi="Arial" w:cs="Arial"/>
          <w:b w:val="0"/>
          <w:lang w:val="es-ES_tradnl"/>
        </w:rPr>
        <w:t>presentación de la siguiente documentación:  Recaudos que certifiquen su capacidad de otorgar válidamente licencias de software que ofrecen o, en su defecto, una declaración jurada de que ostentan tales derechos y, por ende, cuentan con título bastante para otorgar la licencia de uso ofertada para cumplir con el presente llamado, según lo establece el Pliego de Condiciones Particulares en su numera</w:t>
      </w:r>
      <w:r>
        <w:rPr>
          <w:rFonts w:ascii="Arial" w:hAnsi="Arial" w:cs="Arial"/>
          <w:b w:val="0"/>
          <w:lang w:val="es-ES_tradnl"/>
        </w:rPr>
        <w:t xml:space="preserve">l 10 “Contenido de las Ofertas”; </w:t>
      </w:r>
      <w:r w:rsidR="00F71D2F" w:rsidRPr="006E2FFD">
        <w:rPr>
          <w:rFonts w:ascii="Arial" w:hAnsi="Arial" w:cs="Arial"/>
          <w:b w:val="0"/>
          <w:lang w:val="es-ES_tradnl"/>
        </w:rPr>
        <w:t>Constancias de haber votado en los actos eleccionarios de octubre y noviembre de</w:t>
      </w:r>
      <w:r>
        <w:rPr>
          <w:rFonts w:ascii="Arial" w:hAnsi="Arial" w:cs="Arial"/>
          <w:b w:val="0"/>
          <w:lang w:val="es-ES_tradnl"/>
        </w:rPr>
        <w:t xml:space="preserve"> 2014 del Sr. Juan José Peralta; </w:t>
      </w:r>
    </w:p>
    <w:p w:rsidR="00330F84" w:rsidRDefault="00934DFF" w:rsidP="00A21F11">
      <w:pPr>
        <w:spacing w:line="360" w:lineRule="auto"/>
        <w:jc w:val="both"/>
        <w:rPr>
          <w:rFonts w:ascii="Arial" w:hAnsi="Arial" w:cs="Arial"/>
          <w:b w:val="0"/>
          <w:lang w:val="es-ES_tradnl"/>
        </w:rPr>
      </w:pPr>
      <w:r w:rsidRPr="00934DFF">
        <w:rPr>
          <w:rFonts w:ascii="Arial" w:hAnsi="Arial" w:cs="Arial"/>
          <w:lang w:val="es-ES_tradnl"/>
        </w:rPr>
        <w:t xml:space="preserve">8.3) </w:t>
      </w:r>
      <w:r w:rsidR="00F71D2F" w:rsidRPr="00934DFF">
        <w:rPr>
          <w:rFonts w:ascii="Arial" w:hAnsi="Arial" w:cs="Arial"/>
          <w:b w:val="0"/>
          <w:lang w:val="es-ES_tradnl"/>
        </w:rPr>
        <w:t xml:space="preserve">LABTECH S.A.: presentación de las constancias de haber votado  en los actos eleccionarios de octubre y noviembre de 2014, de los Señores Federico </w:t>
      </w:r>
      <w:proofErr w:type="spellStart"/>
      <w:r w:rsidR="00F71D2F" w:rsidRPr="00934DFF">
        <w:rPr>
          <w:rFonts w:ascii="Arial" w:hAnsi="Arial" w:cs="Arial"/>
          <w:b w:val="0"/>
          <w:lang w:val="es-ES_tradnl"/>
        </w:rPr>
        <w:t>Coh</w:t>
      </w:r>
      <w:r w:rsidR="00330F84">
        <w:rPr>
          <w:rFonts w:ascii="Arial" w:hAnsi="Arial" w:cs="Arial"/>
          <w:b w:val="0"/>
          <w:lang w:val="es-ES_tradnl"/>
        </w:rPr>
        <w:t>enar</w:t>
      </w:r>
      <w:proofErr w:type="spellEnd"/>
      <w:r w:rsidR="00330F84">
        <w:rPr>
          <w:rFonts w:ascii="Arial" w:hAnsi="Arial" w:cs="Arial"/>
          <w:b w:val="0"/>
          <w:lang w:val="es-ES_tradnl"/>
        </w:rPr>
        <w:t xml:space="preserve"> y Alexis </w:t>
      </w:r>
      <w:proofErr w:type="spellStart"/>
      <w:r w:rsidR="00330F84">
        <w:rPr>
          <w:rFonts w:ascii="Arial" w:hAnsi="Arial" w:cs="Arial"/>
          <w:b w:val="0"/>
          <w:lang w:val="es-ES_tradnl"/>
        </w:rPr>
        <w:t>Bajna</w:t>
      </w:r>
      <w:proofErr w:type="spellEnd"/>
      <w:r w:rsidR="00330F84">
        <w:rPr>
          <w:rFonts w:ascii="Arial" w:hAnsi="Arial" w:cs="Arial"/>
          <w:b w:val="0"/>
          <w:lang w:val="es-ES_tradnl"/>
        </w:rPr>
        <w:t xml:space="preserve">; </w:t>
      </w:r>
    </w:p>
    <w:p w:rsidR="00330F84" w:rsidRDefault="00330F84" w:rsidP="00A21F11">
      <w:pPr>
        <w:spacing w:line="360" w:lineRule="auto"/>
        <w:jc w:val="both"/>
        <w:rPr>
          <w:rFonts w:ascii="Arial" w:hAnsi="Arial" w:cs="Arial"/>
          <w:b w:val="0"/>
          <w:lang w:val="es-ES_tradnl"/>
        </w:rPr>
      </w:pPr>
      <w:r>
        <w:rPr>
          <w:rFonts w:ascii="Arial" w:hAnsi="Arial" w:cs="Arial"/>
          <w:lang w:val="es-ES_tradnl"/>
        </w:rPr>
        <w:t xml:space="preserve">8.4) </w:t>
      </w:r>
      <w:r w:rsidR="00F71D2F" w:rsidRPr="00330F84">
        <w:rPr>
          <w:rFonts w:ascii="Arial" w:hAnsi="Arial" w:cs="Arial"/>
          <w:b w:val="0"/>
          <w:lang w:val="es-ES_tradnl"/>
        </w:rPr>
        <w:t>LIBRERIAS DEL LITORAL S.A.:</w:t>
      </w:r>
      <w:r w:rsidR="00F71D2F" w:rsidRPr="00330F84">
        <w:rPr>
          <w:rFonts w:ascii="Arial" w:hAnsi="Arial" w:cs="Arial"/>
          <w:lang w:val="es-ES_tradnl"/>
        </w:rPr>
        <w:t xml:space="preserve"> </w:t>
      </w:r>
      <w:r w:rsidR="00F71D2F" w:rsidRPr="00330F84">
        <w:rPr>
          <w:rFonts w:ascii="Arial" w:hAnsi="Arial" w:cs="Arial"/>
          <w:b w:val="0"/>
          <w:lang w:val="es-ES_tradnl"/>
        </w:rPr>
        <w:t>Recaudos que certifiquen su capacidad de otorgar válidamente licencias de software que ofrecen o, en su defecto, una declaración jurada de que ostentan tales derechos y, por ende, cuentan con título bastante para otorgar la licencia de uso ofertada para cumplir con el presente llamado, según lo establece el Pliego de Condiciones Particulares en su numeral 10 “Contenido de las Ofertas”.</w:t>
      </w:r>
      <w:r>
        <w:rPr>
          <w:rFonts w:ascii="Arial" w:hAnsi="Arial" w:cs="Arial"/>
          <w:b w:val="0"/>
          <w:lang w:val="es-ES_tradnl"/>
        </w:rPr>
        <w:t xml:space="preserve"> </w:t>
      </w:r>
      <w:r w:rsidR="00F71D2F" w:rsidRPr="00FF6103">
        <w:rPr>
          <w:rFonts w:ascii="Arial" w:hAnsi="Arial" w:cs="Arial"/>
          <w:b w:val="0"/>
          <w:lang w:val="es-ES_tradnl"/>
        </w:rPr>
        <w:t>Constancias de haber votado en los actos eleccionarios de octubre y noviembre de 2</w:t>
      </w:r>
      <w:r>
        <w:rPr>
          <w:rFonts w:ascii="Arial" w:hAnsi="Arial" w:cs="Arial"/>
          <w:b w:val="0"/>
          <w:lang w:val="es-ES_tradnl"/>
        </w:rPr>
        <w:t xml:space="preserve">014 del Sr. Fernando </w:t>
      </w:r>
      <w:proofErr w:type="spellStart"/>
      <w:r>
        <w:rPr>
          <w:rFonts w:ascii="Arial" w:hAnsi="Arial" w:cs="Arial"/>
          <w:b w:val="0"/>
          <w:lang w:val="es-ES_tradnl"/>
        </w:rPr>
        <w:t>Bartesaghi</w:t>
      </w:r>
      <w:proofErr w:type="spellEnd"/>
      <w:r>
        <w:rPr>
          <w:rFonts w:ascii="Arial" w:hAnsi="Arial" w:cs="Arial"/>
          <w:b w:val="0"/>
          <w:lang w:val="es-ES_tradnl"/>
        </w:rPr>
        <w:t xml:space="preserve">; </w:t>
      </w:r>
    </w:p>
    <w:p w:rsidR="00F71D2F" w:rsidRPr="00330F84" w:rsidRDefault="00330F84" w:rsidP="00A21F11">
      <w:pPr>
        <w:spacing w:line="360" w:lineRule="auto"/>
        <w:jc w:val="both"/>
        <w:rPr>
          <w:rFonts w:ascii="Arial" w:hAnsi="Arial" w:cs="Arial"/>
          <w:b w:val="0"/>
          <w:lang w:val="es-ES_tradnl"/>
        </w:rPr>
      </w:pPr>
      <w:r>
        <w:rPr>
          <w:rFonts w:ascii="Arial" w:hAnsi="Arial" w:cs="Arial"/>
          <w:lang w:val="es-ES_tradnl"/>
        </w:rPr>
        <w:t xml:space="preserve">8.5) </w:t>
      </w:r>
      <w:r w:rsidR="00F71D2F" w:rsidRPr="00330F84">
        <w:rPr>
          <w:rFonts w:ascii="Arial" w:hAnsi="Arial" w:cs="Arial"/>
          <w:b w:val="0"/>
          <w:lang w:val="es-ES_tradnl"/>
        </w:rPr>
        <w:t xml:space="preserve">NISUL S.A.: presentación de recaudos que certifiquen su capacidad de otorgar válidamente las licencias de software que ofrecen o, en su defecto, una declaración jurada de que ostentan tales derechos y, por ende, cuentan con título bastante para otorgar la licencia de uso ofertada para cumplir con el presente llamado, según lo establece el Pliego de Condiciones Particulares en su </w:t>
      </w:r>
      <w:r w:rsidR="00A21F11">
        <w:rPr>
          <w:rFonts w:ascii="Arial" w:hAnsi="Arial" w:cs="Arial"/>
          <w:b w:val="0"/>
          <w:lang w:val="es-ES_tradnl"/>
        </w:rPr>
        <w:t>N</w:t>
      </w:r>
      <w:r w:rsidR="00F71D2F" w:rsidRPr="00330F84">
        <w:rPr>
          <w:rFonts w:ascii="Arial" w:hAnsi="Arial" w:cs="Arial"/>
          <w:b w:val="0"/>
          <w:lang w:val="es-ES_tradnl"/>
        </w:rPr>
        <w:t>umeral</w:t>
      </w:r>
      <w:r>
        <w:rPr>
          <w:rFonts w:ascii="Arial" w:hAnsi="Arial" w:cs="Arial"/>
          <w:b w:val="0"/>
          <w:lang w:val="es-ES_tradnl"/>
        </w:rPr>
        <w:t xml:space="preserve"> 10 “Contenido de las Ofertas”; </w:t>
      </w:r>
    </w:p>
    <w:p w:rsidR="00DD05DE" w:rsidRDefault="00DD05DE" w:rsidP="00A21F11">
      <w:pPr>
        <w:spacing w:line="360" w:lineRule="auto"/>
        <w:ind w:firstLine="2835"/>
        <w:jc w:val="both"/>
        <w:rPr>
          <w:rFonts w:ascii="Arial" w:hAnsi="Arial" w:cs="Arial"/>
          <w:b w:val="0"/>
          <w:lang w:val="es-ES_tradnl"/>
        </w:rPr>
      </w:pPr>
      <w:r>
        <w:rPr>
          <w:rFonts w:ascii="Arial" w:hAnsi="Arial" w:cs="Arial"/>
          <w:lang w:val="es-ES_tradnl"/>
        </w:rPr>
        <w:t>9</w:t>
      </w:r>
      <w:r w:rsidRPr="006E2FFD">
        <w:rPr>
          <w:rFonts w:ascii="Arial" w:hAnsi="Arial" w:cs="Arial"/>
          <w:lang w:val="es-ES_tradnl"/>
        </w:rPr>
        <w:t>)</w:t>
      </w:r>
      <w:r w:rsidRPr="006E2FFD">
        <w:rPr>
          <w:rFonts w:ascii="Arial" w:hAnsi="Arial" w:cs="Arial"/>
          <w:b w:val="0"/>
          <w:lang w:val="es-ES_tradnl"/>
        </w:rPr>
        <w:t xml:space="preserve"> que</w:t>
      </w:r>
      <w:r>
        <w:rPr>
          <w:rFonts w:ascii="Arial" w:hAnsi="Arial" w:cs="Arial"/>
          <w:b w:val="0"/>
          <w:lang w:val="es-ES_tradnl"/>
        </w:rPr>
        <w:t xml:space="preserve"> se adjunta d</w:t>
      </w:r>
      <w:r w:rsidR="00F71D2F" w:rsidRPr="00DD05DE">
        <w:rPr>
          <w:rFonts w:ascii="Arial" w:hAnsi="Arial" w:cs="Arial"/>
          <w:b w:val="0"/>
          <w:lang w:val="es-ES_tradnl"/>
        </w:rPr>
        <w:t xml:space="preserve">ocumentación presentada por las firmas, conforme a lo solicitado por la Administración: </w:t>
      </w:r>
      <w:r>
        <w:rPr>
          <w:rFonts w:ascii="Arial" w:hAnsi="Arial" w:cs="Arial"/>
          <w:b w:val="0"/>
          <w:lang w:val="es-ES_tradnl"/>
        </w:rPr>
        <w:t xml:space="preserve">ABACUS S.A., </w:t>
      </w:r>
      <w:r w:rsidR="00F71D2F">
        <w:rPr>
          <w:rFonts w:ascii="Arial" w:hAnsi="Arial" w:cs="Arial"/>
          <w:b w:val="0"/>
          <w:lang w:val="es-ES_tradnl"/>
        </w:rPr>
        <w:lastRenderedPageBreak/>
        <w:t>ARNALDO C. CASTRO</w:t>
      </w:r>
      <w:r>
        <w:rPr>
          <w:rFonts w:ascii="Arial" w:hAnsi="Arial" w:cs="Arial"/>
          <w:b w:val="0"/>
          <w:lang w:val="es-ES_tradnl"/>
        </w:rPr>
        <w:t xml:space="preserve">, </w:t>
      </w:r>
      <w:r w:rsidR="00F71D2F">
        <w:rPr>
          <w:rFonts w:ascii="Arial" w:hAnsi="Arial" w:cs="Arial"/>
          <w:b w:val="0"/>
          <w:lang w:val="es-ES_tradnl"/>
        </w:rPr>
        <w:t>IDS LTDA.</w:t>
      </w:r>
      <w:r>
        <w:rPr>
          <w:rFonts w:ascii="Arial" w:hAnsi="Arial" w:cs="Arial"/>
          <w:b w:val="0"/>
          <w:lang w:val="es-ES_tradnl"/>
        </w:rPr>
        <w:t xml:space="preserve">, </w:t>
      </w:r>
      <w:r w:rsidR="00F71D2F">
        <w:rPr>
          <w:rFonts w:ascii="Arial" w:hAnsi="Arial" w:cs="Arial"/>
          <w:b w:val="0"/>
          <w:lang w:val="es-ES_tradnl"/>
        </w:rPr>
        <w:t>LABTECH S.A.</w:t>
      </w:r>
      <w:r>
        <w:rPr>
          <w:rFonts w:ascii="Arial" w:hAnsi="Arial" w:cs="Arial"/>
          <w:b w:val="0"/>
          <w:lang w:val="es-ES_tradnl"/>
        </w:rPr>
        <w:t xml:space="preserve">, </w:t>
      </w:r>
      <w:r w:rsidR="00F71D2F">
        <w:rPr>
          <w:rFonts w:ascii="Arial" w:hAnsi="Arial" w:cs="Arial"/>
          <w:b w:val="0"/>
          <w:lang w:val="es-ES_tradnl"/>
        </w:rPr>
        <w:t>LIBRERIAS DEL</w:t>
      </w:r>
      <w:r>
        <w:rPr>
          <w:rFonts w:ascii="Arial" w:hAnsi="Arial" w:cs="Arial"/>
          <w:b w:val="0"/>
          <w:lang w:val="es-ES_tradnl"/>
        </w:rPr>
        <w:t xml:space="preserve"> LITORAL S.A. y </w:t>
      </w:r>
      <w:r w:rsidR="00F71D2F">
        <w:rPr>
          <w:rFonts w:ascii="Arial" w:hAnsi="Arial" w:cs="Arial"/>
          <w:b w:val="0"/>
          <w:lang w:val="es-ES_tradnl"/>
        </w:rPr>
        <w:t>NISUL S.A.</w:t>
      </w:r>
      <w:r>
        <w:rPr>
          <w:rFonts w:ascii="Arial" w:hAnsi="Arial" w:cs="Arial"/>
          <w:b w:val="0"/>
          <w:lang w:val="es-ES_tradnl"/>
        </w:rPr>
        <w:t xml:space="preserve">, así como aclaraciones técnicas solicitadas a las firmas </w:t>
      </w:r>
      <w:r w:rsidR="00F71D2F">
        <w:rPr>
          <w:rFonts w:ascii="Arial" w:hAnsi="Arial" w:cs="Arial"/>
          <w:b w:val="0"/>
          <w:lang w:val="es-ES_tradnl"/>
        </w:rPr>
        <w:t>ABACUS S.A., LABTECH S.A., ARNALD</w:t>
      </w:r>
      <w:r>
        <w:rPr>
          <w:rFonts w:ascii="Arial" w:hAnsi="Arial" w:cs="Arial"/>
          <w:b w:val="0"/>
          <w:lang w:val="es-ES_tradnl"/>
        </w:rPr>
        <w:t xml:space="preserve">O CASTRO S.A.; </w:t>
      </w:r>
    </w:p>
    <w:p w:rsidR="00F71D2F" w:rsidRDefault="00DD05DE" w:rsidP="00DC03BB">
      <w:pPr>
        <w:spacing w:line="360" w:lineRule="auto"/>
        <w:ind w:firstLine="2835"/>
        <w:jc w:val="both"/>
        <w:rPr>
          <w:rFonts w:ascii="Arial" w:hAnsi="Arial" w:cs="Arial"/>
          <w:b w:val="0"/>
          <w:lang w:val="es-ES_tradnl"/>
        </w:rPr>
      </w:pPr>
      <w:r w:rsidRPr="00DD05DE">
        <w:rPr>
          <w:rFonts w:ascii="Arial" w:hAnsi="Arial" w:cs="Arial"/>
          <w:lang w:val="es-ES_tradnl"/>
        </w:rPr>
        <w:t>10)</w:t>
      </w:r>
      <w:r w:rsidRPr="00DD05DE">
        <w:rPr>
          <w:rFonts w:ascii="Arial" w:hAnsi="Arial" w:cs="Arial"/>
          <w:b w:val="0"/>
          <w:lang w:val="es-ES_tradnl"/>
        </w:rPr>
        <w:t xml:space="preserve"> que se remite </w:t>
      </w:r>
      <w:r>
        <w:rPr>
          <w:rFonts w:ascii="Arial" w:hAnsi="Arial" w:cs="Arial"/>
          <w:b w:val="0"/>
          <w:lang w:val="es-ES_tradnl"/>
        </w:rPr>
        <w:t>i</w:t>
      </w:r>
      <w:r w:rsidR="00F71D2F" w:rsidRPr="00DD05DE">
        <w:rPr>
          <w:rFonts w:ascii="Arial" w:hAnsi="Arial" w:cs="Arial"/>
          <w:b w:val="0"/>
          <w:lang w:val="es-ES_tradnl"/>
        </w:rPr>
        <w:t>nforme de Evaluación Técnica de fecha 26 de agosto de 2015</w:t>
      </w:r>
      <w:r w:rsidR="00272D07">
        <w:rPr>
          <w:rFonts w:ascii="Arial" w:hAnsi="Arial" w:cs="Arial"/>
          <w:b w:val="0"/>
          <w:lang w:val="es-ES_tradnl"/>
        </w:rPr>
        <w:t>,</w:t>
      </w:r>
      <w:r w:rsidR="00F71D2F" w:rsidRPr="00DD05DE">
        <w:rPr>
          <w:rFonts w:ascii="Arial" w:hAnsi="Arial" w:cs="Arial"/>
          <w:b w:val="0"/>
          <w:lang w:val="es-ES_tradnl"/>
        </w:rPr>
        <w:t xml:space="preserve"> </w:t>
      </w:r>
      <w:r>
        <w:rPr>
          <w:rFonts w:ascii="Arial" w:hAnsi="Arial" w:cs="Arial"/>
          <w:b w:val="0"/>
          <w:lang w:val="es-ES_tradnl"/>
        </w:rPr>
        <w:t xml:space="preserve">así como informe de la Comisión Asesora de Adjudicaciones, de fecha 31 de agosto de 2015, aconsejando adjudicar conforme al siguiente detalle:  </w:t>
      </w:r>
      <w:proofErr w:type="spellStart"/>
      <w:r>
        <w:rPr>
          <w:rFonts w:ascii="Arial" w:hAnsi="Arial" w:cs="Arial"/>
          <w:b w:val="0"/>
          <w:lang w:val="es-ES_tradnl"/>
        </w:rPr>
        <w:t>Item</w:t>
      </w:r>
      <w:proofErr w:type="spellEnd"/>
      <w:r>
        <w:rPr>
          <w:rFonts w:ascii="Arial" w:hAnsi="Arial" w:cs="Arial"/>
          <w:b w:val="0"/>
          <w:lang w:val="es-ES_tradnl"/>
        </w:rPr>
        <w:t xml:space="preserve"> 1 </w:t>
      </w:r>
      <w:r w:rsidRPr="00DD05DE">
        <w:rPr>
          <w:rFonts w:ascii="Arial" w:hAnsi="Arial" w:cs="Arial"/>
          <w:b w:val="0"/>
          <w:szCs w:val="24"/>
          <w:lang w:val="es-ES_tradnl"/>
        </w:rPr>
        <w:t>(Arnaldo C. Castro; IDS Ltda. y Librerías Del Litoral S.A.); ítem 2 (</w:t>
      </w:r>
      <w:proofErr w:type="spellStart"/>
      <w:r w:rsidRPr="00DD05DE">
        <w:rPr>
          <w:rFonts w:ascii="Arial" w:hAnsi="Arial" w:cs="Arial"/>
          <w:b w:val="0"/>
          <w:szCs w:val="24"/>
          <w:lang w:val="es-ES_tradnl"/>
        </w:rPr>
        <w:t>Nisul</w:t>
      </w:r>
      <w:proofErr w:type="spellEnd"/>
      <w:r w:rsidRPr="00DD05DE">
        <w:rPr>
          <w:rFonts w:ascii="Arial" w:hAnsi="Arial" w:cs="Arial"/>
          <w:b w:val="0"/>
          <w:szCs w:val="24"/>
          <w:lang w:val="es-ES_tradnl"/>
        </w:rPr>
        <w:t xml:space="preserve"> S.A.), ítem 3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IDS Ltda. y </w:t>
      </w:r>
      <w:proofErr w:type="spellStart"/>
      <w:r w:rsidRPr="00DD05DE">
        <w:rPr>
          <w:rFonts w:ascii="Arial" w:hAnsi="Arial" w:cs="Arial"/>
          <w:b w:val="0"/>
          <w:szCs w:val="24"/>
          <w:lang w:val="es-ES_tradnl"/>
        </w:rPr>
        <w:t>Nisul</w:t>
      </w:r>
      <w:proofErr w:type="spellEnd"/>
      <w:r w:rsidRPr="00DD05DE">
        <w:rPr>
          <w:rFonts w:ascii="Arial" w:hAnsi="Arial" w:cs="Arial"/>
          <w:b w:val="0"/>
          <w:szCs w:val="24"/>
          <w:lang w:val="es-ES_tradnl"/>
        </w:rPr>
        <w:t xml:space="preserve"> S.A.), ítem 4 (</w:t>
      </w:r>
      <w:proofErr w:type="spellStart"/>
      <w:r w:rsidRPr="00DD05DE">
        <w:rPr>
          <w:rFonts w:ascii="Arial" w:hAnsi="Arial" w:cs="Arial"/>
          <w:b w:val="0"/>
          <w:szCs w:val="24"/>
          <w:lang w:val="es-ES_tradnl"/>
        </w:rPr>
        <w:t>Nisul</w:t>
      </w:r>
      <w:proofErr w:type="spellEnd"/>
      <w:r w:rsidRPr="00DD05DE">
        <w:rPr>
          <w:rFonts w:ascii="Arial" w:hAnsi="Arial" w:cs="Arial"/>
          <w:b w:val="0"/>
          <w:szCs w:val="24"/>
          <w:lang w:val="es-ES_tradnl"/>
        </w:rPr>
        <w:t xml:space="preserve"> S.A.), ítem 5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w:t>
      </w:r>
      <w:proofErr w:type="spellStart"/>
      <w:r w:rsidRPr="00DD05DE">
        <w:rPr>
          <w:rFonts w:ascii="Arial" w:hAnsi="Arial" w:cs="Arial"/>
          <w:b w:val="0"/>
          <w:szCs w:val="24"/>
          <w:lang w:val="es-ES_tradnl"/>
        </w:rPr>
        <w:t>Nisul</w:t>
      </w:r>
      <w:proofErr w:type="spellEnd"/>
      <w:r w:rsidRPr="00DD05DE">
        <w:rPr>
          <w:rFonts w:ascii="Arial" w:hAnsi="Arial" w:cs="Arial"/>
          <w:b w:val="0"/>
          <w:szCs w:val="24"/>
          <w:lang w:val="es-ES_tradnl"/>
        </w:rPr>
        <w:t xml:space="preserve"> S.A.), ítem 6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IDS Ltda., </w:t>
      </w:r>
      <w:proofErr w:type="spellStart"/>
      <w:r w:rsidRPr="00DD05DE">
        <w:rPr>
          <w:rFonts w:ascii="Arial" w:hAnsi="Arial" w:cs="Arial"/>
          <w:b w:val="0"/>
          <w:szCs w:val="24"/>
          <w:lang w:val="es-ES_tradnl"/>
        </w:rPr>
        <w:t>Nisul</w:t>
      </w:r>
      <w:proofErr w:type="spellEnd"/>
      <w:r w:rsidRPr="00DD05DE">
        <w:rPr>
          <w:rFonts w:ascii="Arial" w:hAnsi="Arial" w:cs="Arial"/>
          <w:b w:val="0"/>
          <w:szCs w:val="24"/>
          <w:lang w:val="es-ES_tradnl"/>
        </w:rPr>
        <w:t xml:space="preserve"> S.A., Librerías Del Litoral S.A.), ítem 7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ítem 8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Arnaldo C. Castro S.A., Librerías Del Litoral S.A.), ítem 9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Arnaldo C. Castro S.A., Librerías Del Litoral S.A.), ítem 10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Arnaldo C. Castro S.A., Librerías Del Litoral S.A.), ítem 11 (</w:t>
      </w:r>
      <w:proofErr w:type="spellStart"/>
      <w:r w:rsidRPr="00DD05DE">
        <w:rPr>
          <w:rFonts w:ascii="Arial" w:hAnsi="Arial" w:cs="Arial"/>
          <w:b w:val="0"/>
          <w:szCs w:val="24"/>
          <w:lang w:val="es-ES_tradnl"/>
        </w:rPr>
        <w:t>Abacus</w:t>
      </w:r>
      <w:proofErr w:type="spellEnd"/>
      <w:r w:rsidRPr="00DD05DE">
        <w:rPr>
          <w:rFonts w:ascii="Arial" w:hAnsi="Arial" w:cs="Arial"/>
          <w:b w:val="0"/>
          <w:szCs w:val="24"/>
          <w:lang w:val="es-ES_tradnl"/>
        </w:rPr>
        <w:t xml:space="preserve"> S.A., Arnaldo C. Castro S.A., Librerías Del Litoral S.A.)</w:t>
      </w:r>
      <w:r>
        <w:rPr>
          <w:rFonts w:ascii="Arial" w:hAnsi="Arial" w:cs="Arial"/>
          <w:b w:val="0"/>
          <w:szCs w:val="24"/>
          <w:lang w:val="es-ES_tradnl"/>
        </w:rPr>
        <w:t xml:space="preserve">; </w:t>
      </w:r>
    </w:p>
    <w:p w:rsidR="00F71D2F" w:rsidRPr="002F4FCE" w:rsidRDefault="002F4FCE" w:rsidP="00DC03BB">
      <w:pPr>
        <w:spacing w:line="360" w:lineRule="auto"/>
        <w:ind w:firstLine="2835"/>
        <w:jc w:val="both"/>
        <w:rPr>
          <w:rFonts w:ascii="Arial" w:hAnsi="Arial" w:cs="Arial"/>
          <w:b w:val="0"/>
          <w:lang w:val="es-ES_tradnl"/>
        </w:rPr>
      </w:pPr>
      <w:r>
        <w:rPr>
          <w:rFonts w:ascii="Arial" w:hAnsi="Arial" w:cs="Arial"/>
          <w:lang w:val="es-ES_tradnl"/>
        </w:rPr>
        <w:t>11</w:t>
      </w:r>
      <w:r w:rsidRPr="00DD05DE">
        <w:rPr>
          <w:rFonts w:ascii="Arial" w:hAnsi="Arial" w:cs="Arial"/>
          <w:lang w:val="es-ES_tradnl"/>
        </w:rPr>
        <w:t>)</w:t>
      </w:r>
      <w:r w:rsidRPr="00DD05DE">
        <w:rPr>
          <w:rFonts w:ascii="Arial" w:hAnsi="Arial" w:cs="Arial"/>
          <w:b w:val="0"/>
          <w:lang w:val="es-ES_tradnl"/>
        </w:rPr>
        <w:t xml:space="preserve"> que </w:t>
      </w:r>
      <w:r>
        <w:rPr>
          <w:rFonts w:ascii="Arial" w:hAnsi="Arial" w:cs="Arial"/>
          <w:b w:val="0"/>
          <w:lang w:val="es-ES_tradnl"/>
        </w:rPr>
        <w:t>s</w:t>
      </w:r>
      <w:r w:rsidR="00F71D2F" w:rsidRPr="002F4FCE">
        <w:rPr>
          <w:rFonts w:ascii="Arial" w:hAnsi="Arial" w:cs="Arial"/>
          <w:b w:val="0"/>
          <w:lang w:val="es-ES_tradnl"/>
        </w:rPr>
        <w:t>urge de dicho informe que corresponde dar vista del Expediente, conforme a lo dispuesto por el Artículo 12 del Decreto 42/015, de 27 de enero de 2015, por el término de 5 días hábiles.</w:t>
      </w:r>
      <w:r>
        <w:rPr>
          <w:rFonts w:ascii="Arial" w:hAnsi="Arial" w:cs="Arial"/>
          <w:b w:val="0"/>
          <w:lang w:val="es-ES_tradnl"/>
        </w:rPr>
        <w:t xml:space="preserve"> Dicha vista fue conferida con fecha </w:t>
      </w:r>
      <w:r w:rsidR="00F71D2F" w:rsidRPr="002F4FCE">
        <w:rPr>
          <w:rFonts w:ascii="Arial" w:hAnsi="Arial" w:cs="Arial"/>
          <w:b w:val="0"/>
          <w:lang w:val="es-ES_tradnl"/>
        </w:rPr>
        <w:t>4 de setiembre de 2015</w:t>
      </w:r>
      <w:r>
        <w:rPr>
          <w:rFonts w:ascii="Arial" w:hAnsi="Arial" w:cs="Arial"/>
          <w:b w:val="0"/>
          <w:lang w:val="es-ES_tradnl"/>
        </w:rPr>
        <w:t xml:space="preserve">; </w:t>
      </w:r>
    </w:p>
    <w:p w:rsidR="00F71D2F" w:rsidRPr="002F4FCE" w:rsidRDefault="002F4FCE" w:rsidP="00DC03BB">
      <w:pPr>
        <w:spacing w:line="360" w:lineRule="auto"/>
        <w:ind w:firstLine="2835"/>
        <w:jc w:val="both"/>
        <w:rPr>
          <w:rFonts w:ascii="Arial" w:hAnsi="Arial" w:cs="Arial"/>
          <w:b w:val="0"/>
          <w:lang w:val="es-ES_tradnl"/>
        </w:rPr>
      </w:pPr>
      <w:r>
        <w:rPr>
          <w:rFonts w:ascii="Arial" w:hAnsi="Arial" w:cs="Arial"/>
          <w:lang w:val="es-ES_tradnl"/>
        </w:rPr>
        <w:t>12</w:t>
      </w:r>
      <w:r w:rsidRPr="00DD05DE">
        <w:rPr>
          <w:rFonts w:ascii="Arial" w:hAnsi="Arial" w:cs="Arial"/>
          <w:lang w:val="es-ES_tradnl"/>
        </w:rPr>
        <w:t>)</w:t>
      </w:r>
      <w:r w:rsidRPr="00DD05DE">
        <w:rPr>
          <w:rFonts w:ascii="Arial" w:hAnsi="Arial" w:cs="Arial"/>
          <w:b w:val="0"/>
          <w:lang w:val="es-ES_tradnl"/>
        </w:rPr>
        <w:t xml:space="preserve"> que</w:t>
      </w:r>
      <w:r>
        <w:rPr>
          <w:rFonts w:ascii="Arial" w:hAnsi="Arial" w:cs="Arial"/>
          <w:b w:val="0"/>
          <w:lang w:val="es-ES_tradnl"/>
        </w:rPr>
        <w:t xml:space="preserve"> c</w:t>
      </w:r>
      <w:r w:rsidR="00F71D2F" w:rsidRPr="002F4FCE">
        <w:rPr>
          <w:rFonts w:ascii="Arial" w:hAnsi="Arial" w:cs="Arial"/>
          <w:b w:val="0"/>
          <w:lang w:val="es-ES_tradnl"/>
        </w:rPr>
        <w:t>on fecha 10 de setiembre de 2015, la empresa NISUL S.A. presentó observaciones de índole técnico al informe de la Comi</w:t>
      </w:r>
      <w:r>
        <w:rPr>
          <w:rFonts w:ascii="Arial" w:hAnsi="Arial" w:cs="Arial"/>
          <w:b w:val="0"/>
          <w:lang w:val="es-ES_tradnl"/>
        </w:rPr>
        <w:t xml:space="preserve">sión Asesora; </w:t>
      </w:r>
    </w:p>
    <w:p w:rsidR="00F71D2F" w:rsidRPr="002F4FCE" w:rsidRDefault="002F4FCE" w:rsidP="00DC03BB">
      <w:pPr>
        <w:spacing w:line="360" w:lineRule="auto"/>
        <w:ind w:firstLine="2835"/>
        <w:jc w:val="both"/>
        <w:rPr>
          <w:rFonts w:ascii="Arial" w:hAnsi="Arial" w:cs="Arial"/>
          <w:b w:val="0"/>
          <w:lang w:val="es-ES_tradnl"/>
        </w:rPr>
      </w:pPr>
      <w:r>
        <w:rPr>
          <w:rFonts w:ascii="Arial" w:hAnsi="Arial" w:cs="Arial"/>
          <w:lang w:val="es-ES_tradnl"/>
        </w:rPr>
        <w:t>13</w:t>
      </w:r>
      <w:r w:rsidRPr="00DD05DE">
        <w:rPr>
          <w:rFonts w:ascii="Arial" w:hAnsi="Arial" w:cs="Arial"/>
          <w:lang w:val="es-ES_tradnl"/>
        </w:rPr>
        <w:t>)</w:t>
      </w:r>
      <w:r w:rsidRPr="00DD05DE">
        <w:rPr>
          <w:rFonts w:ascii="Arial" w:hAnsi="Arial" w:cs="Arial"/>
          <w:b w:val="0"/>
          <w:lang w:val="es-ES_tradnl"/>
        </w:rPr>
        <w:t xml:space="preserve"> que</w:t>
      </w:r>
      <w:r>
        <w:rPr>
          <w:rFonts w:ascii="Arial" w:hAnsi="Arial" w:cs="Arial"/>
          <w:b w:val="0"/>
          <w:lang w:val="es-ES_tradnl"/>
        </w:rPr>
        <w:t xml:space="preserve"> luce</w:t>
      </w:r>
      <w:r w:rsidR="00F71D2F" w:rsidRPr="002F4FCE">
        <w:rPr>
          <w:rFonts w:ascii="Arial" w:hAnsi="Arial" w:cs="Arial"/>
          <w:b w:val="0"/>
          <w:lang w:val="es-ES_tradnl"/>
        </w:rPr>
        <w:t xml:space="preserve"> segundo informe de la Comisión Asesora de Adjudicaciones</w:t>
      </w:r>
      <w:r>
        <w:rPr>
          <w:rFonts w:ascii="Arial" w:hAnsi="Arial" w:cs="Arial"/>
          <w:b w:val="0"/>
          <w:lang w:val="es-ES_tradnl"/>
        </w:rPr>
        <w:t xml:space="preserve">, </w:t>
      </w:r>
      <w:r w:rsidR="00F71D2F" w:rsidRPr="002F4FCE">
        <w:rPr>
          <w:rFonts w:ascii="Arial" w:hAnsi="Arial" w:cs="Arial"/>
          <w:b w:val="0"/>
          <w:lang w:val="es-ES_tradnl"/>
        </w:rPr>
        <w:t>de fecha 14 de setiembre de 2015, analizando las consideraciones formuladas por N</w:t>
      </w:r>
      <w:r w:rsidR="00272D07">
        <w:rPr>
          <w:rFonts w:ascii="Arial" w:hAnsi="Arial" w:cs="Arial"/>
          <w:b w:val="0"/>
          <w:lang w:val="es-ES_tradnl"/>
        </w:rPr>
        <w:t>ISUL S.A. Al respecto, concluyó que las mismas no lograban</w:t>
      </w:r>
      <w:r w:rsidR="00F71D2F" w:rsidRPr="002F4FCE">
        <w:rPr>
          <w:rFonts w:ascii="Arial" w:hAnsi="Arial" w:cs="Arial"/>
          <w:b w:val="0"/>
          <w:lang w:val="es-ES_tradnl"/>
        </w:rPr>
        <w:t xml:space="preserve"> conmover la recomendación de adjudicación oportuname</w:t>
      </w:r>
      <w:r>
        <w:rPr>
          <w:rFonts w:ascii="Arial" w:hAnsi="Arial" w:cs="Arial"/>
          <w:b w:val="0"/>
          <w:lang w:val="es-ES_tradnl"/>
        </w:rPr>
        <w:t xml:space="preserve">nte efectuada; </w:t>
      </w:r>
    </w:p>
    <w:p w:rsidR="00F71D2F" w:rsidRPr="002F4FCE" w:rsidRDefault="002F4FCE" w:rsidP="00DC03BB">
      <w:pPr>
        <w:spacing w:line="360" w:lineRule="auto"/>
        <w:ind w:firstLine="2835"/>
        <w:jc w:val="both"/>
        <w:rPr>
          <w:rFonts w:ascii="Arial" w:hAnsi="Arial" w:cs="Arial"/>
          <w:b w:val="0"/>
          <w:lang w:val="es-ES_tradnl"/>
        </w:rPr>
      </w:pPr>
      <w:r>
        <w:rPr>
          <w:rFonts w:ascii="Arial" w:hAnsi="Arial" w:cs="Arial"/>
          <w:lang w:val="es-ES_tradnl"/>
        </w:rPr>
        <w:t>14</w:t>
      </w:r>
      <w:r w:rsidRPr="00DD05DE">
        <w:rPr>
          <w:rFonts w:ascii="Arial" w:hAnsi="Arial" w:cs="Arial"/>
          <w:lang w:val="es-ES_tradnl"/>
        </w:rPr>
        <w:t>)</w:t>
      </w:r>
      <w:r w:rsidRPr="00DD05DE">
        <w:rPr>
          <w:rFonts w:ascii="Arial" w:hAnsi="Arial" w:cs="Arial"/>
          <w:b w:val="0"/>
          <w:lang w:val="es-ES_tradnl"/>
        </w:rPr>
        <w:t xml:space="preserve"> que</w:t>
      </w:r>
      <w:r>
        <w:rPr>
          <w:rFonts w:ascii="Arial" w:hAnsi="Arial" w:cs="Arial"/>
          <w:b w:val="0"/>
          <w:lang w:val="es-ES_tradnl"/>
        </w:rPr>
        <w:t xml:space="preserve"> se remite i</w:t>
      </w:r>
      <w:r w:rsidR="00F71D2F" w:rsidRPr="002F4FCE">
        <w:rPr>
          <w:rFonts w:ascii="Arial" w:hAnsi="Arial" w:cs="Arial"/>
          <w:b w:val="0"/>
          <w:lang w:val="es-ES_tradnl"/>
        </w:rPr>
        <w:t xml:space="preserve">nformación del Registro Único de Proveedores del Estado (RUPE) referente a las firmas: ABACUS S.A., </w:t>
      </w:r>
      <w:r w:rsidR="00F71D2F" w:rsidRPr="002F4FCE">
        <w:rPr>
          <w:rFonts w:ascii="Arial" w:hAnsi="Arial" w:cs="Arial"/>
          <w:b w:val="0"/>
          <w:lang w:val="es-ES_tradnl"/>
        </w:rPr>
        <w:lastRenderedPageBreak/>
        <w:t>ARNALDO C. CASTRO S.A., IDS LTDA., LIBRERIAS DEL LITORAL S.A.</w:t>
      </w:r>
      <w:r>
        <w:rPr>
          <w:rFonts w:ascii="Arial" w:hAnsi="Arial" w:cs="Arial"/>
          <w:b w:val="0"/>
          <w:lang w:val="es-ES_tradnl"/>
        </w:rPr>
        <w:t xml:space="preserve"> y NISUL S.A.; </w:t>
      </w:r>
    </w:p>
    <w:p w:rsidR="00F71D2F" w:rsidRPr="002F4FCE" w:rsidRDefault="002F4FCE" w:rsidP="00DC03BB">
      <w:pPr>
        <w:spacing w:line="360" w:lineRule="auto"/>
        <w:ind w:firstLine="2835"/>
        <w:jc w:val="both"/>
        <w:rPr>
          <w:rFonts w:ascii="Arial" w:hAnsi="Arial" w:cs="Arial"/>
          <w:b w:val="0"/>
          <w:lang w:val="es-ES_tradnl"/>
        </w:rPr>
      </w:pPr>
      <w:r>
        <w:rPr>
          <w:rFonts w:ascii="Arial" w:hAnsi="Arial" w:cs="Arial"/>
          <w:lang w:val="es-ES_tradnl"/>
        </w:rPr>
        <w:t>15</w:t>
      </w:r>
      <w:r w:rsidRPr="00DD05DE">
        <w:rPr>
          <w:rFonts w:ascii="Arial" w:hAnsi="Arial" w:cs="Arial"/>
          <w:lang w:val="es-ES_tradnl"/>
        </w:rPr>
        <w:t>)</w:t>
      </w:r>
      <w:r w:rsidRPr="00DD05DE">
        <w:rPr>
          <w:rFonts w:ascii="Arial" w:hAnsi="Arial" w:cs="Arial"/>
          <w:b w:val="0"/>
          <w:lang w:val="es-ES_tradnl"/>
        </w:rPr>
        <w:t xml:space="preserve"> que</w:t>
      </w:r>
      <w:r>
        <w:rPr>
          <w:rFonts w:ascii="Arial" w:hAnsi="Arial" w:cs="Arial"/>
          <w:b w:val="0"/>
          <w:lang w:val="es-ES_tradnl"/>
        </w:rPr>
        <w:t xml:space="preserve"> s</w:t>
      </w:r>
      <w:r w:rsidR="00F71D2F" w:rsidRPr="002F4FCE">
        <w:rPr>
          <w:rFonts w:ascii="Arial" w:hAnsi="Arial" w:cs="Arial"/>
          <w:b w:val="0"/>
          <w:lang w:val="es-ES_tradnl"/>
        </w:rPr>
        <w:t>e adjunta Proyecto de Resolución del Director Ejecutivo de AGESIC</w:t>
      </w:r>
      <w:r w:rsidR="00F71D2F" w:rsidRPr="002F4FCE">
        <w:rPr>
          <w:rFonts w:ascii="Arial" w:hAnsi="Arial" w:cs="Arial"/>
          <w:lang w:val="es-ES_tradnl"/>
        </w:rPr>
        <w:t xml:space="preserve"> </w:t>
      </w:r>
      <w:r w:rsidR="00F71D2F" w:rsidRPr="002F4FCE">
        <w:rPr>
          <w:rFonts w:ascii="Arial" w:hAnsi="Arial" w:cs="Arial"/>
          <w:b w:val="0"/>
          <w:lang w:val="es-ES_tradnl"/>
        </w:rPr>
        <w:t>(en ejercicio de atribuciones delegadas), mediante el cual se adjudica el Convenio Marco conforme a lo recomendado por la Com</w:t>
      </w:r>
      <w:r>
        <w:rPr>
          <w:rFonts w:ascii="Arial" w:hAnsi="Arial" w:cs="Arial"/>
          <w:b w:val="0"/>
          <w:lang w:val="es-ES_tradnl"/>
        </w:rPr>
        <w:t xml:space="preserve">isión Asesora de Adjudicaciones; </w:t>
      </w:r>
    </w:p>
    <w:p w:rsidR="00F71D2F" w:rsidRPr="0027493D" w:rsidRDefault="001F4D96" w:rsidP="00DC03BB">
      <w:pPr>
        <w:pStyle w:val="Sangra2detindependiente"/>
        <w:ind w:left="0" w:firstLine="2835"/>
        <w:jc w:val="both"/>
        <w:rPr>
          <w:rFonts w:cs="Arial"/>
          <w:u w:val="single"/>
        </w:rPr>
      </w:pPr>
      <w:r>
        <w:rPr>
          <w:rFonts w:cs="Arial"/>
        </w:rPr>
        <w:t>16</w:t>
      </w:r>
      <w:r w:rsidRPr="00DD05DE">
        <w:rPr>
          <w:rFonts w:cs="Arial"/>
        </w:rPr>
        <w:t>)</w:t>
      </w:r>
      <w:r w:rsidRPr="00DD05DE">
        <w:rPr>
          <w:rFonts w:cs="Arial"/>
          <w:b w:val="0"/>
        </w:rPr>
        <w:t xml:space="preserve"> que</w:t>
      </w:r>
      <w:r>
        <w:rPr>
          <w:rFonts w:cs="Arial"/>
          <w:b w:val="0"/>
        </w:rPr>
        <w:t xml:space="preserve"> l</w:t>
      </w:r>
      <w:r w:rsidR="00F71D2F">
        <w:rPr>
          <w:rFonts w:cs="Arial"/>
          <w:b w:val="0"/>
        </w:rPr>
        <w:t xml:space="preserve">uce </w:t>
      </w:r>
      <w:r w:rsidR="00272D07">
        <w:rPr>
          <w:rFonts w:cs="Arial"/>
          <w:b w:val="0"/>
        </w:rPr>
        <w:t>estudio de mercado de computadoras y horas de d</w:t>
      </w:r>
      <w:r w:rsidR="00F71D2F">
        <w:rPr>
          <w:rFonts w:cs="Arial"/>
          <w:b w:val="0"/>
        </w:rPr>
        <w:t xml:space="preserve">esarrollo Java, de diciembre de 2014, realizado por Equipos </w:t>
      </w:r>
      <w:r w:rsidR="00CD7668">
        <w:rPr>
          <w:rFonts w:cs="Arial"/>
          <w:b w:val="0"/>
        </w:rPr>
        <w:t xml:space="preserve">                    </w:t>
      </w:r>
      <w:proofErr w:type="spellStart"/>
      <w:r w:rsidR="00F71D2F">
        <w:rPr>
          <w:rFonts w:cs="Arial"/>
          <w:b w:val="0"/>
        </w:rPr>
        <w:t>Mori</w:t>
      </w:r>
      <w:proofErr w:type="spellEnd"/>
      <w:r w:rsidR="00F71D2F">
        <w:rPr>
          <w:rFonts w:cs="Arial"/>
          <w:b w:val="0"/>
        </w:rPr>
        <w:t xml:space="preserve"> - Consultores Asociados. Conforme surge de dicho estudio se pla</w:t>
      </w:r>
      <w:r w:rsidR="00C56D6B">
        <w:rPr>
          <w:rFonts w:cs="Arial"/>
          <w:b w:val="0"/>
        </w:rPr>
        <w:t>n</w:t>
      </w:r>
      <w:r w:rsidR="00F71D2F">
        <w:rPr>
          <w:rFonts w:cs="Arial"/>
          <w:b w:val="0"/>
        </w:rPr>
        <w:t xml:space="preserve">tearon los siguientes objetivos específicos: </w:t>
      </w:r>
    </w:p>
    <w:p w:rsidR="001F4D96" w:rsidRDefault="001F4D96" w:rsidP="00CD7668">
      <w:pPr>
        <w:pStyle w:val="Sangra2detindependiente"/>
        <w:ind w:left="0"/>
        <w:jc w:val="both"/>
        <w:rPr>
          <w:rFonts w:cs="Arial"/>
          <w:u w:val="single"/>
        </w:rPr>
      </w:pPr>
      <w:r w:rsidRPr="001F4D96">
        <w:rPr>
          <w:rFonts w:cs="Arial"/>
        </w:rPr>
        <w:t>16.1)</w:t>
      </w:r>
      <w:r>
        <w:rPr>
          <w:rFonts w:cs="Arial"/>
          <w:b w:val="0"/>
        </w:rPr>
        <w:t xml:space="preserve"> </w:t>
      </w:r>
      <w:r w:rsidR="00F71D2F">
        <w:rPr>
          <w:rFonts w:cs="Arial"/>
          <w:b w:val="0"/>
        </w:rPr>
        <w:t>Dimensionar el volumen total del mercado de tecnologías de la información en el país, en el año 2014, del sector corporativo privado, y de las entrevistas de organismos públicos, para hacer u</w:t>
      </w:r>
      <w:r>
        <w:rPr>
          <w:rFonts w:cs="Arial"/>
          <w:b w:val="0"/>
        </w:rPr>
        <w:t xml:space="preserve">na estimación del mercado total; </w:t>
      </w:r>
    </w:p>
    <w:p w:rsidR="001F4D96" w:rsidRDefault="001F4D96" w:rsidP="00CD7668">
      <w:pPr>
        <w:pStyle w:val="Sangra2detindependiente"/>
        <w:ind w:left="0"/>
        <w:jc w:val="both"/>
        <w:rPr>
          <w:rFonts w:cs="Arial"/>
          <w:u w:val="single"/>
        </w:rPr>
      </w:pPr>
      <w:r>
        <w:rPr>
          <w:rFonts w:cs="Arial"/>
        </w:rPr>
        <w:t xml:space="preserve">16.2) </w:t>
      </w:r>
      <w:r w:rsidR="00F71D2F">
        <w:rPr>
          <w:rFonts w:cs="Arial"/>
          <w:b w:val="0"/>
        </w:rPr>
        <w:t>Estimar el volumen de horas de p</w:t>
      </w:r>
      <w:r w:rsidR="00C56D6B">
        <w:rPr>
          <w:rFonts w:cs="Arial"/>
          <w:b w:val="0"/>
        </w:rPr>
        <w:t>rogramación Java y el valor de é</w:t>
      </w:r>
      <w:r w:rsidR="00F71D2F">
        <w:rPr>
          <w:rFonts w:cs="Arial"/>
          <w:b w:val="0"/>
        </w:rPr>
        <w:t>stas en el mercado en el 2013, así como el total de com</w:t>
      </w:r>
      <w:r>
        <w:rPr>
          <w:rFonts w:cs="Arial"/>
          <w:b w:val="0"/>
        </w:rPr>
        <w:t xml:space="preserve">putadoras y los montos gastados; </w:t>
      </w:r>
    </w:p>
    <w:p w:rsidR="001F4D96" w:rsidRDefault="001F4D96" w:rsidP="00CD7668">
      <w:pPr>
        <w:pStyle w:val="Sangra2detindependiente"/>
        <w:ind w:left="0"/>
        <w:jc w:val="both"/>
        <w:rPr>
          <w:rFonts w:cs="Arial"/>
          <w:u w:val="single"/>
        </w:rPr>
      </w:pPr>
      <w:r>
        <w:rPr>
          <w:rFonts w:cs="Arial"/>
        </w:rPr>
        <w:t xml:space="preserve">16.3) </w:t>
      </w:r>
      <w:r w:rsidR="00F71D2F">
        <w:rPr>
          <w:rFonts w:cs="Arial"/>
          <w:b w:val="0"/>
        </w:rPr>
        <w:t>Describir los principales proveedores del sector para estos dos productos. Describir las características de los provee</w:t>
      </w:r>
      <w:r>
        <w:rPr>
          <w:rFonts w:cs="Arial"/>
          <w:b w:val="0"/>
        </w:rPr>
        <w:t xml:space="preserve">dores de tecnologías del Estado; </w:t>
      </w:r>
    </w:p>
    <w:p w:rsidR="001F4D96" w:rsidRDefault="001F4D96" w:rsidP="00CD7668">
      <w:pPr>
        <w:pStyle w:val="Sangra2detindependiente"/>
        <w:ind w:left="0"/>
        <w:jc w:val="both"/>
        <w:rPr>
          <w:rFonts w:cs="Arial"/>
          <w:u w:val="single"/>
        </w:rPr>
      </w:pPr>
      <w:r>
        <w:rPr>
          <w:rFonts w:cs="Arial"/>
        </w:rPr>
        <w:t xml:space="preserve">16.4) </w:t>
      </w:r>
      <w:r w:rsidR="00F71D2F">
        <w:rPr>
          <w:rFonts w:cs="Arial"/>
          <w:b w:val="0"/>
        </w:rPr>
        <w:t>Generar indicadores que ayuden al organismo a buscar la vigencia temporal más adecuada del convenio marco. Para esto, se evaluarán los tiempos previstos por los compradores para la compra de estos insumos, si ya los tienen previstos para el resto del año  y si los tiene</w:t>
      </w:r>
      <w:r>
        <w:rPr>
          <w:rFonts w:cs="Arial"/>
          <w:b w:val="0"/>
        </w:rPr>
        <w:t xml:space="preserve">n previstos para el futuro; </w:t>
      </w:r>
    </w:p>
    <w:p w:rsidR="00DB1252" w:rsidRDefault="001F4D96" w:rsidP="00CD7668">
      <w:pPr>
        <w:pStyle w:val="Sangra2detindependiente"/>
        <w:ind w:left="0"/>
        <w:jc w:val="both"/>
        <w:rPr>
          <w:rFonts w:cs="Arial"/>
          <w:u w:val="single"/>
        </w:rPr>
      </w:pPr>
      <w:r>
        <w:rPr>
          <w:rFonts w:cs="Arial"/>
        </w:rPr>
        <w:t xml:space="preserve">16.5) </w:t>
      </w:r>
      <w:r w:rsidR="00F71D2F" w:rsidRPr="004B7746">
        <w:rPr>
          <w:rFonts w:cs="Arial"/>
          <w:b w:val="0"/>
        </w:rPr>
        <w:t xml:space="preserve">Generar indicadores a través de las series de compra de productos de estas características en períodos comparables, para estimar su demanda en los plazos </w:t>
      </w:r>
      <w:r>
        <w:rPr>
          <w:rFonts w:cs="Arial"/>
          <w:b w:val="0"/>
        </w:rPr>
        <w:t xml:space="preserve">previstos de vigencia sugeridos; </w:t>
      </w:r>
    </w:p>
    <w:p w:rsidR="00F71D2F" w:rsidRPr="00DB1252" w:rsidRDefault="00DB1252" w:rsidP="00CD7668">
      <w:pPr>
        <w:pStyle w:val="Sangra2detindependiente"/>
        <w:ind w:left="0" w:firstLine="2835"/>
        <w:jc w:val="both"/>
        <w:rPr>
          <w:rFonts w:cs="Arial"/>
          <w:u w:val="single"/>
        </w:rPr>
      </w:pPr>
      <w:r>
        <w:rPr>
          <w:rFonts w:cs="Arial"/>
        </w:rPr>
        <w:t>17</w:t>
      </w:r>
      <w:r w:rsidRPr="00DD05DE">
        <w:rPr>
          <w:rFonts w:cs="Arial"/>
        </w:rPr>
        <w:t>)</w:t>
      </w:r>
      <w:r w:rsidRPr="00DD05DE">
        <w:rPr>
          <w:rFonts w:cs="Arial"/>
          <w:b w:val="0"/>
        </w:rPr>
        <w:t xml:space="preserve"> que</w:t>
      </w:r>
      <w:r>
        <w:rPr>
          <w:rFonts w:cs="Arial"/>
        </w:rPr>
        <w:t xml:space="preserve"> </w:t>
      </w:r>
      <w:r>
        <w:rPr>
          <w:rFonts w:cs="Arial"/>
          <w:b w:val="0"/>
        </w:rPr>
        <w:t>conforme</w:t>
      </w:r>
      <w:r>
        <w:rPr>
          <w:rFonts w:cs="Arial"/>
        </w:rPr>
        <w:t xml:space="preserve"> </w:t>
      </w:r>
      <w:r w:rsidR="00F71D2F" w:rsidRPr="00524193">
        <w:rPr>
          <w:rFonts w:cs="Arial"/>
          <w:b w:val="0"/>
        </w:rPr>
        <w:t xml:space="preserve">Resolución </w:t>
      </w:r>
      <w:r w:rsidR="00F71D2F">
        <w:rPr>
          <w:rFonts w:cs="Arial"/>
          <w:b w:val="0"/>
        </w:rPr>
        <w:t xml:space="preserve">de fecha 3 de agosto de 2009, </w:t>
      </w:r>
      <w:r w:rsidR="00272D07">
        <w:rPr>
          <w:rFonts w:cs="Arial"/>
          <w:b w:val="0"/>
        </w:rPr>
        <w:t xml:space="preserve">se delega </w:t>
      </w:r>
      <w:r w:rsidR="00F71D2F">
        <w:rPr>
          <w:rFonts w:cs="Arial"/>
          <w:b w:val="0"/>
        </w:rPr>
        <w:t xml:space="preserve">en el Director  Ejecutivo de AGESIC la facultad de ordenador primario del Presidente de la República con el límite máximo del </w:t>
      </w:r>
      <w:r w:rsidR="00F71D2F">
        <w:rPr>
          <w:rFonts w:cs="Arial"/>
          <w:b w:val="0"/>
        </w:rPr>
        <w:lastRenderedPageBreak/>
        <w:t>cuádruple de las licitaciones abreviadas. Asimismo, se delega en el Director Ejecutivo de AGESIC la facultad de ordenado</w:t>
      </w:r>
      <w:r w:rsidR="00C56D6B">
        <w:rPr>
          <w:rFonts w:cs="Arial"/>
          <w:b w:val="0"/>
        </w:rPr>
        <w:t>r</w:t>
      </w:r>
      <w:r w:rsidR="00F71D2F">
        <w:rPr>
          <w:rFonts w:cs="Arial"/>
          <w:b w:val="0"/>
        </w:rPr>
        <w:t xml:space="preserve"> primario del Presidente de la República para contratar al amparo de los literales A), C), D), E) I), J) y N) del numeral 3º del Texto Ordenado de Administración y Contabilida</w:t>
      </w:r>
      <w:r>
        <w:rPr>
          <w:rFonts w:cs="Arial"/>
          <w:b w:val="0"/>
        </w:rPr>
        <w:t xml:space="preserve">d Financiera (T.O.C.A.F.); </w:t>
      </w:r>
    </w:p>
    <w:p w:rsidR="00F71D2F" w:rsidRPr="00DB1252" w:rsidRDefault="00DB1252" w:rsidP="00CD7668">
      <w:pPr>
        <w:pStyle w:val="Sangra2detindependiente"/>
        <w:ind w:left="0" w:firstLine="851"/>
        <w:jc w:val="both"/>
        <w:rPr>
          <w:rFonts w:cs="Arial"/>
          <w:b w:val="0"/>
        </w:rPr>
      </w:pPr>
      <w:r>
        <w:rPr>
          <w:rFonts w:cs="Arial"/>
        </w:rPr>
        <w:t xml:space="preserve">CONSIDERANDO: </w:t>
      </w:r>
      <w:r w:rsidR="00F71D2F" w:rsidRPr="00D253D2">
        <w:rPr>
          <w:rFonts w:cs="Arial"/>
        </w:rPr>
        <w:t>1)</w:t>
      </w:r>
      <w:r>
        <w:rPr>
          <w:rFonts w:cs="Arial"/>
          <w:b w:val="0"/>
        </w:rPr>
        <w:t xml:space="preserve"> que</w:t>
      </w:r>
      <w:r w:rsidR="00F71D2F">
        <w:rPr>
          <w:rFonts w:cs="Arial"/>
          <w:b w:val="0"/>
        </w:rPr>
        <w:t xml:space="preserve"> se efectuó un procedimiento de Convenio Marco al amparo de lo establecido en el </w:t>
      </w:r>
      <w:r w:rsidR="00F71D2F" w:rsidRPr="00272D07">
        <w:rPr>
          <w:rFonts w:cs="Arial"/>
          <w:b w:val="0"/>
        </w:rPr>
        <w:t>Artículo 36 del T.O.C.A.F.</w:t>
      </w:r>
      <w:r w:rsidR="00D824A0">
        <w:rPr>
          <w:rFonts w:cs="Arial"/>
          <w:b w:val="0"/>
        </w:rPr>
        <w:t xml:space="preserve">; </w:t>
      </w:r>
    </w:p>
    <w:p w:rsidR="00C40493" w:rsidRDefault="00F71D2F" w:rsidP="00CD7668">
      <w:pPr>
        <w:spacing w:line="360" w:lineRule="auto"/>
        <w:ind w:firstLine="2977"/>
        <w:jc w:val="both"/>
        <w:rPr>
          <w:rFonts w:ascii="Arial" w:hAnsi="Arial" w:cs="Arial"/>
          <w:b w:val="0"/>
          <w:lang w:val="es-ES_tradnl"/>
        </w:rPr>
      </w:pPr>
      <w:r>
        <w:rPr>
          <w:rFonts w:ascii="Arial" w:hAnsi="Arial" w:cs="Arial"/>
          <w:lang w:val="es-ES_tradnl"/>
        </w:rPr>
        <w:t>2</w:t>
      </w:r>
      <w:r w:rsidRPr="00D253D2">
        <w:rPr>
          <w:rFonts w:ascii="Arial" w:hAnsi="Arial" w:cs="Arial"/>
          <w:lang w:val="es-ES_tradnl"/>
        </w:rPr>
        <w:t>)</w:t>
      </w:r>
      <w:r>
        <w:rPr>
          <w:rFonts w:ascii="Arial" w:hAnsi="Arial" w:cs="Arial"/>
          <w:lang w:val="es-ES_tradnl"/>
        </w:rPr>
        <w:t xml:space="preserve"> </w:t>
      </w:r>
      <w:r w:rsidR="00DB1252" w:rsidRPr="00DB1252">
        <w:rPr>
          <w:rFonts w:ascii="Arial" w:hAnsi="Arial" w:cs="Arial"/>
          <w:b w:val="0"/>
          <w:lang w:val="es-ES_tradnl"/>
        </w:rPr>
        <w:t>que este Tribunal</w:t>
      </w:r>
      <w:r w:rsidR="00C56D6B">
        <w:rPr>
          <w:rFonts w:ascii="Arial" w:hAnsi="Arial" w:cs="Arial"/>
          <w:b w:val="0"/>
          <w:lang w:val="es-ES_tradnl"/>
        </w:rPr>
        <w:t>,</w:t>
      </w:r>
      <w:r w:rsidR="00DB1252" w:rsidRPr="00DB1252">
        <w:rPr>
          <w:rFonts w:ascii="Arial" w:hAnsi="Arial" w:cs="Arial"/>
          <w:b w:val="0"/>
          <w:lang w:val="es-ES_tradnl"/>
        </w:rPr>
        <w:t xml:space="preserve"> </w:t>
      </w:r>
      <w:r w:rsidRPr="00DB1252">
        <w:rPr>
          <w:rFonts w:ascii="Arial" w:hAnsi="Arial" w:cs="Arial"/>
          <w:b w:val="0"/>
          <w:lang w:val="es-ES_tradnl"/>
        </w:rPr>
        <w:t>en Sesión de fecha 22 de octubre de 2014</w:t>
      </w:r>
      <w:r>
        <w:rPr>
          <w:rFonts w:ascii="Arial" w:hAnsi="Arial" w:cs="Arial"/>
          <w:b w:val="0"/>
          <w:lang w:val="es-ES_tradnl"/>
        </w:rPr>
        <w:t>, aprobó el informe jurídico realizado</w:t>
      </w:r>
      <w:r w:rsidR="005E6947">
        <w:rPr>
          <w:rFonts w:ascii="Arial" w:hAnsi="Arial" w:cs="Arial"/>
          <w:b w:val="0"/>
          <w:lang w:val="es-ES_tradnl"/>
        </w:rPr>
        <w:t xml:space="preserve"> por la Dra. Ximena Pinto Nerón; de dicho informe surge que el A</w:t>
      </w:r>
      <w:r w:rsidR="00CD7668">
        <w:rPr>
          <w:rFonts w:ascii="Arial" w:hAnsi="Arial" w:cs="Arial"/>
          <w:b w:val="0"/>
          <w:lang w:val="es-ES_tradnl"/>
        </w:rPr>
        <w:t>rtículo</w:t>
      </w:r>
      <w:r w:rsidR="005E6947">
        <w:rPr>
          <w:rFonts w:ascii="Arial" w:hAnsi="Arial" w:cs="Arial"/>
          <w:b w:val="0"/>
          <w:lang w:val="es-ES_tradnl"/>
        </w:rPr>
        <w:t xml:space="preserve"> 150 del TOCAF crea la Agencia de Compras y Contrataciones del Estado (ACCE) y, entre sus cometidos, establece el de desarrollar y aplicar el catálogo común de bienes y servicios adecuados para el intercambio de información entre organismos públicos, lo que se relaciona directamente  con la “tienda virtual” donde lucirán las propuestas que quienes resulten adjudicatarios; y, al respecto, concluye que el Poder Ejecutivo no puede, por vía reglamentaria, establecer la posibilidad de autorizar a cualquier Administración Pública estatal para llevar adelante un cometido que una norma legal le atribuyó a un órgano desconcentrado;</w:t>
      </w:r>
    </w:p>
    <w:p w:rsidR="00F71D2F" w:rsidRDefault="00F71D2F" w:rsidP="00CD7668">
      <w:pPr>
        <w:spacing w:line="360" w:lineRule="auto"/>
        <w:ind w:firstLine="2977"/>
        <w:jc w:val="both"/>
        <w:rPr>
          <w:rFonts w:ascii="Arial" w:hAnsi="Arial" w:cs="Arial"/>
          <w:b w:val="0"/>
          <w:lang w:val="es-ES_tradnl"/>
        </w:rPr>
      </w:pPr>
      <w:r>
        <w:rPr>
          <w:rFonts w:ascii="Arial" w:hAnsi="Arial" w:cs="Arial"/>
          <w:lang w:val="es-ES_tradnl"/>
        </w:rPr>
        <w:t xml:space="preserve">3) </w:t>
      </w:r>
      <w:r w:rsidR="00DB1252" w:rsidRPr="00DB1252">
        <w:rPr>
          <w:rFonts w:ascii="Arial" w:hAnsi="Arial" w:cs="Arial"/>
          <w:b w:val="0"/>
          <w:lang w:val="es-ES_tradnl"/>
        </w:rPr>
        <w:t>que m</w:t>
      </w:r>
      <w:r w:rsidRPr="00DB1252">
        <w:rPr>
          <w:rFonts w:ascii="Arial" w:hAnsi="Arial" w:cs="Arial"/>
          <w:b w:val="0"/>
          <w:lang w:val="es-ES_tradnl"/>
        </w:rPr>
        <w:t>ediante Decreto Nº 42/015,</w:t>
      </w:r>
      <w:r w:rsidRPr="002A093B">
        <w:rPr>
          <w:rFonts w:ascii="Arial" w:hAnsi="Arial" w:cs="Arial"/>
          <w:b w:val="0"/>
          <w:lang w:val="es-ES_tradnl"/>
        </w:rPr>
        <w:t xml:space="preserve"> de fecha 27 de enero de 2015, el Poder Ejecutivo reglamentó el procedimiento de Convenios Marco</w:t>
      </w:r>
      <w:r w:rsidR="00DB1252">
        <w:rPr>
          <w:rFonts w:ascii="Arial" w:hAnsi="Arial" w:cs="Arial"/>
          <w:b w:val="0"/>
          <w:lang w:val="es-ES_tradnl"/>
        </w:rPr>
        <w:t xml:space="preserve">; </w:t>
      </w:r>
    </w:p>
    <w:p w:rsidR="00CD7668" w:rsidRDefault="00F71D2F" w:rsidP="00CD7668">
      <w:pPr>
        <w:spacing w:line="360" w:lineRule="auto"/>
        <w:ind w:firstLine="2977"/>
        <w:jc w:val="both"/>
        <w:rPr>
          <w:rFonts w:ascii="Arial" w:hAnsi="Arial" w:cs="Arial"/>
          <w:b w:val="0"/>
          <w:lang w:val="es-ES_tradnl"/>
        </w:rPr>
      </w:pPr>
      <w:r w:rsidRPr="00570833">
        <w:rPr>
          <w:rFonts w:ascii="Arial" w:hAnsi="Arial" w:cs="Arial"/>
          <w:lang w:val="es-ES_tradnl"/>
        </w:rPr>
        <w:t>4)</w:t>
      </w:r>
      <w:r>
        <w:rPr>
          <w:rFonts w:ascii="Arial" w:hAnsi="Arial" w:cs="Arial"/>
          <w:b w:val="0"/>
          <w:lang w:val="es-ES_tradnl"/>
        </w:rPr>
        <w:t xml:space="preserve"> </w:t>
      </w:r>
      <w:r w:rsidR="00DB1252">
        <w:rPr>
          <w:rFonts w:ascii="Arial" w:hAnsi="Arial" w:cs="Arial"/>
          <w:b w:val="0"/>
          <w:lang w:val="es-ES_tradnl"/>
        </w:rPr>
        <w:t>que e</w:t>
      </w:r>
      <w:r>
        <w:rPr>
          <w:rFonts w:ascii="Arial" w:hAnsi="Arial" w:cs="Arial"/>
          <w:b w:val="0"/>
          <w:lang w:val="es-ES_tradnl"/>
        </w:rPr>
        <w:t xml:space="preserve">n el marco del presente procedimiento corresponde hacer referencia a lo preceptuado por </w:t>
      </w:r>
      <w:r w:rsidRPr="00DB1252">
        <w:rPr>
          <w:rFonts w:ascii="Arial" w:hAnsi="Arial" w:cs="Arial"/>
          <w:b w:val="0"/>
          <w:lang w:val="es-ES_tradnl"/>
        </w:rPr>
        <w:t xml:space="preserve">el Artículo 3 (Unidad Administradora del Convenio Marco) y Artículo 4 del Decreto Nº 42/015. El Artículo 3 señala: “A la entidad que desarrolla el Convenio Marco se le denomina Unidad Administradora del Convenio Marco (…). Es competencia de la Unidad Administradora: </w:t>
      </w:r>
    </w:p>
    <w:p w:rsidR="00CD7668" w:rsidRDefault="00F71D2F" w:rsidP="00CD7668">
      <w:pPr>
        <w:spacing w:line="360" w:lineRule="auto"/>
        <w:jc w:val="both"/>
        <w:rPr>
          <w:rFonts w:ascii="Arial" w:hAnsi="Arial" w:cs="Arial"/>
          <w:b w:val="0"/>
          <w:lang w:val="es-ES_tradnl"/>
        </w:rPr>
      </w:pPr>
      <w:r w:rsidRPr="00DB1252">
        <w:rPr>
          <w:rFonts w:ascii="Arial" w:hAnsi="Arial" w:cs="Arial"/>
          <w:b w:val="0"/>
          <w:lang w:val="es-ES_tradnl"/>
        </w:rPr>
        <w:t>a) realizar el estudio de mercado previo a</w:t>
      </w:r>
      <w:r w:rsidR="00DB1252" w:rsidRPr="00DB1252">
        <w:rPr>
          <w:rFonts w:ascii="Arial" w:hAnsi="Arial" w:cs="Arial"/>
          <w:b w:val="0"/>
          <w:lang w:val="es-ES_tradnl"/>
        </w:rPr>
        <w:t xml:space="preserve">l desarrollo del Convenio Marco; </w:t>
      </w:r>
    </w:p>
    <w:p w:rsidR="00CD7668" w:rsidRDefault="00F71D2F" w:rsidP="00CD7668">
      <w:pPr>
        <w:spacing w:line="360" w:lineRule="auto"/>
        <w:jc w:val="both"/>
        <w:rPr>
          <w:rFonts w:ascii="Arial" w:hAnsi="Arial" w:cs="Arial"/>
          <w:b w:val="0"/>
          <w:lang w:val="es-ES_tradnl"/>
        </w:rPr>
      </w:pPr>
      <w:r w:rsidRPr="00DB1252">
        <w:rPr>
          <w:rFonts w:ascii="Arial" w:hAnsi="Arial" w:cs="Arial"/>
          <w:b w:val="0"/>
          <w:lang w:val="es-ES_tradnl"/>
        </w:rPr>
        <w:t>b) redactar las condicio</w:t>
      </w:r>
      <w:r w:rsidR="00DB1252" w:rsidRPr="00DB1252">
        <w:rPr>
          <w:rFonts w:ascii="Arial" w:hAnsi="Arial" w:cs="Arial"/>
          <w:b w:val="0"/>
          <w:lang w:val="es-ES_tradnl"/>
        </w:rPr>
        <w:t xml:space="preserve">nes de los pliegos particulares; </w:t>
      </w:r>
    </w:p>
    <w:p w:rsidR="00CD7668" w:rsidRDefault="00F71D2F" w:rsidP="00CD7668">
      <w:pPr>
        <w:spacing w:line="360" w:lineRule="auto"/>
        <w:jc w:val="both"/>
        <w:rPr>
          <w:rFonts w:ascii="Arial" w:hAnsi="Arial" w:cs="Arial"/>
          <w:b w:val="0"/>
          <w:lang w:val="es-ES_tradnl"/>
        </w:rPr>
      </w:pPr>
      <w:r w:rsidRPr="00DB1252">
        <w:rPr>
          <w:rFonts w:ascii="Arial" w:hAnsi="Arial" w:cs="Arial"/>
          <w:b w:val="0"/>
          <w:lang w:val="es-ES_tradnl"/>
        </w:rPr>
        <w:lastRenderedPageBreak/>
        <w:t xml:space="preserve">c) dar </w:t>
      </w:r>
      <w:r w:rsidR="00DB1252" w:rsidRPr="00DB1252">
        <w:rPr>
          <w:rFonts w:ascii="Arial" w:hAnsi="Arial" w:cs="Arial"/>
          <w:b w:val="0"/>
          <w:lang w:val="es-ES_tradnl"/>
        </w:rPr>
        <w:t xml:space="preserve">publicidad al llamado a cotizar; </w:t>
      </w:r>
    </w:p>
    <w:p w:rsidR="00CD7668" w:rsidRDefault="00F71D2F" w:rsidP="00CD7668">
      <w:pPr>
        <w:spacing w:line="360" w:lineRule="auto"/>
        <w:jc w:val="both"/>
        <w:rPr>
          <w:rFonts w:ascii="Arial" w:hAnsi="Arial" w:cs="Arial"/>
          <w:b w:val="0"/>
          <w:lang w:val="es-ES_tradnl"/>
        </w:rPr>
      </w:pPr>
      <w:r w:rsidRPr="00DB1252">
        <w:rPr>
          <w:rFonts w:ascii="Arial" w:hAnsi="Arial" w:cs="Arial"/>
          <w:b w:val="0"/>
          <w:lang w:val="es-ES_tradnl"/>
        </w:rPr>
        <w:t xml:space="preserve">d) recibir, </w:t>
      </w:r>
      <w:r w:rsidR="00DB1252" w:rsidRPr="00DB1252">
        <w:rPr>
          <w:rFonts w:ascii="Arial" w:hAnsi="Arial" w:cs="Arial"/>
          <w:b w:val="0"/>
          <w:lang w:val="es-ES_tradnl"/>
        </w:rPr>
        <w:t xml:space="preserve">evaluar y calificar las ofertas; </w:t>
      </w:r>
    </w:p>
    <w:p w:rsidR="00F71D2F" w:rsidRPr="001A5364" w:rsidRDefault="00F71D2F" w:rsidP="00CD7668">
      <w:pPr>
        <w:spacing w:line="360" w:lineRule="auto"/>
        <w:jc w:val="both"/>
        <w:rPr>
          <w:rFonts w:ascii="Arial" w:hAnsi="Arial" w:cs="Arial"/>
          <w:b w:val="0"/>
          <w:i/>
          <w:lang w:val="es-ES_tradnl"/>
        </w:rPr>
      </w:pPr>
      <w:r w:rsidRPr="00DB1252">
        <w:rPr>
          <w:rFonts w:ascii="Arial" w:hAnsi="Arial" w:cs="Arial"/>
          <w:b w:val="0"/>
          <w:lang w:val="es-ES_tradnl"/>
        </w:rPr>
        <w:t xml:space="preserve">e) </w:t>
      </w:r>
      <w:proofErr w:type="gramStart"/>
      <w:r w:rsidRPr="00DB1252">
        <w:rPr>
          <w:rFonts w:ascii="Arial" w:hAnsi="Arial" w:cs="Arial"/>
          <w:b w:val="0"/>
          <w:lang w:val="es-ES_tradnl"/>
        </w:rPr>
        <w:t>adjudicar</w:t>
      </w:r>
      <w:proofErr w:type="gramEnd"/>
      <w:r w:rsidRPr="00DB1252">
        <w:rPr>
          <w:rFonts w:ascii="Arial" w:hAnsi="Arial" w:cs="Arial"/>
          <w:b w:val="0"/>
          <w:lang w:val="es-ES_tradnl"/>
        </w:rPr>
        <w:t xml:space="preserve"> las ofertas que se ajusten a las exigencias del Convenio Marco”</w:t>
      </w:r>
      <w:r w:rsidR="00DB1252">
        <w:rPr>
          <w:rFonts w:ascii="Arial" w:hAnsi="Arial" w:cs="Arial"/>
          <w:b w:val="0"/>
          <w:lang w:val="es-ES_tradnl"/>
        </w:rPr>
        <w:t xml:space="preserve">; </w:t>
      </w:r>
    </w:p>
    <w:p w:rsidR="00F71D2F" w:rsidRPr="007B13D6" w:rsidRDefault="007B13D6" w:rsidP="00CD7668">
      <w:pPr>
        <w:spacing w:line="360" w:lineRule="auto"/>
        <w:ind w:firstLine="2977"/>
        <w:jc w:val="both"/>
        <w:rPr>
          <w:rFonts w:ascii="Arial" w:hAnsi="Arial" w:cs="Arial"/>
          <w:b w:val="0"/>
          <w:lang w:val="es-ES_tradnl"/>
        </w:rPr>
      </w:pPr>
      <w:r w:rsidRPr="007B13D6">
        <w:rPr>
          <w:rFonts w:ascii="Arial" w:hAnsi="Arial" w:cs="Arial"/>
          <w:lang w:val="es-ES_tradnl"/>
        </w:rPr>
        <w:t>5)</w:t>
      </w:r>
      <w:r w:rsidRPr="007B13D6">
        <w:rPr>
          <w:rFonts w:ascii="Arial" w:hAnsi="Arial" w:cs="Arial"/>
          <w:b w:val="0"/>
          <w:lang w:val="es-ES_tradnl"/>
        </w:rPr>
        <w:t xml:space="preserve"> que r</w:t>
      </w:r>
      <w:r w:rsidR="00F71D2F" w:rsidRPr="007B13D6">
        <w:rPr>
          <w:rFonts w:ascii="Arial" w:hAnsi="Arial" w:cs="Arial"/>
          <w:b w:val="0"/>
          <w:lang w:val="es-ES_tradnl"/>
        </w:rPr>
        <w:t xml:space="preserve">especto al Artículo 4 el mismo </w:t>
      </w:r>
      <w:r w:rsidR="00D8650E">
        <w:rPr>
          <w:rFonts w:ascii="Arial" w:hAnsi="Arial" w:cs="Arial"/>
          <w:b w:val="0"/>
          <w:lang w:val="es-ES_tradnl"/>
        </w:rPr>
        <w:t>reza</w:t>
      </w:r>
      <w:r w:rsidR="00F71D2F" w:rsidRPr="007B13D6">
        <w:rPr>
          <w:rFonts w:ascii="Arial" w:hAnsi="Arial" w:cs="Arial"/>
          <w:b w:val="0"/>
          <w:lang w:val="es-ES_tradnl"/>
        </w:rPr>
        <w:t>: “Todas las Administraciones Públicas Estatales podrán proponer el desarrollo de un Convenio Marco postulándose como Unidad Administradora. El Poder Ejecutivo autorizará la realización del Convenio Marc</w:t>
      </w:r>
      <w:r w:rsidR="00723686">
        <w:rPr>
          <w:rFonts w:ascii="Arial" w:hAnsi="Arial" w:cs="Arial"/>
          <w:b w:val="0"/>
          <w:lang w:val="es-ES_tradnl"/>
        </w:rPr>
        <w:t xml:space="preserve">o con el asesoramiento de ACCE”; </w:t>
      </w:r>
    </w:p>
    <w:p w:rsidR="00F71D2F" w:rsidRPr="00EE2FE5" w:rsidRDefault="00C40493" w:rsidP="008B6273">
      <w:pPr>
        <w:spacing w:line="360" w:lineRule="auto"/>
        <w:ind w:firstLine="2977"/>
        <w:jc w:val="both"/>
        <w:rPr>
          <w:rFonts w:ascii="Arial" w:hAnsi="Arial" w:cs="Arial"/>
          <w:b w:val="0"/>
          <w:lang w:val="es-ES_tradnl"/>
        </w:rPr>
      </w:pPr>
      <w:r w:rsidRPr="00C40493">
        <w:rPr>
          <w:rFonts w:ascii="Arial" w:hAnsi="Arial" w:cs="Arial"/>
          <w:lang w:val="es-ES_tradnl"/>
        </w:rPr>
        <w:t>6</w:t>
      </w:r>
      <w:r w:rsidR="00F85196" w:rsidRPr="007B13D6">
        <w:rPr>
          <w:rFonts w:ascii="Arial" w:hAnsi="Arial" w:cs="Arial"/>
          <w:lang w:val="es-ES_tradnl"/>
        </w:rPr>
        <w:t>)</w:t>
      </w:r>
      <w:r w:rsidR="00F85196" w:rsidRPr="007B13D6">
        <w:rPr>
          <w:rFonts w:ascii="Arial" w:hAnsi="Arial" w:cs="Arial"/>
          <w:b w:val="0"/>
          <w:lang w:val="es-ES_tradnl"/>
        </w:rPr>
        <w:t xml:space="preserve"> que</w:t>
      </w:r>
      <w:r>
        <w:rPr>
          <w:rFonts w:ascii="Arial" w:hAnsi="Arial" w:cs="Arial"/>
          <w:b w:val="0"/>
          <w:lang w:val="es-ES_tradnl"/>
        </w:rPr>
        <w:t xml:space="preserve">, tal como se señaló en el informe de la </w:t>
      </w:r>
      <w:r w:rsidR="008B6273">
        <w:rPr>
          <w:rFonts w:ascii="Arial" w:hAnsi="Arial" w:cs="Arial"/>
          <w:b w:val="0"/>
          <w:lang w:val="es-ES_tradnl"/>
        </w:rPr>
        <w:t xml:space="preserve">                </w:t>
      </w:r>
      <w:r>
        <w:rPr>
          <w:rFonts w:ascii="Arial" w:hAnsi="Arial" w:cs="Arial"/>
          <w:b w:val="0"/>
          <w:lang w:val="es-ES_tradnl"/>
        </w:rPr>
        <w:t>Dra. Pinto, hecho suyo por este tribunal,</w:t>
      </w:r>
      <w:r w:rsidR="00F85196">
        <w:rPr>
          <w:rFonts w:ascii="Arial" w:hAnsi="Arial" w:cs="Arial"/>
          <w:b w:val="0"/>
          <w:lang w:val="es-ES_tradnl"/>
        </w:rPr>
        <w:t xml:space="preserve"> </w:t>
      </w:r>
      <w:r w:rsidR="00F71D2F">
        <w:rPr>
          <w:rFonts w:ascii="Arial" w:hAnsi="Arial" w:cs="Arial"/>
          <w:b w:val="0"/>
          <w:lang w:val="es-ES_tradnl"/>
        </w:rPr>
        <w:t xml:space="preserve">el Poder Ejecutivo no puede por vía reglamentaria autorizar a cualquier Administración Pública Estatal para llevar adelante un cometido que </w:t>
      </w:r>
      <w:r w:rsidR="00F71D2F" w:rsidRPr="006947DD">
        <w:rPr>
          <w:rFonts w:ascii="Arial" w:hAnsi="Arial" w:cs="Arial"/>
          <w:b w:val="0"/>
          <w:lang w:val="es-ES_tradnl"/>
        </w:rPr>
        <w:t xml:space="preserve">una </w:t>
      </w:r>
      <w:r w:rsidR="00F71D2F" w:rsidRPr="00F85196">
        <w:rPr>
          <w:rFonts w:ascii="Arial" w:hAnsi="Arial" w:cs="Arial"/>
          <w:b w:val="0"/>
          <w:lang w:val="es-ES_tradnl"/>
        </w:rPr>
        <w:t>norma legal</w:t>
      </w:r>
      <w:r w:rsidR="00F71D2F">
        <w:rPr>
          <w:rFonts w:ascii="Arial" w:hAnsi="Arial" w:cs="Arial"/>
          <w:b w:val="0"/>
          <w:lang w:val="es-ES_tradnl"/>
        </w:rPr>
        <w:t xml:space="preserve"> l</w:t>
      </w:r>
      <w:r w:rsidR="00632AA7">
        <w:rPr>
          <w:rFonts w:ascii="Arial" w:hAnsi="Arial" w:cs="Arial"/>
          <w:b w:val="0"/>
          <w:lang w:val="es-ES_tradnl"/>
        </w:rPr>
        <w:t>e</w:t>
      </w:r>
      <w:r w:rsidR="00F71D2F">
        <w:rPr>
          <w:rFonts w:ascii="Arial" w:hAnsi="Arial" w:cs="Arial"/>
          <w:b w:val="0"/>
          <w:lang w:val="es-ES_tradnl"/>
        </w:rPr>
        <w:t xml:space="preserve"> atribuyó a un órgano desconcentrado dentro del sistema orgánico Poder Ejecutivo. </w:t>
      </w:r>
      <w:r w:rsidR="00632AA7">
        <w:rPr>
          <w:rFonts w:ascii="Arial" w:hAnsi="Arial" w:cs="Arial"/>
          <w:b w:val="0"/>
          <w:lang w:val="es-ES_tradnl"/>
        </w:rPr>
        <w:t xml:space="preserve">Siguiendo el dictamen aprobado por este Tribunal en Sesión de fecha 22 de octubre de 2014, corresponde destacar que: </w:t>
      </w:r>
      <w:r w:rsidR="00F71D2F" w:rsidRPr="007D24B2">
        <w:rPr>
          <w:rFonts w:ascii="Arial" w:hAnsi="Arial" w:cs="Arial"/>
          <w:b w:val="0"/>
          <w:lang w:val="es-ES_tradnl"/>
        </w:rPr>
        <w:t xml:space="preserve">“la creación de la ACCE configura un caso de desconcentración privativa, lo que implica que, en principio, este órgano priva al jerarca de actuar en el ámbito de los cometidos que le fueron asignados”. Es así, que surge del </w:t>
      </w:r>
      <w:r>
        <w:rPr>
          <w:rFonts w:ascii="Arial" w:hAnsi="Arial" w:cs="Arial"/>
          <w:b w:val="0"/>
          <w:lang w:val="es-ES_tradnl"/>
        </w:rPr>
        <w:t>dictamen</w:t>
      </w:r>
      <w:r w:rsidR="00F71D2F" w:rsidRPr="007D24B2">
        <w:rPr>
          <w:rFonts w:ascii="Arial" w:hAnsi="Arial" w:cs="Arial"/>
          <w:b w:val="0"/>
          <w:lang w:val="es-ES_tradnl"/>
        </w:rPr>
        <w:t xml:space="preserve"> referido que “Las autorizaciones únicamente son otorgadas en consonancia con las disposiciones imperantes en el ordenamiento jurídico nacional, siendo que en el</w:t>
      </w:r>
      <w:r w:rsidR="00632AA7">
        <w:rPr>
          <w:rFonts w:ascii="Arial" w:hAnsi="Arial" w:cs="Arial"/>
          <w:b w:val="0"/>
          <w:lang w:val="es-ES_tradnl"/>
        </w:rPr>
        <w:t xml:space="preserve"> caso, el Poder Ejecutivo no pu</w:t>
      </w:r>
      <w:r w:rsidR="00F71D2F" w:rsidRPr="007D24B2">
        <w:rPr>
          <w:rFonts w:ascii="Arial" w:hAnsi="Arial" w:cs="Arial"/>
          <w:b w:val="0"/>
          <w:lang w:val="es-ES_tradnl"/>
        </w:rPr>
        <w:t>do otorgar una autorización como la que se pretende, amparándose en un</w:t>
      </w:r>
      <w:r w:rsidR="00632AA7">
        <w:rPr>
          <w:rFonts w:ascii="Arial" w:hAnsi="Arial" w:cs="Arial"/>
          <w:b w:val="0"/>
          <w:lang w:val="es-ES_tradnl"/>
        </w:rPr>
        <w:t>a</w:t>
      </w:r>
      <w:r w:rsidR="00F71D2F" w:rsidRPr="007D24B2">
        <w:rPr>
          <w:rFonts w:ascii="Arial" w:hAnsi="Arial" w:cs="Arial"/>
          <w:b w:val="0"/>
          <w:lang w:val="es-ES_tradnl"/>
        </w:rPr>
        <w:t xml:space="preserve"> norma reglamentaria que, de dictarse como se proyecta, contravendrá una disposición de rango legal, tal como es el Artículo 151 del T.O.C.A.F.”</w:t>
      </w:r>
      <w:r w:rsidR="007D24B2">
        <w:rPr>
          <w:rFonts w:ascii="Arial" w:hAnsi="Arial" w:cs="Arial"/>
          <w:b w:val="0"/>
          <w:lang w:val="es-ES_tradnl"/>
        </w:rPr>
        <w:t xml:space="preserve">; </w:t>
      </w:r>
    </w:p>
    <w:p w:rsidR="007112F6" w:rsidRDefault="00C40493" w:rsidP="008B6273">
      <w:pPr>
        <w:spacing w:line="360" w:lineRule="auto"/>
        <w:ind w:firstLine="2977"/>
        <w:jc w:val="both"/>
        <w:rPr>
          <w:rFonts w:cs="Arial"/>
          <w:b w:val="0"/>
          <w:bCs/>
        </w:rPr>
      </w:pPr>
      <w:r>
        <w:rPr>
          <w:rFonts w:ascii="Arial" w:hAnsi="Arial" w:cs="Arial"/>
          <w:lang w:val="es-ES_tradnl"/>
        </w:rPr>
        <w:t>7</w:t>
      </w:r>
      <w:r w:rsidR="007D24B2" w:rsidRPr="007B13D6">
        <w:rPr>
          <w:rFonts w:ascii="Arial" w:hAnsi="Arial" w:cs="Arial"/>
          <w:lang w:val="es-ES_tradnl"/>
        </w:rPr>
        <w:t>)</w:t>
      </w:r>
      <w:r w:rsidR="007D24B2" w:rsidRPr="007B13D6">
        <w:rPr>
          <w:rFonts w:ascii="Arial" w:hAnsi="Arial" w:cs="Arial"/>
          <w:b w:val="0"/>
          <w:lang w:val="es-ES_tradnl"/>
        </w:rPr>
        <w:t xml:space="preserve"> que</w:t>
      </w:r>
      <w:r>
        <w:rPr>
          <w:rFonts w:ascii="Arial" w:hAnsi="Arial" w:cs="Arial"/>
          <w:b w:val="0"/>
          <w:lang w:val="es-ES_tradnl"/>
        </w:rPr>
        <w:t>,</w:t>
      </w:r>
      <w:r w:rsidR="002C219A">
        <w:rPr>
          <w:rFonts w:ascii="Arial" w:hAnsi="Arial" w:cs="Arial"/>
          <w:b w:val="0"/>
          <w:lang w:val="es-ES_tradnl"/>
        </w:rPr>
        <w:t xml:space="preserve"> </w:t>
      </w:r>
      <w:r w:rsidR="007D24B2">
        <w:rPr>
          <w:rFonts w:ascii="Arial" w:hAnsi="Arial" w:cs="Arial"/>
          <w:b w:val="0"/>
          <w:lang w:val="es-ES_tradnl"/>
        </w:rPr>
        <w:t xml:space="preserve">teniendo presente las consideraciones efectuadas, corresponde </w:t>
      </w:r>
      <w:r w:rsidR="00632AA7">
        <w:rPr>
          <w:rFonts w:ascii="Arial" w:hAnsi="Arial" w:cs="Arial"/>
          <w:b w:val="0"/>
          <w:lang w:val="es-ES_tradnl"/>
        </w:rPr>
        <w:t>concluir</w:t>
      </w:r>
      <w:r w:rsidR="007D24B2">
        <w:rPr>
          <w:rFonts w:ascii="Arial" w:hAnsi="Arial" w:cs="Arial"/>
          <w:b w:val="0"/>
          <w:lang w:val="es-ES_tradnl"/>
        </w:rPr>
        <w:t xml:space="preserve"> que el presente procedimiento </w:t>
      </w:r>
      <w:r w:rsidR="00EB1A38">
        <w:rPr>
          <w:rFonts w:ascii="Arial" w:hAnsi="Arial" w:cs="Arial"/>
          <w:b w:val="0"/>
          <w:lang w:val="es-ES_tradnl"/>
        </w:rPr>
        <w:t xml:space="preserve">se ve afectado por la observación señalada; </w:t>
      </w:r>
    </w:p>
    <w:p w:rsidR="000F1545" w:rsidRDefault="000F1545" w:rsidP="008B6273">
      <w:pPr>
        <w:pStyle w:val="Ttulo2"/>
        <w:spacing w:line="360" w:lineRule="auto"/>
        <w:ind w:firstLine="851"/>
        <w:jc w:val="both"/>
        <w:rPr>
          <w:b w:val="0"/>
          <w:bCs/>
          <w:lang w:val="es-UY"/>
        </w:rPr>
      </w:pPr>
      <w:r>
        <w:rPr>
          <w:lang w:val="es-UY"/>
        </w:rPr>
        <w:t xml:space="preserve">ATENTO: </w:t>
      </w:r>
      <w:r>
        <w:rPr>
          <w:b w:val="0"/>
          <w:bCs/>
          <w:lang w:val="es-UY"/>
        </w:rPr>
        <w:t>a lo precedentemente expuesto;</w:t>
      </w:r>
    </w:p>
    <w:p w:rsidR="00584138" w:rsidRDefault="006C73F3" w:rsidP="00FE122C">
      <w:pPr>
        <w:pStyle w:val="Sangra2detindependiente"/>
        <w:ind w:left="0"/>
        <w:jc w:val="both"/>
        <w:rPr>
          <w:rFonts w:cs="Arial"/>
          <w:b w:val="0"/>
          <w:bCs w:val="0"/>
        </w:rPr>
      </w:pPr>
      <w:r>
        <w:rPr>
          <w:rFonts w:cs="Arial"/>
          <w:b w:val="0"/>
          <w:bCs w:val="0"/>
        </w:rPr>
        <w:t xml:space="preserve"> </w:t>
      </w:r>
    </w:p>
    <w:p w:rsidR="008B6273" w:rsidRPr="00FE122C" w:rsidRDefault="008B6273" w:rsidP="00FE122C">
      <w:pPr>
        <w:pStyle w:val="Sangra2detindependiente"/>
        <w:ind w:left="0"/>
        <w:jc w:val="both"/>
        <w:rPr>
          <w:rFonts w:cs="Arial"/>
          <w:b w:val="0"/>
          <w:bCs w:val="0"/>
        </w:rPr>
      </w:pPr>
    </w:p>
    <w:p w:rsidR="00584138" w:rsidRDefault="00584138" w:rsidP="00584138">
      <w:pPr>
        <w:pStyle w:val="Ttulo2"/>
        <w:spacing w:line="360" w:lineRule="auto"/>
        <w:rPr>
          <w:lang w:val="es-UY"/>
        </w:rPr>
      </w:pPr>
      <w:r>
        <w:rPr>
          <w:lang w:val="es-UY"/>
        </w:rPr>
        <w:lastRenderedPageBreak/>
        <w:t>EL TRIBUNAL ACUERDA</w:t>
      </w:r>
    </w:p>
    <w:p w:rsidR="007112F6" w:rsidRDefault="008B6273" w:rsidP="008B6273">
      <w:pPr>
        <w:pStyle w:val="Sangra2detindependiente"/>
        <w:ind w:left="0"/>
        <w:jc w:val="both"/>
        <w:rPr>
          <w:rFonts w:cs="Arial"/>
          <w:b w:val="0"/>
          <w:bCs w:val="0"/>
        </w:rPr>
      </w:pPr>
      <w:r>
        <w:rPr>
          <w:rFonts w:cs="Arial"/>
          <w:bCs w:val="0"/>
        </w:rPr>
        <w:t xml:space="preserve">1) </w:t>
      </w:r>
      <w:r w:rsidR="00FE122C">
        <w:rPr>
          <w:rFonts w:cs="Arial"/>
          <w:b w:val="0"/>
          <w:bCs w:val="0"/>
        </w:rPr>
        <w:t xml:space="preserve">Observar el </w:t>
      </w:r>
      <w:r w:rsidR="000D2D79">
        <w:rPr>
          <w:rFonts w:cs="Arial"/>
          <w:b w:val="0"/>
          <w:bCs w:val="0"/>
        </w:rPr>
        <w:t xml:space="preserve">procedimiento de </w:t>
      </w:r>
      <w:r>
        <w:rPr>
          <w:rFonts w:cs="Arial"/>
          <w:b w:val="0"/>
          <w:bCs w:val="0"/>
        </w:rPr>
        <w:t>Convenio Marco;</w:t>
      </w:r>
    </w:p>
    <w:p w:rsidR="00FE122C" w:rsidRDefault="008B6273" w:rsidP="008B6273">
      <w:pPr>
        <w:pStyle w:val="Sangra2detindependiente"/>
        <w:ind w:left="0"/>
        <w:jc w:val="both"/>
        <w:rPr>
          <w:rFonts w:cs="Arial"/>
          <w:b w:val="0"/>
          <w:bCs w:val="0"/>
        </w:rPr>
      </w:pPr>
      <w:r w:rsidRPr="008B6273">
        <w:rPr>
          <w:rFonts w:cs="Arial"/>
          <w:bCs w:val="0"/>
        </w:rPr>
        <w:t>2)</w:t>
      </w:r>
      <w:r>
        <w:rPr>
          <w:rFonts w:cs="Arial"/>
          <w:b w:val="0"/>
          <w:bCs w:val="0"/>
        </w:rPr>
        <w:t xml:space="preserve"> </w:t>
      </w:r>
      <w:r w:rsidR="00F26E58">
        <w:rPr>
          <w:rFonts w:cs="Arial"/>
          <w:b w:val="0"/>
          <w:bCs w:val="0"/>
        </w:rPr>
        <w:t>Devolver las actuaciones.</w:t>
      </w:r>
    </w:p>
    <w:p w:rsidR="008B6273" w:rsidRDefault="008B6273" w:rsidP="008B6273">
      <w:pPr>
        <w:pStyle w:val="Sangra2detindependiente"/>
        <w:ind w:left="0"/>
        <w:jc w:val="both"/>
        <w:rPr>
          <w:rFonts w:cs="Arial"/>
          <w:b w:val="0"/>
          <w:bCs w:val="0"/>
        </w:rPr>
      </w:pPr>
    </w:p>
    <w:p w:rsidR="008B6273" w:rsidRDefault="008B6273" w:rsidP="008B6273">
      <w:pPr>
        <w:pStyle w:val="Sangra2detindependiente"/>
        <w:ind w:left="0"/>
        <w:jc w:val="both"/>
        <w:rPr>
          <w:rFonts w:cs="Arial"/>
          <w:b w:val="0"/>
          <w:bCs w:val="0"/>
        </w:rPr>
      </w:pPr>
      <w:proofErr w:type="spellStart"/>
      <w:proofErr w:type="gramStart"/>
      <w:r>
        <w:rPr>
          <w:rFonts w:cs="Arial"/>
          <w:b w:val="0"/>
          <w:bCs w:val="0"/>
        </w:rPr>
        <w:t>ag</w:t>
      </w:r>
      <w:proofErr w:type="spellEnd"/>
      <w:proofErr w:type="gramEnd"/>
    </w:p>
    <w:p w:rsidR="00E271EE" w:rsidRPr="007112F6" w:rsidRDefault="00E271EE" w:rsidP="003C5FC1">
      <w:pPr>
        <w:pStyle w:val="Ttulo"/>
        <w:jc w:val="both"/>
        <w:rPr>
          <w:b w:val="0"/>
          <w:bCs/>
          <w:u w:val="none"/>
          <w:lang w:val="es-ES_tradnl"/>
        </w:rPr>
      </w:pPr>
    </w:p>
    <w:sectPr w:rsidR="00E271EE" w:rsidRPr="007112F6" w:rsidSect="0083237D">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C8" w:rsidRDefault="00EB62C8" w:rsidP="00924890">
      <w:r>
        <w:separator/>
      </w:r>
    </w:p>
  </w:endnote>
  <w:endnote w:type="continuationSeparator" w:id="0">
    <w:p w:rsidR="00EB62C8" w:rsidRDefault="00EB62C8"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50397"/>
      <w:docPartObj>
        <w:docPartGallery w:val="Page Numbers (Bottom of Page)"/>
        <w:docPartUnique/>
      </w:docPartObj>
    </w:sdtPr>
    <w:sdtEndPr/>
    <w:sdtContent>
      <w:p w:rsidR="00EB62C8" w:rsidRDefault="00EB62C8">
        <w:pPr>
          <w:pStyle w:val="Piedepgina"/>
          <w:jc w:val="center"/>
        </w:pPr>
        <w:r>
          <w:fldChar w:fldCharType="begin"/>
        </w:r>
        <w:r>
          <w:instrText>PAGE   \* MERGEFORMAT</w:instrText>
        </w:r>
        <w:r>
          <w:fldChar w:fldCharType="separate"/>
        </w:r>
        <w:r w:rsidR="0083237D">
          <w:rPr>
            <w:noProof/>
          </w:rPr>
          <w:t>8</w:t>
        </w:r>
        <w:r>
          <w:fldChar w:fldCharType="end"/>
        </w:r>
      </w:p>
    </w:sdtContent>
  </w:sdt>
  <w:p w:rsidR="00EB62C8" w:rsidRDefault="00EB62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C8" w:rsidRDefault="00EB62C8" w:rsidP="00924890">
      <w:r>
        <w:separator/>
      </w:r>
    </w:p>
  </w:footnote>
  <w:footnote w:type="continuationSeparator" w:id="0">
    <w:p w:rsidR="00EB62C8" w:rsidRDefault="00EB62C8"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0DF"/>
    <w:multiLevelType w:val="hybridMultilevel"/>
    <w:tmpl w:val="C408EB08"/>
    <w:lvl w:ilvl="0" w:tplc="27F073F4">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
    <w:nsid w:val="05C74B85"/>
    <w:multiLevelType w:val="hybridMultilevel"/>
    <w:tmpl w:val="4704BD6A"/>
    <w:lvl w:ilvl="0" w:tplc="44A4D4A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B750F66"/>
    <w:multiLevelType w:val="hybridMultilevel"/>
    <w:tmpl w:val="B7E2E54C"/>
    <w:lvl w:ilvl="0" w:tplc="5B6A623E">
      <w:start w:val="2"/>
      <w:numFmt w:val="decimal"/>
      <w:lvlText w:val="%1)"/>
      <w:lvlJc w:val="left"/>
      <w:pPr>
        <w:ind w:left="840" w:hanging="360"/>
      </w:pPr>
      <w:rPr>
        <w:rFonts w:hint="default"/>
        <w:b/>
      </w:rPr>
    </w:lvl>
    <w:lvl w:ilvl="1" w:tplc="380A0019" w:tentative="1">
      <w:start w:val="1"/>
      <w:numFmt w:val="lowerLetter"/>
      <w:lvlText w:val="%2."/>
      <w:lvlJc w:val="left"/>
      <w:pPr>
        <w:ind w:left="1560" w:hanging="360"/>
      </w:pPr>
    </w:lvl>
    <w:lvl w:ilvl="2" w:tplc="380A001B" w:tentative="1">
      <w:start w:val="1"/>
      <w:numFmt w:val="lowerRoman"/>
      <w:lvlText w:val="%3."/>
      <w:lvlJc w:val="right"/>
      <w:pPr>
        <w:ind w:left="2280" w:hanging="180"/>
      </w:pPr>
    </w:lvl>
    <w:lvl w:ilvl="3" w:tplc="380A000F" w:tentative="1">
      <w:start w:val="1"/>
      <w:numFmt w:val="decimal"/>
      <w:lvlText w:val="%4."/>
      <w:lvlJc w:val="left"/>
      <w:pPr>
        <w:ind w:left="3000" w:hanging="360"/>
      </w:pPr>
    </w:lvl>
    <w:lvl w:ilvl="4" w:tplc="380A0019" w:tentative="1">
      <w:start w:val="1"/>
      <w:numFmt w:val="lowerLetter"/>
      <w:lvlText w:val="%5."/>
      <w:lvlJc w:val="left"/>
      <w:pPr>
        <w:ind w:left="3720" w:hanging="360"/>
      </w:pPr>
    </w:lvl>
    <w:lvl w:ilvl="5" w:tplc="380A001B" w:tentative="1">
      <w:start w:val="1"/>
      <w:numFmt w:val="lowerRoman"/>
      <w:lvlText w:val="%6."/>
      <w:lvlJc w:val="right"/>
      <w:pPr>
        <w:ind w:left="4440" w:hanging="180"/>
      </w:pPr>
    </w:lvl>
    <w:lvl w:ilvl="6" w:tplc="380A000F" w:tentative="1">
      <w:start w:val="1"/>
      <w:numFmt w:val="decimal"/>
      <w:lvlText w:val="%7."/>
      <w:lvlJc w:val="left"/>
      <w:pPr>
        <w:ind w:left="5160" w:hanging="360"/>
      </w:pPr>
    </w:lvl>
    <w:lvl w:ilvl="7" w:tplc="380A0019" w:tentative="1">
      <w:start w:val="1"/>
      <w:numFmt w:val="lowerLetter"/>
      <w:lvlText w:val="%8."/>
      <w:lvlJc w:val="left"/>
      <w:pPr>
        <w:ind w:left="5880" w:hanging="360"/>
      </w:pPr>
    </w:lvl>
    <w:lvl w:ilvl="8" w:tplc="380A001B" w:tentative="1">
      <w:start w:val="1"/>
      <w:numFmt w:val="lowerRoman"/>
      <w:lvlText w:val="%9."/>
      <w:lvlJc w:val="right"/>
      <w:pPr>
        <w:ind w:left="6600" w:hanging="180"/>
      </w:pPr>
    </w:lvl>
  </w:abstractNum>
  <w:abstractNum w:abstractNumId="3">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7257AF"/>
    <w:multiLevelType w:val="hybridMultilevel"/>
    <w:tmpl w:val="EB72F8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D3286F"/>
    <w:multiLevelType w:val="hybridMultilevel"/>
    <w:tmpl w:val="C05C2616"/>
    <w:lvl w:ilvl="0" w:tplc="91E0BAE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5CB3B95"/>
    <w:multiLevelType w:val="hybridMultilevel"/>
    <w:tmpl w:val="D8E43814"/>
    <w:lvl w:ilvl="0" w:tplc="50AC4238">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8">
    <w:nsid w:val="460902E9"/>
    <w:multiLevelType w:val="hybridMultilevel"/>
    <w:tmpl w:val="49CEC5FC"/>
    <w:lvl w:ilvl="0" w:tplc="10CA61F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4B641061"/>
    <w:multiLevelType w:val="hybridMultilevel"/>
    <w:tmpl w:val="FC3C45FE"/>
    <w:lvl w:ilvl="0" w:tplc="8760D83C">
      <w:start w:val="2"/>
      <w:numFmt w:val="bullet"/>
      <w:lvlText w:val="-"/>
      <w:lvlJc w:val="left"/>
      <w:pPr>
        <w:ind w:left="1074" w:hanging="360"/>
      </w:pPr>
      <w:rPr>
        <w:rFonts w:ascii="Arial" w:eastAsia="Times New Roman" w:hAnsi="Arial" w:cs="Arial"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0">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37267EA"/>
    <w:multiLevelType w:val="hybridMultilevel"/>
    <w:tmpl w:val="49F003CA"/>
    <w:lvl w:ilvl="0" w:tplc="B1EA01CC">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2">
    <w:nsid w:val="67032B71"/>
    <w:multiLevelType w:val="hybridMultilevel"/>
    <w:tmpl w:val="993AC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5849FC"/>
    <w:multiLevelType w:val="hybridMultilevel"/>
    <w:tmpl w:val="4F283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742001D"/>
    <w:multiLevelType w:val="hybridMultilevel"/>
    <w:tmpl w:val="1F849160"/>
    <w:lvl w:ilvl="0" w:tplc="3414513E">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78D13EC9"/>
    <w:multiLevelType w:val="hybridMultilevel"/>
    <w:tmpl w:val="EEC20AD6"/>
    <w:lvl w:ilvl="0" w:tplc="D1F676FA">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795D289B"/>
    <w:multiLevelType w:val="hybridMultilevel"/>
    <w:tmpl w:val="6B785A82"/>
    <w:lvl w:ilvl="0" w:tplc="CBCAA2D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676986"/>
    <w:multiLevelType w:val="hybridMultilevel"/>
    <w:tmpl w:val="0B6C6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14"/>
  </w:num>
  <w:num w:numId="5">
    <w:abstractNumId w:val="6"/>
  </w:num>
  <w:num w:numId="6">
    <w:abstractNumId w:val="12"/>
  </w:num>
  <w:num w:numId="7">
    <w:abstractNumId w:val="17"/>
  </w:num>
  <w:num w:numId="8">
    <w:abstractNumId w:val="15"/>
  </w:num>
  <w:num w:numId="9">
    <w:abstractNumId w:val="13"/>
  </w:num>
  <w:num w:numId="10">
    <w:abstractNumId w:val="8"/>
  </w:num>
  <w:num w:numId="11">
    <w:abstractNumId w:val="4"/>
  </w:num>
  <w:num w:numId="12">
    <w:abstractNumId w:val="7"/>
  </w:num>
  <w:num w:numId="13">
    <w:abstractNumId w:val="9"/>
  </w:num>
  <w:num w:numId="14">
    <w:abstractNumId w:val="0"/>
  </w:num>
  <w:num w:numId="15">
    <w:abstractNumId w:val="11"/>
  </w:num>
  <w:num w:numId="16">
    <w:abstractNumId w:val="16"/>
  </w:num>
  <w:num w:numId="17">
    <w:abstractNumId w:val="18"/>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3990"/>
    <w:rsid w:val="0000611E"/>
    <w:rsid w:val="00007977"/>
    <w:rsid w:val="000122FB"/>
    <w:rsid w:val="0002235B"/>
    <w:rsid w:val="00023571"/>
    <w:rsid w:val="00023D51"/>
    <w:rsid w:val="00030F2C"/>
    <w:rsid w:val="00033E59"/>
    <w:rsid w:val="000354B4"/>
    <w:rsid w:val="000435E0"/>
    <w:rsid w:val="00044A80"/>
    <w:rsid w:val="000468A3"/>
    <w:rsid w:val="00054848"/>
    <w:rsid w:val="00080C55"/>
    <w:rsid w:val="000874B3"/>
    <w:rsid w:val="000B39D2"/>
    <w:rsid w:val="000B790C"/>
    <w:rsid w:val="000D2D79"/>
    <w:rsid w:val="000E07BE"/>
    <w:rsid w:val="000F1545"/>
    <w:rsid w:val="0011485D"/>
    <w:rsid w:val="00114EF9"/>
    <w:rsid w:val="00125839"/>
    <w:rsid w:val="001408CD"/>
    <w:rsid w:val="00142088"/>
    <w:rsid w:val="00147E22"/>
    <w:rsid w:val="00166F50"/>
    <w:rsid w:val="00170214"/>
    <w:rsid w:val="00183361"/>
    <w:rsid w:val="00193E20"/>
    <w:rsid w:val="00196863"/>
    <w:rsid w:val="001A0B1D"/>
    <w:rsid w:val="001A5364"/>
    <w:rsid w:val="001A7143"/>
    <w:rsid w:val="001C722E"/>
    <w:rsid w:val="001D682F"/>
    <w:rsid w:val="001E720D"/>
    <w:rsid w:val="001F4D96"/>
    <w:rsid w:val="00222083"/>
    <w:rsid w:val="00227998"/>
    <w:rsid w:val="002346A3"/>
    <w:rsid w:val="00236466"/>
    <w:rsid w:val="002364D8"/>
    <w:rsid w:val="0024748D"/>
    <w:rsid w:val="002564D7"/>
    <w:rsid w:val="00256865"/>
    <w:rsid w:val="00266456"/>
    <w:rsid w:val="00272D07"/>
    <w:rsid w:val="002731E1"/>
    <w:rsid w:val="0027493D"/>
    <w:rsid w:val="002A093B"/>
    <w:rsid w:val="002A14A4"/>
    <w:rsid w:val="002A37C8"/>
    <w:rsid w:val="002C219A"/>
    <w:rsid w:val="002C3CA7"/>
    <w:rsid w:val="002E0D92"/>
    <w:rsid w:val="002E23EC"/>
    <w:rsid w:val="002F4FCE"/>
    <w:rsid w:val="002F5905"/>
    <w:rsid w:val="00323440"/>
    <w:rsid w:val="00330F84"/>
    <w:rsid w:val="003378D1"/>
    <w:rsid w:val="00361C93"/>
    <w:rsid w:val="00367EC4"/>
    <w:rsid w:val="00375C9F"/>
    <w:rsid w:val="003B2BDE"/>
    <w:rsid w:val="003C1715"/>
    <w:rsid w:val="003C4C22"/>
    <w:rsid w:val="003C5FC1"/>
    <w:rsid w:val="003E4E04"/>
    <w:rsid w:val="003F0887"/>
    <w:rsid w:val="00414542"/>
    <w:rsid w:val="00455826"/>
    <w:rsid w:val="00457272"/>
    <w:rsid w:val="0047031B"/>
    <w:rsid w:val="004A1F03"/>
    <w:rsid w:val="004A619C"/>
    <w:rsid w:val="004B1732"/>
    <w:rsid w:val="004B7459"/>
    <w:rsid w:val="004B747E"/>
    <w:rsid w:val="004B7746"/>
    <w:rsid w:val="00505340"/>
    <w:rsid w:val="00512048"/>
    <w:rsid w:val="00524193"/>
    <w:rsid w:val="005254A2"/>
    <w:rsid w:val="00543A49"/>
    <w:rsid w:val="005457CC"/>
    <w:rsid w:val="00545F97"/>
    <w:rsid w:val="00546A2F"/>
    <w:rsid w:val="00554B3F"/>
    <w:rsid w:val="00570833"/>
    <w:rsid w:val="005761E5"/>
    <w:rsid w:val="00584138"/>
    <w:rsid w:val="005942B4"/>
    <w:rsid w:val="005A6992"/>
    <w:rsid w:val="005A723F"/>
    <w:rsid w:val="005A7583"/>
    <w:rsid w:val="005C19FE"/>
    <w:rsid w:val="005D7212"/>
    <w:rsid w:val="005E6947"/>
    <w:rsid w:val="005F4B20"/>
    <w:rsid w:val="005F5429"/>
    <w:rsid w:val="00601DFD"/>
    <w:rsid w:val="00614F24"/>
    <w:rsid w:val="00626AA6"/>
    <w:rsid w:val="00632AA7"/>
    <w:rsid w:val="00650FA5"/>
    <w:rsid w:val="00662BFC"/>
    <w:rsid w:val="00663724"/>
    <w:rsid w:val="00666341"/>
    <w:rsid w:val="00683D83"/>
    <w:rsid w:val="006947DD"/>
    <w:rsid w:val="006A031D"/>
    <w:rsid w:val="006C73F3"/>
    <w:rsid w:val="006E2FFD"/>
    <w:rsid w:val="006E66C2"/>
    <w:rsid w:val="006F088F"/>
    <w:rsid w:val="007112F6"/>
    <w:rsid w:val="00714EED"/>
    <w:rsid w:val="00723686"/>
    <w:rsid w:val="00731620"/>
    <w:rsid w:val="00734E90"/>
    <w:rsid w:val="00786674"/>
    <w:rsid w:val="007902B8"/>
    <w:rsid w:val="00792F5C"/>
    <w:rsid w:val="00793491"/>
    <w:rsid w:val="007959B1"/>
    <w:rsid w:val="007A2BD4"/>
    <w:rsid w:val="007B13D6"/>
    <w:rsid w:val="007B190B"/>
    <w:rsid w:val="007B20F3"/>
    <w:rsid w:val="007B24A7"/>
    <w:rsid w:val="007B58A1"/>
    <w:rsid w:val="007D0680"/>
    <w:rsid w:val="007D0C6D"/>
    <w:rsid w:val="007D24B2"/>
    <w:rsid w:val="007E1D6E"/>
    <w:rsid w:val="007E5B85"/>
    <w:rsid w:val="008056CD"/>
    <w:rsid w:val="0083237D"/>
    <w:rsid w:val="00841AD4"/>
    <w:rsid w:val="00845D83"/>
    <w:rsid w:val="0084712A"/>
    <w:rsid w:val="00861511"/>
    <w:rsid w:val="00864C0E"/>
    <w:rsid w:val="00873FA3"/>
    <w:rsid w:val="008761A7"/>
    <w:rsid w:val="0088606C"/>
    <w:rsid w:val="00887D2C"/>
    <w:rsid w:val="008A07DE"/>
    <w:rsid w:val="008A5D24"/>
    <w:rsid w:val="008B6273"/>
    <w:rsid w:val="008C0B1A"/>
    <w:rsid w:val="008C0DEE"/>
    <w:rsid w:val="008C33FB"/>
    <w:rsid w:val="008D0685"/>
    <w:rsid w:val="008D0E88"/>
    <w:rsid w:val="008D1D77"/>
    <w:rsid w:val="008D20DB"/>
    <w:rsid w:val="008D3667"/>
    <w:rsid w:val="008D6CC6"/>
    <w:rsid w:val="008E1E9B"/>
    <w:rsid w:val="008F1D54"/>
    <w:rsid w:val="00915556"/>
    <w:rsid w:val="009223BB"/>
    <w:rsid w:val="00924890"/>
    <w:rsid w:val="00931A4C"/>
    <w:rsid w:val="00934DFF"/>
    <w:rsid w:val="00943832"/>
    <w:rsid w:val="00944C5C"/>
    <w:rsid w:val="00945C05"/>
    <w:rsid w:val="0096281A"/>
    <w:rsid w:val="00964E0A"/>
    <w:rsid w:val="0096629E"/>
    <w:rsid w:val="009704CA"/>
    <w:rsid w:val="0097162E"/>
    <w:rsid w:val="00980366"/>
    <w:rsid w:val="00981D8A"/>
    <w:rsid w:val="009848D6"/>
    <w:rsid w:val="009B23A2"/>
    <w:rsid w:val="009B698D"/>
    <w:rsid w:val="009D1592"/>
    <w:rsid w:val="009D31CC"/>
    <w:rsid w:val="00A21F11"/>
    <w:rsid w:val="00A25FAB"/>
    <w:rsid w:val="00A31C75"/>
    <w:rsid w:val="00A42865"/>
    <w:rsid w:val="00A433B7"/>
    <w:rsid w:val="00A435B0"/>
    <w:rsid w:val="00A712D1"/>
    <w:rsid w:val="00A83FF8"/>
    <w:rsid w:val="00A95856"/>
    <w:rsid w:val="00AB1AF4"/>
    <w:rsid w:val="00AB3E0E"/>
    <w:rsid w:val="00AC6B3B"/>
    <w:rsid w:val="00AD3BB7"/>
    <w:rsid w:val="00B01A71"/>
    <w:rsid w:val="00B04025"/>
    <w:rsid w:val="00B413C7"/>
    <w:rsid w:val="00B533B1"/>
    <w:rsid w:val="00B6062E"/>
    <w:rsid w:val="00B96332"/>
    <w:rsid w:val="00BC0079"/>
    <w:rsid w:val="00BC2DDE"/>
    <w:rsid w:val="00BE3231"/>
    <w:rsid w:val="00BF5CD0"/>
    <w:rsid w:val="00BF74C4"/>
    <w:rsid w:val="00C1553D"/>
    <w:rsid w:val="00C167AA"/>
    <w:rsid w:val="00C20A49"/>
    <w:rsid w:val="00C25554"/>
    <w:rsid w:val="00C36759"/>
    <w:rsid w:val="00C40493"/>
    <w:rsid w:val="00C40CE1"/>
    <w:rsid w:val="00C42157"/>
    <w:rsid w:val="00C52F6A"/>
    <w:rsid w:val="00C567C7"/>
    <w:rsid w:val="00C56D6B"/>
    <w:rsid w:val="00C667D9"/>
    <w:rsid w:val="00C801FA"/>
    <w:rsid w:val="00C84A20"/>
    <w:rsid w:val="00C90FDC"/>
    <w:rsid w:val="00C95621"/>
    <w:rsid w:val="00C95C34"/>
    <w:rsid w:val="00CA47D0"/>
    <w:rsid w:val="00CC34DE"/>
    <w:rsid w:val="00CD7668"/>
    <w:rsid w:val="00CE56CB"/>
    <w:rsid w:val="00CF1DC1"/>
    <w:rsid w:val="00D01037"/>
    <w:rsid w:val="00D2158C"/>
    <w:rsid w:val="00D253D2"/>
    <w:rsid w:val="00D3293F"/>
    <w:rsid w:val="00D3537D"/>
    <w:rsid w:val="00D42A74"/>
    <w:rsid w:val="00D4546E"/>
    <w:rsid w:val="00D46057"/>
    <w:rsid w:val="00D53C10"/>
    <w:rsid w:val="00D56DB9"/>
    <w:rsid w:val="00D61204"/>
    <w:rsid w:val="00D711D1"/>
    <w:rsid w:val="00D71913"/>
    <w:rsid w:val="00D73628"/>
    <w:rsid w:val="00D80A83"/>
    <w:rsid w:val="00D824A0"/>
    <w:rsid w:val="00D8512E"/>
    <w:rsid w:val="00D8650E"/>
    <w:rsid w:val="00D92937"/>
    <w:rsid w:val="00D935AE"/>
    <w:rsid w:val="00D96089"/>
    <w:rsid w:val="00DA6A79"/>
    <w:rsid w:val="00DB1252"/>
    <w:rsid w:val="00DB40E4"/>
    <w:rsid w:val="00DC03BB"/>
    <w:rsid w:val="00DC152D"/>
    <w:rsid w:val="00DC21F4"/>
    <w:rsid w:val="00DC5303"/>
    <w:rsid w:val="00DC5F99"/>
    <w:rsid w:val="00DD05DE"/>
    <w:rsid w:val="00DD5937"/>
    <w:rsid w:val="00DD7CFB"/>
    <w:rsid w:val="00DE54B7"/>
    <w:rsid w:val="00DF3623"/>
    <w:rsid w:val="00E024BE"/>
    <w:rsid w:val="00E21B2D"/>
    <w:rsid w:val="00E271EE"/>
    <w:rsid w:val="00E30BF8"/>
    <w:rsid w:val="00E429AA"/>
    <w:rsid w:val="00E42F14"/>
    <w:rsid w:val="00E51AE6"/>
    <w:rsid w:val="00E64CE1"/>
    <w:rsid w:val="00E93AAD"/>
    <w:rsid w:val="00E97DFB"/>
    <w:rsid w:val="00EB1A38"/>
    <w:rsid w:val="00EB62C8"/>
    <w:rsid w:val="00EC1BB7"/>
    <w:rsid w:val="00EE2FE5"/>
    <w:rsid w:val="00EF53C3"/>
    <w:rsid w:val="00EF593A"/>
    <w:rsid w:val="00F17ADB"/>
    <w:rsid w:val="00F26D03"/>
    <w:rsid w:val="00F26E58"/>
    <w:rsid w:val="00F41BC0"/>
    <w:rsid w:val="00F529F1"/>
    <w:rsid w:val="00F5616C"/>
    <w:rsid w:val="00F57148"/>
    <w:rsid w:val="00F57238"/>
    <w:rsid w:val="00F71D2F"/>
    <w:rsid w:val="00F85196"/>
    <w:rsid w:val="00F91AAA"/>
    <w:rsid w:val="00F97A96"/>
    <w:rsid w:val="00FA529E"/>
    <w:rsid w:val="00FD09EE"/>
    <w:rsid w:val="00FD40B2"/>
    <w:rsid w:val="00FE01CC"/>
    <w:rsid w:val="00FE122C"/>
    <w:rsid w:val="00FF61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uiPriority w:val="99"/>
    <w:semiHidden/>
    <w:unhideWhenUsed/>
    <w:rsid w:val="00C567C7"/>
    <w:pPr>
      <w:spacing w:after="120"/>
    </w:pPr>
  </w:style>
  <w:style w:type="character" w:customStyle="1" w:styleId="TextoindependienteCar">
    <w:name w:val="Texto independiente Car"/>
    <w:basedOn w:val="Fuentedeprrafopredeter"/>
    <w:link w:val="Textoindependiente"/>
    <w:semiHidden/>
    <w:rsid w:val="00C567C7"/>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uiPriority w:val="99"/>
    <w:semiHidden/>
    <w:unhideWhenUsed/>
    <w:rsid w:val="00C567C7"/>
    <w:pPr>
      <w:spacing w:after="120"/>
    </w:pPr>
  </w:style>
  <w:style w:type="character" w:customStyle="1" w:styleId="TextoindependienteCar">
    <w:name w:val="Texto independiente Car"/>
    <w:basedOn w:val="Fuentedeprrafopredeter"/>
    <w:link w:val="Textoindependiente"/>
    <w:semiHidden/>
    <w:rsid w:val="00C567C7"/>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425E-E7A9-43D1-A739-B843A9DA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1939</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MARIZA GONZALEZ PADILLA</dc:creator>
  <cp:lastModifiedBy>Tribunal1</cp:lastModifiedBy>
  <cp:revision>10</cp:revision>
  <cp:lastPrinted>2015-11-05T15:47:00Z</cp:lastPrinted>
  <dcterms:created xsi:type="dcterms:W3CDTF">2015-11-05T14:50:00Z</dcterms:created>
  <dcterms:modified xsi:type="dcterms:W3CDTF">2015-11-05T18:13:00Z</dcterms:modified>
</cp:coreProperties>
</file>