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4F7" w:rsidRDefault="003174F7">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3174F7" w:rsidRDefault="003174F7">
      <w:pPr>
        <w:tabs>
          <w:tab w:val="left" w:pos="-720"/>
        </w:tabs>
        <w:suppressAutoHyphens/>
        <w:jc w:val="center"/>
        <w:rPr>
          <w:rFonts w:ascii="Helvetica" w:hAnsi="Helvetica"/>
          <w:b/>
          <w:lang w:val="es-ES_tradnl"/>
        </w:rPr>
      </w:pPr>
    </w:p>
    <w:p w:rsidR="003174F7" w:rsidRDefault="003174F7">
      <w:pPr>
        <w:tabs>
          <w:tab w:val="center" w:pos="4253"/>
        </w:tabs>
        <w:suppressAutoHyphens/>
        <w:jc w:val="center"/>
        <w:rPr>
          <w:rFonts w:ascii="Helvetica" w:hAnsi="Helvetica"/>
          <w:b/>
          <w:lang w:val="es-ES_tradnl"/>
        </w:rPr>
      </w:pPr>
      <w:r>
        <w:rPr>
          <w:rFonts w:ascii="Helvetica" w:hAnsi="Helvetica"/>
          <w:b/>
          <w:lang w:val="es-ES_tradnl"/>
        </w:rPr>
        <w:t>TRIBUNAL DE CUENTAS</w:t>
      </w:r>
    </w:p>
    <w:p w:rsidR="003174F7" w:rsidRDefault="003174F7">
      <w:pPr>
        <w:tabs>
          <w:tab w:val="left" w:pos="-720"/>
        </w:tabs>
        <w:suppressAutoHyphens/>
        <w:jc w:val="center"/>
        <w:rPr>
          <w:rFonts w:ascii="Helvetica" w:hAnsi="Helvetica"/>
          <w:b/>
          <w:lang w:val="es-ES_tradnl"/>
        </w:rPr>
      </w:pPr>
    </w:p>
    <w:p w:rsidR="003174F7" w:rsidRDefault="003174F7">
      <w:pPr>
        <w:tabs>
          <w:tab w:val="center" w:pos="4253"/>
        </w:tabs>
        <w:suppressAutoHyphens/>
        <w:jc w:val="center"/>
        <w:rPr>
          <w:rFonts w:ascii="Helvetica" w:hAnsi="Helvetica"/>
          <w:b/>
          <w:lang w:val="es-ES_tradnl"/>
        </w:rPr>
      </w:pPr>
      <w:r>
        <w:rPr>
          <w:rFonts w:ascii="Helvetica" w:hAnsi="Helvetica"/>
          <w:b/>
          <w:lang w:val="es-ES_tradnl"/>
        </w:rPr>
        <w:t>EN SESION DE FECHA 28 DE OCTUBRE DE 2015</w:t>
      </w:r>
    </w:p>
    <w:p w:rsidR="003174F7" w:rsidRDefault="003174F7">
      <w:pPr>
        <w:tabs>
          <w:tab w:val="center" w:pos="4253"/>
        </w:tabs>
        <w:suppressAutoHyphens/>
        <w:jc w:val="center"/>
        <w:rPr>
          <w:rFonts w:ascii="Helvetica" w:hAnsi="Helvetica"/>
          <w:b/>
          <w:lang w:val="es-ES_tradnl"/>
        </w:rPr>
      </w:pPr>
    </w:p>
    <w:p w:rsidR="003174F7" w:rsidRDefault="003174F7">
      <w:pPr>
        <w:tabs>
          <w:tab w:val="center" w:pos="4253"/>
        </w:tabs>
        <w:suppressAutoHyphens/>
        <w:jc w:val="center"/>
        <w:rPr>
          <w:rFonts w:ascii="Helvetica" w:hAnsi="Helvetica"/>
          <w:b/>
          <w:lang w:val="es-ES_tradnl"/>
        </w:rPr>
      </w:pPr>
      <w:r>
        <w:rPr>
          <w:rFonts w:ascii="Helvetica" w:hAnsi="Helvetica"/>
          <w:b/>
          <w:lang w:val="es-ES_tradnl"/>
        </w:rPr>
        <w:t>(E.E. Nº 2012-17-1-0003318, E.  Nº 4971/15</w:t>
      </w:r>
      <w:bookmarkStart w:id="0" w:name="_GoBack"/>
      <w:bookmarkEnd w:id="0"/>
      <w:r>
        <w:rPr>
          <w:rFonts w:ascii="Helvetica" w:hAnsi="Helvetica"/>
          <w:b/>
          <w:lang w:val="es-ES_tradnl"/>
        </w:rPr>
        <w:t>)</w:t>
      </w:r>
    </w:p>
    <w:p w:rsidR="003174F7" w:rsidRDefault="003174F7">
      <w:pPr>
        <w:tabs>
          <w:tab w:val="center" w:pos="4253"/>
        </w:tabs>
        <w:suppressAutoHyphens/>
        <w:jc w:val="center"/>
        <w:rPr>
          <w:spacing w:val="-3"/>
          <w:lang w:val="es-ES_tradnl"/>
        </w:rPr>
      </w:pPr>
    </w:p>
    <w:p w:rsidR="003174F7" w:rsidRDefault="003174F7">
      <w:pPr>
        <w:tabs>
          <w:tab w:val="center" w:pos="4253"/>
        </w:tabs>
        <w:suppressAutoHyphens/>
        <w:rPr>
          <w:spacing w:val="-3"/>
          <w:lang w:val="es-ES_tradnl"/>
        </w:rPr>
      </w:pPr>
    </w:p>
    <w:p w:rsidR="003174F7" w:rsidRDefault="003174F7"/>
    <w:p w:rsidR="00CF7FA6" w:rsidRDefault="00CF7FA6" w:rsidP="00CF7FA6">
      <w:pPr>
        <w:spacing w:line="360" w:lineRule="auto"/>
        <w:ind w:firstLine="708"/>
        <w:jc w:val="both"/>
      </w:pPr>
      <w:r>
        <w:rPr>
          <w:b/>
          <w:bCs/>
        </w:rPr>
        <w:t xml:space="preserve">VISTO: </w:t>
      </w:r>
      <w:r>
        <w:t xml:space="preserve">las actuaciones remitidas por la Intendencia de Maldonado, relacionadas con la  concesión de la explotación del Parador Desmontable en playa Chihuahua, a la Firma Julia Pena </w:t>
      </w:r>
      <w:proofErr w:type="spellStart"/>
      <w:r>
        <w:t>Zeida</w:t>
      </w:r>
      <w:proofErr w:type="spellEnd"/>
      <w:r>
        <w:t>, hasta el último domingo de semana de Turismo de 2016;</w:t>
      </w:r>
    </w:p>
    <w:p w:rsidR="00CF7FA6" w:rsidRDefault="00CF7FA6" w:rsidP="00CF7FA6">
      <w:pPr>
        <w:spacing w:line="360" w:lineRule="auto"/>
        <w:ind w:firstLine="708"/>
        <w:jc w:val="both"/>
      </w:pPr>
      <w:r>
        <w:rPr>
          <w:b/>
          <w:bCs/>
        </w:rPr>
        <w:t xml:space="preserve">RESULTANDO: 1) </w:t>
      </w:r>
      <w:r>
        <w:rPr>
          <w:bCs/>
        </w:rPr>
        <w:t>q</w:t>
      </w:r>
      <w:r>
        <w:t xml:space="preserve">ue  el  Artículo 1 del Pliego de Condiciones que rigió  la Licitación </w:t>
      </w:r>
      <w:r>
        <w:rPr>
          <w:bCs/>
          <w:lang w:val="es-MX"/>
        </w:rPr>
        <w:t>Abreviada</w:t>
      </w:r>
      <w:r>
        <w:t xml:space="preserve"> Nº </w:t>
      </w:r>
      <w:r>
        <w:rPr>
          <w:bCs/>
          <w:lang w:val="es-MX"/>
        </w:rPr>
        <w:t xml:space="preserve"> 47/2010</w:t>
      </w:r>
      <w:r>
        <w:t xml:space="preserve"> disponía, que el objeto de la misma era la explotación comercial del referido parador desde el 8 de diciembre de 2010 hasta la finalización de la Semana de Turismo 2011, prorrogable a opción de la Intendencia “hasta la finalización del actual período de gobierno”;</w:t>
      </w:r>
    </w:p>
    <w:p w:rsidR="00CF7FA6" w:rsidRDefault="00CF7FA6" w:rsidP="00CF7FA6">
      <w:pPr>
        <w:tabs>
          <w:tab w:val="left" w:pos="1843"/>
        </w:tabs>
        <w:spacing w:line="360" w:lineRule="auto"/>
        <w:ind w:firstLine="2552"/>
        <w:jc w:val="both"/>
        <w:rPr>
          <w:b/>
          <w:lang w:val="es-MX"/>
        </w:rPr>
      </w:pPr>
      <w:r>
        <w:rPr>
          <w:b/>
        </w:rPr>
        <w:t xml:space="preserve">2) </w:t>
      </w:r>
      <w:r>
        <w:rPr>
          <w:bCs/>
          <w:lang w:val="es-MX"/>
        </w:rPr>
        <w:t>que  en esta oportunidad, el Director de Hacienda, mediante Resolución Nº 06334/2015 de fecha 09.09.15 dispuso conceder la explotación comercial del citado parador a la empresa Tatiana Pereira, al amparo de la causal de excepción prevista por el Artículo 33, Literal C), Numeral 9) del T.O.C.A.F. en las mismas condiciones que se establecieron en la Licitación de referencia;</w:t>
      </w:r>
      <w:r>
        <w:rPr>
          <w:b/>
          <w:lang w:val="es-MX"/>
        </w:rPr>
        <w:t xml:space="preserve"> </w:t>
      </w:r>
    </w:p>
    <w:p w:rsidR="00CF7FA6" w:rsidRDefault="00CF7FA6" w:rsidP="00CF7FA6">
      <w:pPr>
        <w:tabs>
          <w:tab w:val="left" w:pos="1843"/>
        </w:tabs>
        <w:spacing w:line="360" w:lineRule="auto"/>
        <w:ind w:firstLine="2552"/>
        <w:jc w:val="both"/>
        <w:rPr>
          <w:rFonts w:cs="Arial"/>
          <w:szCs w:val="24"/>
        </w:rPr>
      </w:pPr>
      <w:r>
        <w:rPr>
          <w:b/>
          <w:lang w:val="es-MX"/>
        </w:rPr>
        <w:t>3)</w:t>
      </w:r>
      <w:r>
        <w:rPr>
          <w:bCs/>
          <w:lang w:val="es-MX"/>
        </w:rPr>
        <w:t xml:space="preserve"> que la causal de excepción invocada se fundamenta en la </w:t>
      </w:r>
      <w:r>
        <w:rPr>
          <w:rFonts w:cs="Arial"/>
          <w:szCs w:val="24"/>
        </w:rPr>
        <w:t xml:space="preserve">necesidad de mantener el servicio desde el 1 de diciembre de 2015 hasta el último domingo de Semana de Turismo de 2016  </w:t>
      </w:r>
      <w:r>
        <w:t>“mientras se analizan los nuevos procedimientos a utilizar en el futuro para las concesiones contratadas”</w:t>
      </w:r>
      <w:r>
        <w:rPr>
          <w:rFonts w:cs="Arial"/>
          <w:szCs w:val="24"/>
        </w:rPr>
        <w:t>;</w:t>
      </w:r>
    </w:p>
    <w:p w:rsidR="00CF7FA6" w:rsidRDefault="00CF7FA6" w:rsidP="00CF7FA6">
      <w:pPr>
        <w:spacing w:line="360" w:lineRule="auto"/>
        <w:ind w:firstLine="708"/>
        <w:jc w:val="both"/>
        <w:rPr>
          <w:rFonts w:cs="Arial"/>
          <w:szCs w:val="24"/>
          <w:lang w:val="es-ES_tradnl"/>
        </w:rPr>
      </w:pPr>
      <w:r>
        <w:rPr>
          <w:b/>
          <w:bCs/>
        </w:rPr>
        <w:t>CONSIDERANDO: 1)</w:t>
      </w:r>
      <w:r>
        <w:rPr>
          <w:rFonts w:cs="Arial"/>
          <w:spacing w:val="-3"/>
          <w:szCs w:val="24"/>
          <w:lang w:val="es-ES_tradnl"/>
        </w:rPr>
        <w:t xml:space="preserve"> que </w:t>
      </w:r>
      <w:r>
        <w:rPr>
          <w:rFonts w:cs="Arial"/>
          <w:color w:val="000000"/>
          <w:szCs w:val="24"/>
        </w:rPr>
        <w:t>el Artículo 33 Literal C) Numeral 9) del T.O.C.A.F.</w:t>
      </w:r>
      <w:r>
        <w:rPr>
          <w:rFonts w:cs="Arial"/>
          <w:spacing w:val="-3"/>
          <w:szCs w:val="24"/>
          <w:lang w:val="es-ES_tradnl"/>
        </w:rPr>
        <w:t xml:space="preserve"> prevé la posibilidad de acudir a la contratación directa o al procedimiento que el Ordenador determine por razones de buena administración, cuando  </w:t>
      </w:r>
      <w:r>
        <w:rPr>
          <w:rFonts w:cs="Arial"/>
          <w:szCs w:val="24"/>
          <w:lang w:val="es-ES_tradnl"/>
        </w:rPr>
        <w:t>“medien probadas razones de urgencia no previsibles o no sea posible la licitación o remate público, o su realización resienta seriamente el servicio”;</w:t>
      </w:r>
    </w:p>
    <w:p w:rsidR="00CF7FA6" w:rsidRDefault="00CF7FA6" w:rsidP="00CF7FA6">
      <w:pPr>
        <w:spacing w:line="360" w:lineRule="auto"/>
        <w:ind w:firstLine="2977"/>
        <w:jc w:val="both"/>
        <w:rPr>
          <w:rFonts w:cs="Arial"/>
          <w:spacing w:val="-3"/>
          <w:lang w:val="es-ES_tradnl"/>
        </w:rPr>
      </w:pPr>
      <w:r>
        <w:rPr>
          <w:rFonts w:cs="Arial"/>
          <w:b/>
          <w:szCs w:val="24"/>
          <w:lang w:val="es-ES_tradnl"/>
        </w:rPr>
        <w:lastRenderedPageBreak/>
        <w:t>2)</w:t>
      </w:r>
      <w:r>
        <w:rPr>
          <w:rFonts w:cs="Arial"/>
          <w:szCs w:val="24"/>
          <w:lang w:val="es-ES_tradnl"/>
        </w:rPr>
        <w:t xml:space="preserve"> que por su parte, el Artículo 157 del T.O.C.A.F.</w:t>
      </w:r>
      <w:r>
        <w:rPr>
          <w:rFonts w:cs="Arial"/>
          <w:spacing w:val="-3"/>
          <w:lang w:val="es-ES_tradnl"/>
        </w:rPr>
        <w:t xml:space="preserve"> dispone que cuando “se invoquen razones de urgencia o imprevistos de carácter excepcional deberán fundarse adecuadamente, y en el primer caso informar sobre la imposibilidad de su previsión en tiempo”; </w:t>
      </w:r>
    </w:p>
    <w:p w:rsidR="00CF7FA6" w:rsidRDefault="00CF7FA6" w:rsidP="00CF7FA6">
      <w:pPr>
        <w:pStyle w:val="Piedepgina"/>
        <w:tabs>
          <w:tab w:val="left" w:pos="708"/>
        </w:tabs>
        <w:spacing w:line="360" w:lineRule="auto"/>
        <w:ind w:firstLine="2977"/>
        <w:jc w:val="both"/>
        <w:rPr>
          <w:rFonts w:cs="Arial"/>
          <w:szCs w:val="24"/>
        </w:rPr>
      </w:pPr>
      <w:r>
        <w:rPr>
          <w:rFonts w:cs="Arial"/>
          <w:b/>
          <w:bCs/>
          <w:szCs w:val="24"/>
        </w:rPr>
        <w:t xml:space="preserve">3) </w:t>
      </w:r>
      <w:r>
        <w:rPr>
          <w:rFonts w:cs="Arial"/>
          <w:szCs w:val="24"/>
        </w:rPr>
        <w:t xml:space="preserve">que en el caso, la Administración actuante, expresa que la contratación se fundamenta en la necesidad de mantener el servicio hasta el último domingo de Semana de Turismo de 2016  </w:t>
      </w:r>
      <w:r>
        <w:t>“mientras se analizan los nuevos procedimientos a utilizar en el futuro para las concesiones contratadas”</w:t>
      </w:r>
      <w:r>
        <w:rPr>
          <w:rFonts w:cs="Arial"/>
          <w:szCs w:val="24"/>
        </w:rPr>
        <w:t xml:space="preserve">, sin informar respecto de la circunstancia que impidió  la previsión de la nueva contratación en tiempo;  </w:t>
      </w:r>
    </w:p>
    <w:p w:rsidR="00CF7FA6" w:rsidRDefault="00CF7FA6" w:rsidP="00CF7FA6">
      <w:pPr>
        <w:pStyle w:val="Piedepgina"/>
        <w:tabs>
          <w:tab w:val="left" w:pos="708"/>
        </w:tabs>
        <w:spacing w:line="360" w:lineRule="auto"/>
        <w:ind w:firstLine="2977"/>
        <w:jc w:val="both"/>
        <w:rPr>
          <w:rFonts w:cs="Arial"/>
        </w:rPr>
      </w:pPr>
      <w:r>
        <w:rPr>
          <w:rFonts w:cs="Arial"/>
          <w:b/>
        </w:rPr>
        <w:t>4)</w:t>
      </w:r>
      <w:r>
        <w:rPr>
          <w:rFonts w:cs="Arial"/>
        </w:rPr>
        <w:t xml:space="preserve"> que en consecuencia, no se configuraron los  </w:t>
      </w:r>
      <w:r w:rsidRPr="005F2C69">
        <w:rPr>
          <w:rFonts w:cs="Arial"/>
          <w:spacing w:val="-12"/>
        </w:rPr>
        <w:t>presupuestos de hecho para que resulte de aplicación la causal de excepción</w:t>
      </w:r>
      <w:r>
        <w:rPr>
          <w:rFonts w:cs="Arial"/>
        </w:rPr>
        <w:t xml:space="preserve"> invocada;</w:t>
      </w:r>
    </w:p>
    <w:p w:rsidR="00CF7FA6" w:rsidRDefault="00CF7FA6" w:rsidP="00CF7FA6">
      <w:pPr>
        <w:tabs>
          <w:tab w:val="left" w:pos="1843"/>
        </w:tabs>
        <w:spacing w:line="360" w:lineRule="auto"/>
        <w:ind w:firstLine="2977"/>
        <w:jc w:val="both"/>
        <w:rPr>
          <w:rFonts w:cs="Arial"/>
          <w:bCs/>
          <w:lang w:val="es-MX"/>
        </w:rPr>
      </w:pPr>
      <w:r>
        <w:rPr>
          <w:b/>
          <w:bCs/>
        </w:rPr>
        <w:t>5)</w:t>
      </w:r>
      <w:r>
        <w:t xml:space="preserve"> que tampoco se dio cumplimiento a lo dispuesto por este</w:t>
      </w:r>
      <w:r>
        <w:rPr>
          <w:rFonts w:cs="Arial"/>
          <w:bCs/>
          <w:lang w:val="es-MX"/>
        </w:rPr>
        <w:t xml:space="preserve"> Tribunal, mediante Resoluciones de fechas 11.05.05 y 28.03.07, según las cuales los Organismos del Estado, previamente a aprobar, modificar o rescindir concesiones contractuales de obras, de servicios,  de uso de bienes del dominio público o del dominio privado del Estado o mixtas,  deberán remitir los antecedentes a Dictamen del Tribunal;</w:t>
      </w:r>
    </w:p>
    <w:p w:rsidR="00CF7FA6" w:rsidRDefault="00CF7FA6" w:rsidP="00CF7FA6">
      <w:pPr>
        <w:spacing w:line="360" w:lineRule="auto"/>
        <w:ind w:firstLine="708"/>
        <w:jc w:val="both"/>
        <w:rPr>
          <w:rFonts w:cs="Arial"/>
          <w:bCs/>
          <w:lang w:val="es-MX"/>
        </w:rPr>
      </w:pPr>
      <w:r>
        <w:rPr>
          <w:rFonts w:cs="Arial"/>
          <w:b/>
          <w:lang w:val="es-MX"/>
        </w:rPr>
        <w:t>ATENTO:</w:t>
      </w:r>
      <w:r>
        <w:rPr>
          <w:rFonts w:cs="Arial"/>
          <w:bCs/>
          <w:lang w:val="es-MX"/>
        </w:rPr>
        <w:t xml:space="preserve"> a lo precedentemente expuesto y a lo dispuesto por el Literal E) del Artículo 211 de la Constitución de la República;</w:t>
      </w:r>
    </w:p>
    <w:p w:rsidR="00CF7FA6" w:rsidRPr="005F2C69" w:rsidRDefault="00CF7FA6" w:rsidP="00CF7FA6">
      <w:pPr>
        <w:pStyle w:val="Ttulo1"/>
        <w:jc w:val="center"/>
        <w:rPr>
          <w:bCs/>
        </w:rPr>
      </w:pPr>
      <w:r w:rsidRPr="005F2C69">
        <w:rPr>
          <w:bCs/>
        </w:rPr>
        <w:t>EL TRIBUNAL ACUERDA:</w:t>
      </w:r>
    </w:p>
    <w:p w:rsidR="00CF7FA6" w:rsidRDefault="00CF7FA6" w:rsidP="00CF7FA6">
      <w:pPr>
        <w:spacing w:line="360" w:lineRule="auto"/>
        <w:jc w:val="both"/>
      </w:pPr>
      <w:r w:rsidRPr="005F2C69">
        <w:rPr>
          <w:rFonts w:cs="Arial"/>
          <w:b/>
          <w:bCs/>
          <w:lang w:val="es-MX"/>
        </w:rPr>
        <w:t>1)</w:t>
      </w:r>
      <w:r>
        <w:rPr>
          <w:rFonts w:cs="Arial"/>
          <w:bCs/>
          <w:lang w:val="es-MX"/>
        </w:rPr>
        <w:t xml:space="preserve"> Observar el procedimiento;</w:t>
      </w:r>
    </w:p>
    <w:p w:rsidR="00CF7FA6" w:rsidRDefault="00CF7FA6" w:rsidP="00CF7FA6">
      <w:pPr>
        <w:tabs>
          <w:tab w:val="num" w:pos="142"/>
        </w:tabs>
        <w:spacing w:line="360" w:lineRule="auto"/>
        <w:jc w:val="both"/>
      </w:pPr>
      <w:r w:rsidRPr="005F2C69">
        <w:rPr>
          <w:b/>
        </w:rPr>
        <w:t>2)</w:t>
      </w:r>
      <w:r>
        <w:t xml:space="preserve"> Dar cuenta a la Junta Departamental de Maldonado; y</w:t>
      </w:r>
    </w:p>
    <w:p w:rsidR="00B52447" w:rsidRPr="00CF7FA6" w:rsidRDefault="00CF7FA6" w:rsidP="00CF7FA6">
      <w:pPr>
        <w:rPr>
          <w:rFonts w:cs="Arial"/>
          <w:szCs w:val="24"/>
        </w:rPr>
      </w:pPr>
      <w:r w:rsidRPr="005F2C69">
        <w:rPr>
          <w:b/>
        </w:rPr>
        <w:t>3)</w:t>
      </w:r>
      <w:r>
        <w:rPr>
          <w:rFonts w:cs="Arial"/>
          <w:bCs/>
          <w:lang w:val="es-MX"/>
        </w:rPr>
        <w:t xml:space="preserve"> Devolver las actuaciones</w:t>
      </w:r>
      <w:r>
        <w:rPr>
          <w:rFonts w:cs="Arial"/>
          <w:bCs/>
        </w:rPr>
        <w:t>.</w:t>
      </w:r>
    </w:p>
    <w:sectPr w:rsidR="00B52447" w:rsidRPr="00CF7FA6" w:rsidSect="008528F2">
      <w:pgSz w:w="11906" w:h="16838"/>
      <w:pgMar w:top="2835"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FA6"/>
    <w:rsid w:val="003174F7"/>
    <w:rsid w:val="008528F2"/>
    <w:rsid w:val="00B52447"/>
    <w:rsid w:val="00BE45D7"/>
    <w:rsid w:val="00CF7FA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FA6"/>
    <w:pPr>
      <w:spacing w:after="0" w:line="240" w:lineRule="auto"/>
    </w:pPr>
    <w:rPr>
      <w:rFonts w:ascii="Arial" w:eastAsia="Times New Roman" w:hAnsi="Arial" w:cs="Times New Roman"/>
      <w:sz w:val="24"/>
      <w:szCs w:val="20"/>
      <w:lang w:val="es-ES" w:eastAsia="es-ES"/>
    </w:rPr>
  </w:style>
  <w:style w:type="paragraph" w:styleId="Ttulo1">
    <w:name w:val="heading 1"/>
    <w:basedOn w:val="Normal"/>
    <w:next w:val="Normal"/>
    <w:link w:val="Ttulo1Car"/>
    <w:qFormat/>
    <w:rsid w:val="00CF7FA6"/>
    <w:pPr>
      <w:keepNext/>
      <w:spacing w:line="360" w:lineRule="auto"/>
      <w:jc w:val="both"/>
      <w:outlineLvl w:val="0"/>
    </w:pPr>
    <w:rPr>
      <w:rFonts w:cs="Arial"/>
      <w:b/>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F7FA6"/>
    <w:rPr>
      <w:rFonts w:ascii="Arial" w:eastAsia="Times New Roman" w:hAnsi="Arial" w:cs="Arial"/>
      <w:b/>
      <w:sz w:val="24"/>
      <w:szCs w:val="20"/>
      <w:lang w:val="es-MX" w:eastAsia="es-ES"/>
    </w:rPr>
  </w:style>
  <w:style w:type="paragraph" w:styleId="Piedepgina">
    <w:name w:val="footer"/>
    <w:basedOn w:val="Normal"/>
    <w:link w:val="PiedepginaCar"/>
    <w:semiHidden/>
    <w:rsid w:val="00CF7FA6"/>
    <w:pPr>
      <w:tabs>
        <w:tab w:val="center" w:pos="4419"/>
        <w:tab w:val="right" w:pos="8838"/>
      </w:tabs>
    </w:pPr>
  </w:style>
  <w:style w:type="character" w:customStyle="1" w:styleId="PiedepginaCar">
    <w:name w:val="Pie de página Car"/>
    <w:basedOn w:val="Fuentedeprrafopredeter"/>
    <w:link w:val="Piedepgina"/>
    <w:semiHidden/>
    <w:rsid w:val="00CF7FA6"/>
    <w:rPr>
      <w:rFonts w:ascii="Arial" w:eastAsia="Times New Roman" w:hAnsi="Arial" w:cs="Times New Roman"/>
      <w:sz w:val="24"/>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FA6"/>
    <w:pPr>
      <w:spacing w:after="0" w:line="240" w:lineRule="auto"/>
    </w:pPr>
    <w:rPr>
      <w:rFonts w:ascii="Arial" w:eastAsia="Times New Roman" w:hAnsi="Arial" w:cs="Times New Roman"/>
      <w:sz w:val="24"/>
      <w:szCs w:val="20"/>
      <w:lang w:val="es-ES" w:eastAsia="es-ES"/>
    </w:rPr>
  </w:style>
  <w:style w:type="paragraph" w:styleId="Ttulo1">
    <w:name w:val="heading 1"/>
    <w:basedOn w:val="Normal"/>
    <w:next w:val="Normal"/>
    <w:link w:val="Ttulo1Car"/>
    <w:qFormat/>
    <w:rsid w:val="00CF7FA6"/>
    <w:pPr>
      <w:keepNext/>
      <w:spacing w:line="360" w:lineRule="auto"/>
      <w:jc w:val="both"/>
      <w:outlineLvl w:val="0"/>
    </w:pPr>
    <w:rPr>
      <w:rFonts w:cs="Arial"/>
      <w:b/>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F7FA6"/>
    <w:rPr>
      <w:rFonts w:ascii="Arial" w:eastAsia="Times New Roman" w:hAnsi="Arial" w:cs="Arial"/>
      <w:b/>
      <w:sz w:val="24"/>
      <w:szCs w:val="20"/>
      <w:lang w:val="es-MX" w:eastAsia="es-ES"/>
    </w:rPr>
  </w:style>
  <w:style w:type="paragraph" w:styleId="Piedepgina">
    <w:name w:val="footer"/>
    <w:basedOn w:val="Normal"/>
    <w:link w:val="PiedepginaCar"/>
    <w:semiHidden/>
    <w:rsid w:val="00CF7FA6"/>
    <w:pPr>
      <w:tabs>
        <w:tab w:val="center" w:pos="4419"/>
        <w:tab w:val="right" w:pos="8838"/>
      </w:tabs>
    </w:pPr>
  </w:style>
  <w:style w:type="character" w:customStyle="1" w:styleId="PiedepginaCar">
    <w:name w:val="Pie de página Car"/>
    <w:basedOn w:val="Fuentedeprrafopredeter"/>
    <w:link w:val="Piedepgina"/>
    <w:semiHidden/>
    <w:rsid w:val="00CF7FA6"/>
    <w:rPr>
      <w:rFonts w:ascii="Arial" w:eastAsia="Times New Roman" w:hAnsi="Arial" w:cs="Times New Roman"/>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498</Words>
  <Characters>2741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Tribunal de Cuentas</Company>
  <LinksUpToDate>false</LinksUpToDate>
  <CharactersWithSpaces>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Tribunal1</dc:creator>
  <cp:keywords/>
  <dc:description/>
  <cp:lastModifiedBy>Tribunal1</cp:lastModifiedBy>
  <cp:revision>5</cp:revision>
  <cp:lastPrinted>2015-11-03T20:14:00Z</cp:lastPrinted>
  <dcterms:created xsi:type="dcterms:W3CDTF">2015-11-03T20:12:00Z</dcterms:created>
  <dcterms:modified xsi:type="dcterms:W3CDTF">2015-11-03T20:14:00Z</dcterms:modified>
</cp:coreProperties>
</file>