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8E5" w:rsidRPr="00F05EE0" w:rsidRDefault="00A818E5">
      <w:pPr>
        <w:tabs>
          <w:tab w:val="center" w:pos="4253"/>
        </w:tabs>
        <w:suppressAutoHyphens/>
        <w:jc w:val="center"/>
        <w:rPr>
          <w:rFonts w:cs="Arial"/>
          <w:b/>
          <w:lang w:val="es-ES_tradnl"/>
        </w:rPr>
      </w:pPr>
      <w:bookmarkStart w:id="0" w:name="_GoBack"/>
      <w:bookmarkEnd w:id="0"/>
      <w:r w:rsidRPr="00F05EE0">
        <w:rPr>
          <w:rFonts w:cs="Arial"/>
          <w:b/>
          <w:lang w:val="es-ES_tradnl"/>
        </w:rPr>
        <w:t>RESOLUCION ADOPTADA POR EL</w:t>
      </w:r>
    </w:p>
    <w:p w:rsidR="00A818E5" w:rsidRPr="00F05EE0" w:rsidRDefault="00A818E5">
      <w:pPr>
        <w:tabs>
          <w:tab w:val="left" w:pos="-720"/>
        </w:tabs>
        <w:suppressAutoHyphens/>
        <w:jc w:val="center"/>
        <w:rPr>
          <w:rFonts w:cs="Arial"/>
          <w:b/>
          <w:lang w:val="es-ES_tradnl"/>
        </w:rPr>
      </w:pPr>
    </w:p>
    <w:p w:rsidR="00A818E5" w:rsidRPr="00F05EE0" w:rsidRDefault="00A818E5">
      <w:pPr>
        <w:tabs>
          <w:tab w:val="center" w:pos="4253"/>
        </w:tabs>
        <w:suppressAutoHyphens/>
        <w:jc w:val="center"/>
        <w:rPr>
          <w:rFonts w:cs="Arial"/>
          <w:b/>
          <w:lang w:val="es-ES_tradnl"/>
        </w:rPr>
      </w:pPr>
      <w:r w:rsidRPr="00F05EE0">
        <w:rPr>
          <w:rFonts w:cs="Arial"/>
          <w:b/>
          <w:lang w:val="es-ES_tradnl"/>
        </w:rPr>
        <w:t>TRIBUNAL DE CUENTAS</w:t>
      </w:r>
    </w:p>
    <w:p w:rsidR="00A818E5" w:rsidRPr="00F05EE0" w:rsidRDefault="00A818E5">
      <w:pPr>
        <w:tabs>
          <w:tab w:val="left" w:pos="-720"/>
        </w:tabs>
        <w:suppressAutoHyphens/>
        <w:jc w:val="center"/>
        <w:rPr>
          <w:rFonts w:cs="Arial"/>
          <w:b/>
          <w:lang w:val="es-ES_tradnl"/>
        </w:rPr>
      </w:pPr>
    </w:p>
    <w:p w:rsidR="00A818E5" w:rsidRPr="00F05EE0" w:rsidRDefault="00A818E5">
      <w:pPr>
        <w:tabs>
          <w:tab w:val="center" w:pos="4253"/>
        </w:tabs>
        <w:suppressAutoHyphens/>
        <w:jc w:val="center"/>
        <w:rPr>
          <w:rFonts w:cs="Arial"/>
          <w:b/>
          <w:lang w:val="es-ES_tradnl"/>
        </w:rPr>
      </w:pPr>
      <w:r w:rsidRPr="00F05EE0">
        <w:rPr>
          <w:rFonts w:cs="Arial"/>
          <w:b/>
          <w:lang w:val="es-ES_tradnl"/>
        </w:rPr>
        <w:t>EN SESION DE FECHA 21 DE OCTUBRE DE 2015</w:t>
      </w:r>
    </w:p>
    <w:p w:rsidR="00A818E5" w:rsidRPr="00F05EE0" w:rsidRDefault="00A818E5">
      <w:pPr>
        <w:tabs>
          <w:tab w:val="center" w:pos="4253"/>
        </w:tabs>
        <w:suppressAutoHyphens/>
        <w:jc w:val="center"/>
        <w:rPr>
          <w:rFonts w:cs="Arial"/>
          <w:b/>
          <w:lang w:val="es-ES_tradnl"/>
        </w:rPr>
      </w:pPr>
    </w:p>
    <w:p w:rsidR="00A818E5" w:rsidRPr="00F05EE0" w:rsidRDefault="00A818E5">
      <w:pPr>
        <w:tabs>
          <w:tab w:val="center" w:pos="4253"/>
        </w:tabs>
        <w:suppressAutoHyphens/>
        <w:jc w:val="center"/>
        <w:rPr>
          <w:rFonts w:cs="Arial"/>
          <w:b/>
          <w:lang w:val="es-AR"/>
        </w:rPr>
      </w:pPr>
      <w:r w:rsidRPr="00F05EE0">
        <w:rPr>
          <w:rFonts w:cs="Arial"/>
          <w:b/>
          <w:lang w:val="es-AR"/>
        </w:rPr>
        <w:t xml:space="preserve">(E. E. Nº 2015-17-1-0002099, </w:t>
      </w:r>
      <w:proofErr w:type="spellStart"/>
      <w:r w:rsidRPr="00F05EE0">
        <w:rPr>
          <w:rFonts w:cs="Arial"/>
          <w:b/>
          <w:lang w:val="es-AR"/>
        </w:rPr>
        <w:t>Ent</w:t>
      </w:r>
      <w:proofErr w:type="spellEnd"/>
      <w:r w:rsidRPr="00F05EE0">
        <w:rPr>
          <w:rFonts w:cs="Arial"/>
          <w:b/>
          <w:lang w:val="es-AR"/>
        </w:rPr>
        <w:t>. N° 1728/15)</w:t>
      </w:r>
    </w:p>
    <w:p w:rsidR="00A818E5" w:rsidRPr="00F05EE0" w:rsidRDefault="00A818E5">
      <w:pPr>
        <w:tabs>
          <w:tab w:val="center" w:pos="4253"/>
        </w:tabs>
        <w:suppressAutoHyphens/>
        <w:jc w:val="center"/>
        <w:rPr>
          <w:rFonts w:cs="Arial"/>
          <w:spacing w:val="-3"/>
          <w:lang w:val="es-AR"/>
        </w:rPr>
      </w:pPr>
    </w:p>
    <w:p w:rsidR="00A818E5" w:rsidRPr="00F05EE0" w:rsidRDefault="00A818E5">
      <w:pPr>
        <w:tabs>
          <w:tab w:val="center" w:pos="4253"/>
        </w:tabs>
        <w:suppressAutoHyphens/>
        <w:rPr>
          <w:rFonts w:cs="Arial"/>
          <w:spacing w:val="-3"/>
          <w:lang w:val="es-AR"/>
        </w:rPr>
      </w:pPr>
    </w:p>
    <w:p w:rsidR="00A818E5" w:rsidRPr="00F05EE0" w:rsidRDefault="00A818E5" w:rsidP="00A818E5">
      <w:pPr>
        <w:tabs>
          <w:tab w:val="left" w:pos="-720"/>
          <w:tab w:val="left" w:pos="2977"/>
        </w:tabs>
        <w:suppressAutoHyphens/>
        <w:spacing w:line="360" w:lineRule="auto"/>
        <w:ind w:firstLine="851"/>
        <w:jc w:val="both"/>
        <w:rPr>
          <w:rFonts w:eastAsia="Calibri" w:cs="Arial"/>
          <w:spacing w:val="-3"/>
          <w:lang w:val="es-MX" w:eastAsia="en-US"/>
        </w:rPr>
      </w:pPr>
      <w:r w:rsidRPr="00F05EE0">
        <w:rPr>
          <w:rFonts w:eastAsia="Calibri" w:cs="Arial"/>
          <w:b/>
          <w:lang w:val="es-MX" w:eastAsia="en-US"/>
        </w:rPr>
        <w:t>VISTO:</w:t>
      </w:r>
      <w:r w:rsidRPr="00F05EE0">
        <w:rPr>
          <w:rFonts w:eastAsia="Calibri" w:cs="Arial"/>
          <w:lang w:val="es-MX" w:eastAsia="en-US"/>
        </w:rPr>
        <w:t xml:space="preserve"> </w:t>
      </w:r>
      <w:r w:rsidRPr="00F05EE0">
        <w:rPr>
          <w:rFonts w:eastAsia="Calibri" w:cs="Arial"/>
          <w:spacing w:val="-3"/>
          <w:lang w:val="es-MX" w:eastAsia="en-US"/>
        </w:rPr>
        <w:t xml:space="preserve">que este Tribunal ha </w:t>
      </w:r>
      <w:r w:rsidRPr="00F05EE0">
        <w:rPr>
          <w:rFonts w:eastAsia="Calibri" w:cs="Arial"/>
          <w:lang w:val="es-UY" w:eastAsia="en-US"/>
        </w:rPr>
        <w:t>examinado los estados financieros consolidados e individuales</w:t>
      </w:r>
      <w:r w:rsidRPr="00F05EE0">
        <w:rPr>
          <w:rFonts w:eastAsia="Calibri" w:cs="Arial"/>
          <w:spacing w:val="-3"/>
          <w:lang w:val="es-ES_tradnl" w:eastAsia="en-US"/>
        </w:rPr>
        <w:t xml:space="preserve"> </w:t>
      </w:r>
      <w:r w:rsidRPr="00F05EE0">
        <w:rPr>
          <w:rFonts w:eastAsia="Calibri" w:cs="Arial"/>
          <w:lang w:val="es-MX" w:eastAsia="en-US"/>
        </w:rPr>
        <w:t xml:space="preserve">de la </w:t>
      </w:r>
      <w:r w:rsidRPr="00F05EE0">
        <w:rPr>
          <w:rFonts w:eastAsia="Calibri" w:cs="Arial"/>
          <w:lang w:val="es-UY" w:eastAsia="en-US"/>
        </w:rPr>
        <w:t>Corporación Nacional para el Desarrollo (CND) que comprenden</w:t>
      </w:r>
      <w:r w:rsidRPr="00F05EE0">
        <w:rPr>
          <w:rFonts w:eastAsia="Calibri" w:cs="Arial"/>
          <w:spacing w:val="-3"/>
          <w:lang w:val="es-MX" w:eastAsia="en-US"/>
        </w:rPr>
        <w:t xml:space="preserve"> el Estado de Situación Patrimonial al 31/12/2014, </w:t>
      </w:r>
      <w:r w:rsidRPr="00F05EE0">
        <w:rPr>
          <w:rFonts w:eastAsia="Calibri" w:cs="Arial"/>
          <w:lang w:val="es-UY" w:eastAsia="en-US"/>
        </w:rPr>
        <w:t xml:space="preserve">los correspondientes Estados de Resultados, de Flujo de Efectivo y de Evolución del Patrimonio por el ejercicio anual finalizado en esa fecha, presentados en forma comparativa con el Ejercicio anterior, </w:t>
      </w:r>
      <w:r w:rsidRPr="00F05EE0">
        <w:rPr>
          <w:rFonts w:eastAsia="Calibri" w:cs="Arial"/>
          <w:spacing w:val="-3"/>
          <w:lang w:val="es-MX" w:eastAsia="en-US"/>
        </w:rPr>
        <w:t>y las notas de políticas contables significativas y otras notas explicativas</w:t>
      </w:r>
      <w:r w:rsidRPr="00F05EE0">
        <w:rPr>
          <w:rFonts w:eastAsia="Calibri" w:cs="Arial"/>
          <w:lang w:val="es-UY" w:eastAsia="en-US"/>
        </w:rPr>
        <w:t>, así como</w:t>
      </w:r>
      <w:r w:rsidRPr="00F05EE0">
        <w:rPr>
          <w:rFonts w:eastAsia="Calibri" w:cs="Arial"/>
          <w:spacing w:val="-3"/>
          <w:lang w:val="es-MX" w:eastAsia="en-US"/>
        </w:rPr>
        <w:t xml:space="preserve"> el Balance de Ejecución Presupuestal 2014 y sus respectivas notas explicativas;</w:t>
      </w:r>
    </w:p>
    <w:p w:rsidR="00A818E5" w:rsidRPr="00F05EE0" w:rsidRDefault="00A818E5" w:rsidP="00A818E5">
      <w:pPr>
        <w:spacing w:line="360" w:lineRule="auto"/>
        <w:ind w:firstLine="851"/>
        <w:jc w:val="both"/>
        <w:rPr>
          <w:rFonts w:eastAsia="Calibri" w:cs="Arial"/>
          <w:lang w:val="es-MX" w:eastAsia="en-US"/>
        </w:rPr>
      </w:pPr>
      <w:r w:rsidRPr="00F05EE0">
        <w:rPr>
          <w:rFonts w:eastAsia="Calibri" w:cs="Arial"/>
          <w:b/>
          <w:lang w:val="es-MX" w:eastAsia="en-US"/>
        </w:rPr>
        <w:t>RESULTANDO:</w:t>
      </w:r>
      <w:r w:rsidRPr="00F05EE0">
        <w:rPr>
          <w:rFonts w:eastAsia="Calibri" w:cs="Arial"/>
          <w:lang w:val="es-MX" w:eastAsia="en-US"/>
        </w:rPr>
        <w:t xml:space="preserve"> que el examen se efectuó de acuerdo con los Principios Fundamentales de Auditoría (ISSAI 100 y 200) y las Directrices de Auditoría Financiera (ISSAI 1000 a 1810) de la  Organización Internacional de Entidades Fiscalizadoras Superiores (INTOSAI);</w:t>
      </w:r>
    </w:p>
    <w:p w:rsidR="00A818E5" w:rsidRPr="00F05EE0" w:rsidRDefault="00A818E5" w:rsidP="00A818E5">
      <w:pPr>
        <w:spacing w:line="360" w:lineRule="auto"/>
        <w:ind w:firstLine="851"/>
        <w:jc w:val="both"/>
        <w:rPr>
          <w:rFonts w:eastAsia="Calibri" w:cs="Arial"/>
          <w:spacing w:val="-3"/>
          <w:lang w:val="es-MX" w:eastAsia="en-US"/>
        </w:rPr>
      </w:pPr>
      <w:r w:rsidRPr="00F05EE0">
        <w:rPr>
          <w:rFonts w:eastAsia="Calibri" w:cs="Arial"/>
          <w:b/>
          <w:lang w:val="es-MX" w:eastAsia="en-US"/>
        </w:rPr>
        <w:t>CONSIDERANDO:</w:t>
      </w:r>
      <w:r w:rsidRPr="00F05EE0">
        <w:rPr>
          <w:rFonts w:eastAsia="Calibri" w:cs="Arial"/>
          <w:lang w:val="es-MX" w:eastAsia="en-US"/>
        </w:rPr>
        <w:t xml:space="preserve"> </w:t>
      </w:r>
      <w:r w:rsidRPr="00F05EE0">
        <w:rPr>
          <w:rFonts w:eastAsia="Calibri" w:cs="Arial"/>
          <w:spacing w:val="-3"/>
          <w:lang w:val="es-MX" w:eastAsia="en-US"/>
        </w:rPr>
        <w:t>que las conclusiones y evidencias obtenidas son las que se expresan en el Informe de Auditoría, que incluye Dictámenes e Informe a la Administración;</w:t>
      </w:r>
    </w:p>
    <w:p w:rsidR="00A818E5" w:rsidRPr="00F05EE0" w:rsidRDefault="00A818E5" w:rsidP="00A818E5">
      <w:pPr>
        <w:spacing w:line="360" w:lineRule="auto"/>
        <w:ind w:firstLine="851"/>
        <w:jc w:val="both"/>
        <w:rPr>
          <w:rFonts w:eastAsia="Calibri" w:cs="Arial"/>
          <w:spacing w:val="-3"/>
          <w:lang w:val="es-MX" w:eastAsia="en-US"/>
        </w:rPr>
      </w:pPr>
      <w:r w:rsidRPr="00F05EE0">
        <w:rPr>
          <w:rFonts w:eastAsia="Calibri" w:cs="Arial"/>
          <w:b/>
          <w:lang w:val="es-MX" w:eastAsia="en-US"/>
        </w:rPr>
        <w:t>ATENTO:</w:t>
      </w:r>
      <w:r w:rsidRPr="00F05EE0">
        <w:rPr>
          <w:rFonts w:eastAsia="Calibri" w:cs="Arial"/>
          <w:lang w:val="es-MX" w:eastAsia="en-US"/>
        </w:rPr>
        <w:t xml:space="preserve"> </w:t>
      </w:r>
      <w:r w:rsidRPr="00F05EE0">
        <w:rPr>
          <w:rFonts w:eastAsia="Calibri" w:cs="Arial"/>
          <w:spacing w:val="-3"/>
          <w:lang w:val="es-MX" w:eastAsia="en-US"/>
        </w:rPr>
        <w:t>a lo dispuesto por los Artículos 159 y 177 del Texto Ordenado de Administración y Contabilidad Financiera (TOCAF);</w:t>
      </w:r>
    </w:p>
    <w:p w:rsidR="00A818E5" w:rsidRPr="00F05EE0" w:rsidRDefault="00A818E5" w:rsidP="00A818E5">
      <w:pPr>
        <w:spacing w:line="360" w:lineRule="auto"/>
        <w:jc w:val="center"/>
        <w:rPr>
          <w:rFonts w:eastAsia="Calibri" w:cs="Arial"/>
          <w:b/>
          <w:lang w:val="es-MX" w:eastAsia="en-US"/>
        </w:rPr>
      </w:pPr>
      <w:r w:rsidRPr="00F05EE0">
        <w:rPr>
          <w:rFonts w:eastAsia="Calibri" w:cs="Arial"/>
          <w:b/>
          <w:lang w:val="es-MX" w:eastAsia="en-US"/>
        </w:rPr>
        <w:t>EL TRIBUNAL POR MAYORIA ACUERDA</w:t>
      </w:r>
    </w:p>
    <w:p w:rsidR="00A818E5" w:rsidRPr="00F05EE0" w:rsidRDefault="00A818E5" w:rsidP="00A818E5">
      <w:pPr>
        <w:numPr>
          <w:ilvl w:val="0"/>
          <w:numId w:val="1"/>
        </w:numPr>
        <w:tabs>
          <w:tab w:val="num" w:pos="720"/>
        </w:tabs>
        <w:spacing w:line="360" w:lineRule="auto"/>
        <w:ind w:left="0" w:firstLine="426"/>
        <w:jc w:val="both"/>
        <w:rPr>
          <w:rFonts w:eastAsia="Calibri" w:cs="Arial"/>
          <w:spacing w:val="-3"/>
          <w:lang w:val="es-MX" w:eastAsia="en-US"/>
        </w:rPr>
      </w:pPr>
      <w:r w:rsidRPr="00F05EE0">
        <w:rPr>
          <w:rFonts w:eastAsia="Calibri" w:cs="Arial"/>
          <w:spacing w:val="-3"/>
          <w:lang w:val="es-MX" w:eastAsia="en-US"/>
        </w:rPr>
        <w:t>Expedirse en los términos del Informe de Auditoría que se adjunta;</w:t>
      </w:r>
    </w:p>
    <w:p w:rsidR="00A818E5" w:rsidRPr="00F05EE0" w:rsidRDefault="00A818E5" w:rsidP="00A818E5">
      <w:pPr>
        <w:numPr>
          <w:ilvl w:val="0"/>
          <w:numId w:val="1"/>
        </w:numPr>
        <w:tabs>
          <w:tab w:val="num" w:pos="720"/>
        </w:tabs>
        <w:spacing w:line="360" w:lineRule="auto"/>
        <w:ind w:left="709" w:hanging="283"/>
        <w:jc w:val="both"/>
        <w:rPr>
          <w:rFonts w:eastAsia="Calibri" w:cs="Arial"/>
          <w:spacing w:val="-3"/>
          <w:lang w:val="es-MX" w:eastAsia="en-US"/>
        </w:rPr>
      </w:pPr>
      <w:r w:rsidRPr="00F05EE0">
        <w:rPr>
          <w:rFonts w:eastAsia="Calibri" w:cs="Arial"/>
          <w:spacing w:val="-3"/>
          <w:lang w:val="es-MX" w:eastAsia="en-US"/>
        </w:rPr>
        <w:t>A los efectos dispuestos por el Artículo 177 del TOCAF, el Organismo deberá publicar los estados financieros referidos y el Dictamen correspondiente incluido en el Informe de Auditoría;</w:t>
      </w:r>
    </w:p>
    <w:p w:rsidR="00A818E5" w:rsidRPr="00F05EE0" w:rsidRDefault="00A818E5" w:rsidP="00A818E5">
      <w:pPr>
        <w:numPr>
          <w:ilvl w:val="0"/>
          <w:numId w:val="1"/>
        </w:numPr>
        <w:tabs>
          <w:tab w:val="num" w:pos="720"/>
        </w:tabs>
        <w:spacing w:line="360" w:lineRule="auto"/>
        <w:ind w:left="709" w:hanging="283"/>
        <w:jc w:val="both"/>
        <w:rPr>
          <w:rFonts w:eastAsia="Calibri" w:cs="Arial"/>
          <w:spacing w:val="-3"/>
          <w:lang w:val="es-MX" w:eastAsia="en-US"/>
        </w:rPr>
      </w:pPr>
      <w:r w:rsidRPr="00F05EE0">
        <w:rPr>
          <w:rFonts w:eastAsia="Calibri" w:cs="Arial"/>
          <w:spacing w:val="-10"/>
          <w:lang w:val="es-MX" w:eastAsia="en-US"/>
        </w:rPr>
        <w:lastRenderedPageBreak/>
        <w:t>Comunicar la presente Resolución al Ministerio de Economía y Finanzas y al Organismo;</w:t>
      </w:r>
      <w:r w:rsidRPr="00F05EE0">
        <w:rPr>
          <w:rFonts w:eastAsia="Calibri" w:cs="Arial"/>
          <w:spacing w:val="-3"/>
          <w:lang w:val="es-MX" w:eastAsia="en-US"/>
        </w:rPr>
        <w:t xml:space="preserve"> y</w:t>
      </w:r>
    </w:p>
    <w:p w:rsidR="00A818E5" w:rsidRPr="00F05EE0" w:rsidRDefault="00A818E5" w:rsidP="00A818E5">
      <w:pPr>
        <w:tabs>
          <w:tab w:val="left" w:pos="2552"/>
        </w:tabs>
        <w:spacing w:line="360" w:lineRule="auto"/>
        <w:ind w:firstLine="426"/>
        <w:jc w:val="both"/>
        <w:rPr>
          <w:rFonts w:cs="Arial"/>
          <w:spacing w:val="-3"/>
          <w:lang w:val="es-MX"/>
        </w:rPr>
      </w:pPr>
      <w:r w:rsidRPr="00F05EE0">
        <w:rPr>
          <w:rFonts w:cs="Arial"/>
          <w:b/>
          <w:bCs/>
          <w:spacing w:val="-3"/>
          <w:lang w:val="es-MX"/>
        </w:rPr>
        <w:t>4)</w:t>
      </w:r>
      <w:r w:rsidRPr="00F05EE0">
        <w:rPr>
          <w:rFonts w:cs="Arial"/>
          <w:spacing w:val="-3"/>
          <w:lang w:val="es-MX"/>
        </w:rPr>
        <w:t xml:space="preserve">  Dar cuenta a la Asamblea General.</w:t>
      </w:r>
    </w:p>
    <w:p w:rsidR="00A818E5" w:rsidRPr="00F05EE0" w:rsidRDefault="00A818E5" w:rsidP="00A818E5">
      <w:pPr>
        <w:tabs>
          <w:tab w:val="left" w:pos="2552"/>
        </w:tabs>
        <w:spacing w:line="360" w:lineRule="auto"/>
        <w:ind w:firstLine="426"/>
        <w:jc w:val="both"/>
        <w:rPr>
          <w:rFonts w:cs="Arial"/>
          <w:spacing w:val="-3"/>
          <w:lang w:val="es-UY"/>
        </w:rPr>
      </w:pPr>
      <w:r w:rsidRPr="00F05EE0">
        <w:rPr>
          <w:rFonts w:cs="Arial"/>
          <w:spacing w:val="-3"/>
          <w:lang w:val="es-UY"/>
        </w:rPr>
        <w:t xml:space="preserve"> </w:t>
      </w:r>
    </w:p>
    <w:p w:rsidR="000462D7" w:rsidRPr="00F05EE0" w:rsidRDefault="000462D7">
      <w:pPr>
        <w:jc w:val="both"/>
        <w:rPr>
          <w:rFonts w:cs="Arial"/>
          <w:lang w:val="es-UY"/>
        </w:rPr>
      </w:pPr>
    </w:p>
    <w:p w:rsidR="00A818E5" w:rsidRPr="00F05EE0" w:rsidRDefault="00A818E5">
      <w:pPr>
        <w:jc w:val="both"/>
        <w:rPr>
          <w:rFonts w:cs="Arial"/>
          <w:lang w:val="es-UY"/>
        </w:rPr>
      </w:pPr>
    </w:p>
    <w:p w:rsidR="00A818E5" w:rsidRPr="00F05EE0" w:rsidRDefault="00A818E5" w:rsidP="00A818E5">
      <w:pPr>
        <w:spacing w:line="360" w:lineRule="auto"/>
        <w:jc w:val="both"/>
        <w:rPr>
          <w:rFonts w:cs="Arial"/>
          <w:lang w:val="es-UY"/>
        </w:rPr>
      </w:pPr>
      <w:r w:rsidRPr="00F05EE0">
        <w:rPr>
          <w:rFonts w:cs="Arial"/>
          <w:b/>
          <w:lang w:val="es-UY"/>
        </w:rPr>
        <w:t>CONSTANCIA DE FUNDAMENTO DE VOTO DISCORDE DE LA MINISTRA</w:t>
      </w:r>
      <w:r w:rsidRPr="00F05EE0">
        <w:rPr>
          <w:rFonts w:cs="Arial"/>
          <w:lang w:val="es-UY"/>
        </w:rPr>
        <w:t xml:space="preserve">             </w:t>
      </w:r>
      <w:r w:rsidRPr="00F05EE0">
        <w:rPr>
          <w:rFonts w:cs="Arial"/>
          <w:b/>
          <w:lang w:val="es-UY"/>
        </w:rPr>
        <w:t>CRA. BEATRIZ MARTINEZ:</w:t>
      </w:r>
      <w:r w:rsidRPr="00F05EE0">
        <w:rPr>
          <w:rFonts w:cs="Arial"/>
          <w:lang w:val="es-UY"/>
        </w:rPr>
        <w:t xml:space="preserve"> “Emití voto discorde en relación a los estados correspondientes a ejercicios anteriores por motivos enteramente válidos en la consideración de los presentes.</w:t>
      </w:r>
    </w:p>
    <w:p w:rsidR="00A818E5" w:rsidRPr="00F05EE0" w:rsidRDefault="00A818E5" w:rsidP="00A818E5">
      <w:pPr>
        <w:spacing w:line="360" w:lineRule="auto"/>
        <w:jc w:val="both"/>
        <w:rPr>
          <w:rFonts w:cs="Arial"/>
          <w:lang w:val="es-UY"/>
        </w:rPr>
      </w:pPr>
      <w:r w:rsidRPr="00F05EE0">
        <w:rPr>
          <w:rFonts w:cs="Arial"/>
          <w:lang w:val="es-UY"/>
        </w:rPr>
        <w:t xml:space="preserve">Por lo tanto adjunto copia de fundamento de voto emitido anteriormente, que considero enteramente </w:t>
      </w:r>
      <w:r w:rsidR="00465C91">
        <w:rPr>
          <w:rFonts w:cs="Arial"/>
          <w:lang w:val="es-UY"/>
        </w:rPr>
        <w:t>aplicable en esta oportunidad”.</w:t>
      </w:r>
    </w:p>
    <w:p w:rsidR="00A818E5" w:rsidRPr="00F05EE0" w:rsidRDefault="00A818E5" w:rsidP="00F05EE0">
      <w:pPr>
        <w:spacing w:line="360" w:lineRule="auto"/>
        <w:jc w:val="both"/>
        <w:rPr>
          <w:rFonts w:cs="Arial"/>
          <w:lang w:val="es-UY"/>
        </w:rPr>
      </w:pPr>
    </w:p>
    <w:p w:rsidR="00A818E5" w:rsidRPr="00F05EE0" w:rsidRDefault="00A818E5" w:rsidP="00F05EE0">
      <w:pPr>
        <w:spacing w:line="360" w:lineRule="auto"/>
        <w:jc w:val="both"/>
        <w:rPr>
          <w:rFonts w:cs="Arial"/>
          <w:lang w:val="es-UY"/>
        </w:rPr>
      </w:pPr>
    </w:p>
    <w:p w:rsidR="00A818E5" w:rsidRDefault="00A818E5" w:rsidP="00F05EE0">
      <w:pPr>
        <w:spacing w:line="360" w:lineRule="auto"/>
        <w:rPr>
          <w:rFonts w:cs="Arial"/>
          <w:lang w:val="es-UY"/>
        </w:rPr>
      </w:pPr>
    </w:p>
    <w:p w:rsidR="00F05EE0" w:rsidRPr="00F05EE0" w:rsidRDefault="00F05EE0" w:rsidP="00F05EE0">
      <w:pPr>
        <w:spacing w:line="360" w:lineRule="auto"/>
        <w:rPr>
          <w:rFonts w:cs="Arial"/>
          <w:lang w:val="es-UY"/>
        </w:rPr>
      </w:pPr>
    </w:p>
    <w:p w:rsidR="00F05EE0" w:rsidRPr="00F05EE0" w:rsidRDefault="00F05EE0" w:rsidP="00F05EE0">
      <w:pPr>
        <w:spacing w:line="360" w:lineRule="auto"/>
        <w:jc w:val="center"/>
        <w:rPr>
          <w:rFonts w:cs="Arial"/>
          <w:b/>
        </w:rPr>
      </w:pPr>
      <w:r w:rsidRPr="00F05EE0">
        <w:rPr>
          <w:rFonts w:cs="Arial"/>
          <w:b/>
        </w:rPr>
        <w:t xml:space="preserve">DICTAMEN </w:t>
      </w:r>
    </w:p>
    <w:p w:rsidR="00F05EE0" w:rsidRPr="00F05EE0" w:rsidRDefault="00F05EE0" w:rsidP="00F05EE0">
      <w:pPr>
        <w:spacing w:line="360" w:lineRule="auto"/>
        <w:jc w:val="both"/>
        <w:rPr>
          <w:rFonts w:eastAsia="Calibri" w:cs="Arial"/>
          <w:spacing w:val="-3"/>
          <w:lang w:val="es-MX" w:eastAsia="en-US"/>
        </w:rPr>
      </w:pPr>
    </w:p>
    <w:p w:rsidR="00F05EE0" w:rsidRPr="00F05EE0" w:rsidRDefault="00F05EE0" w:rsidP="00F05EE0">
      <w:pPr>
        <w:spacing w:line="360" w:lineRule="auto"/>
        <w:jc w:val="both"/>
        <w:rPr>
          <w:rFonts w:eastAsia="Calibri" w:cs="Arial"/>
          <w:spacing w:val="-3"/>
          <w:lang w:val="es-MX" w:eastAsia="en-US"/>
        </w:rPr>
      </w:pPr>
      <w:r w:rsidRPr="00F05EE0">
        <w:rPr>
          <w:rFonts w:eastAsia="Calibri" w:cs="Arial"/>
          <w:spacing w:val="-3"/>
          <w:lang w:val="es-MX" w:eastAsia="en-US"/>
        </w:rPr>
        <w:t>El Tribunal de Cuentas ha examinado los estados financieros consolidados de la Corporación Nacional para el Desarrollo (CND). Dichos estados comprenden el Estado de Situación Patrimonial Consolidado al 31/12/2014, los correspondientes Estados de Resultados Consolidado y de Flujo de Efectivo Consolidado, presentados en forma comparativa con el ejercicio anterior y el Estado de Evolución del Patrimonio Consolidado por el ejercicio anual finalizado el 31/12/2014, los Anexos y las Notas de políticas contables significativas y otras notas explicat</w:t>
      </w:r>
      <w:r>
        <w:rPr>
          <w:rFonts w:eastAsia="Calibri" w:cs="Arial"/>
          <w:spacing w:val="-3"/>
          <w:lang w:val="es-MX" w:eastAsia="en-US"/>
        </w:rPr>
        <w:t>ivas a los estados financieros.</w:t>
      </w:r>
    </w:p>
    <w:p w:rsidR="00F05EE0" w:rsidRPr="00F05EE0" w:rsidRDefault="00F05EE0" w:rsidP="00F05EE0">
      <w:pPr>
        <w:spacing w:line="360" w:lineRule="auto"/>
        <w:jc w:val="both"/>
        <w:rPr>
          <w:rFonts w:eastAsia="Calibri" w:cs="Arial"/>
          <w:spacing w:val="-3"/>
          <w:lang w:val="es-MX" w:eastAsia="en-US"/>
        </w:rPr>
      </w:pPr>
      <w:r w:rsidRPr="00F05EE0">
        <w:rPr>
          <w:rFonts w:eastAsia="Calibri" w:cs="Arial"/>
          <w:spacing w:val="-3"/>
          <w:lang w:val="es-MX" w:eastAsia="en-US"/>
        </w:rPr>
        <w:t>También se presentan, en caso de corresponder, los incumplimientos legales constatados por el Tribunal de Cuentas en el curso de la auditoría efectuada.</w:t>
      </w:r>
    </w:p>
    <w:p w:rsidR="00F05EE0" w:rsidRPr="00F05EE0" w:rsidRDefault="00F05EE0" w:rsidP="00F05EE0">
      <w:pPr>
        <w:spacing w:line="360" w:lineRule="auto"/>
        <w:jc w:val="both"/>
        <w:rPr>
          <w:rFonts w:eastAsia="Calibri" w:cs="Arial"/>
          <w:spacing w:val="-3"/>
          <w:lang w:val="es-MX" w:eastAsia="en-US"/>
        </w:rPr>
      </w:pPr>
    </w:p>
    <w:p w:rsidR="00F05EE0" w:rsidRPr="00F05EE0" w:rsidRDefault="00F05EE0" w:rsidP="00F05EE0">
      <w:pPr>
        <w:tabs>
          <w:tab w:val="left" w:pos="0"/>
        </w:tabs>
        <w:spacing w:line="360" w:lineRule="auto"/>
        <w:rPr>
          <w:rFonts w:cs="Arial"/>
          <w:b/>
          <w:lang w:val="es-UY"/>
        </w:rPr>
      </w:pPr>
      <w:r w:rsidRPr="00F05EE0">
        <w:rPr>
          <w:rFonts w:cs="Arial"/>
          <w:b/>
          <w:lang w:val="es-UY"/>
        </w:rPr>
        <w:t>Responsabilidad de la Dirección por los estados financieros</w:t>
      </w:r>
    </w:p>
    <w:p w:rsidR="00F05EE0" w:rsidRPr="00F05EE0" w:rsidRDefault="00F05EE0" w:rsidP="00F05EE0">
      <w:pPr>
        <w:spacing w:after="200" w:line="360" w:lineRule="auto"/>
        <w:jc w:val="both"/>
        <w:rPr>
          <w:rFonts w:eastAsia="Calibri" w:cs="Arial"/>
          <w:spacing w:val="-3"/>
          <w:lang w:val="es-MX" w:eastAsia="en-US"/>
        </w:rPr>
      </w:pPr>
      <w:r w:rsidRPr="00F05EE0">
        <w:rPr>
          <w:rFonts w:eastAsia="Calibri" w:cs="Arial"/>
          <w:spacing w:val="-3"/>
          <w:lang w:val="es-MX" w:eastAsia="en-US"/>
        </w:rPr>
        <w:t>La Dirección de la CND es responsable por la preparación y la razonable presentación de estos estados financieros de acuerdo con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F05EE0" w:rsidRPr="00F05EE0" w:rsidRDefault="00F05EE0" w:rsidP="00F05EE0">
      <w:pPr>
        <w:spacing w:line="360" w:lineRule="auto"/>
        <w:jc w:val="both"/>
        <w:rPr>
          <w:rFonts w:eastAsia="Calibri" w:cs="Arial"/>
          <w:b/>
          <w:lang w:val="es-UY" w:eastAsia="en-US"/>
        </w:rPr>
      </w:pPr>
      <w:r w:rsidRPr="00F05EE0">
        <w:rPr>
          <w:rFonts w:eastAsia="Calibri" w:cs="Arial"/>
          <w:b/>
          <w:lang w:val="es-UY" w:eastAsia="en-US"/>
        </w:rPr>
        <w:t>Responsabilidad del auditor</w:t>
      </w:r>
    </w:p>
    <w:p w:rsidR="00F05EE0" w:rsidRPr="00F05EE0" w:rsidRDefault="00F05EE0" w:rsidP="00F05EE0">
      <w:pPr>
        <w:spacing w:line="360" w:lineRule="auto"/>
        <w:jc w:val="both"/>
        <w:rPr>
          <w:rFonts w:eastAsia="Calibri" w:cs="Arial"/>
          <w:lang w:val="es-UY" w:eastAsia="en-US"/>
        </w:rPr>
      </w:pPr>
      <w:r w:rsidRPr="00F05EE0">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F05EE0">
        <w:rPr>
          <w:rFonts w:eastAsia="Calibri" w:cs="Arial"/>
          <w:lang w:val="es-UY" w:eastAsia="en-US"/>
        </w:rPr>
        <w:t>con los Principios Fundamentales de Auditoría (ISSAI 100 y 200) y las Directrices de Auditoría Financiera (ISSAI 1000 a 1810) de la Organización Internacional de Entidades Fiscalizadoras Superiores (INTOSAI).</w:t>
      </w:r>
    </w:p>
    <w:p w:rsidR="00F05EE0" w:rsidRPr="00F05EE0" w:rsidRDefault="00F05EE0" w:rsidP="00F05EE0">
      <w:pPr>
        <w:spacing w:line="360" w:lineRule="auto"/>
        <w:jc w:val="both"/>
        <w:rPr>
          <w:rFonts w:eastAsia="Calibri" w:cs="Arial"/>
          <w:lang w:val="es-UY" w:eastAsia="en-US"/>
        </w:rPr>
      </w:pPr>
      <w:r w:rsidRPr="00F05EE0">
        <w:rPr>
          <w:rFonts w:eastAsia="Calibri" w:cs="Arial"/>
          <w:lang w:val="es-UY" w:eastAsia="en-US"/>
        </w:rPr>
        <w:t>No obstante, debido a lo mencionado en el párrafo Bases para la abstención de opinión, no fue posible obtener evidencia de auditoría apropiada y suficiente para sustentar la opinión.</w:t>
      </w:r>
    </w:p>
    <w:p w:rsidR="00F05EE0" w:rsidRPr="00F05EE0" w:rsidRDefault="00F05EE0" w:rsidP="00F05EE0">
      <w:pPr>
        <w:spacing w:line="360" w:lineRule="auto"/>
        <w:jc w:val="both"/>
        <w:rPr>
          <w:rFonts w:eastAsia="Calibri" w:cs="Arial"/>
          <w:spacing w:val="-3"/>
          <w:lang w:val="es-MX" w:eastAsia="en-US"/>
        </w:rPr>
      </w:pPr>
    </w:p>
    <w:p w:rsidR="00F05EE0" w:rsidRPr="00F05EE0" w:rsidRDefault="00F05EE0" w:rsidP="00F05EE0">
      <w:pPr>
        <w:spacing w:line="360" w:lineRule="auto"/>
        <w:jc w:val="both"/>
        <w:rPr>
          <w:rFonts w:eastAsia="Calibri" w:cs="Arial"/>
          <w:b/>
          <w:bCs/>
          <w:spacing w:val="-3"/>
          <w:lang w:val="es-MX" w:eastAsia="en-US"/>
        </w:rPr>
      </w:pPr>
      <w:r w:rsidRPr="00F05EE0">
        <w:rPr>
          <w:rFonts w:eastAsia="Calibri" w:cs="Arial"/>
          <w:b/>
          <w:bCs/>
          <w:spacing w:val="-3"/>
          <w:lang w:val="es-MX" w:eastAsia="en-US"/>
        </w:rPr>
        <w:t>Bases para la abstención de opinión</w:t>
      </w:r>
    </w:p>
    <w:p w:rsidR="00F05EE0" w:rsidRPr="00F05EE0" w:rsidRDefault="00F05EE0" w:rsidP="00F05EE0">
      <w:pPr>
        <w:autoSpaceDE w:val="0"/>
        <w:autoSpaceDN w:val="0"/>
        <w:adjustRightInd w:val="0"/>
        <w:spacing w:line="360" w:lineRule="auto"/>
        <w:jc w:val="both"/>
        <w:rPr>
          <w:rFonts w:cs="Arial"/>
          <w:spacing w:val="-3"/>
          <w:lang w:val="es-MX"/>
        </w:rPr>
      </w:pPr>
      <w:r w:rsidRPr="00F05EE0">
        <w:rPr>
          <w:rFonts w:cs="Arial"/>
          <w:spacing w:val="-3"/>
          <w:lang w:val="es-MX"/>
        </w:rPr>
        <w:t>La Ley Nº 18.602 de 15/09/2009 creó la Agencia Nacional de Desarrollo (ANDE) y determinó sus cometidos, modificando los asignados a CND. Las actividades desarrolladas en el marco de las competencias atribuidas a ANDE fueron registradas en la contabilidad de CND cuando las mismas debieron haberse registrado en una contabilidad separada, atento a lo prescripto por dicha Ley.</w:t>
      </w:r>
    </w:p>
    <w:p w:rsidR="00F05EE0" w:rsidRPr="00F05EE0" w:rsidRDefault="00F05EE0" w:rsidP="00F05EE0">
      <w:pPr>
        <w:autoSpaceDE w:val="0"/>
        <w:autoSpaceDN w:val="0"/>
        <w:adjustRightInd w:val="0"/>
        <w:spacing w:line="360" w:lineRule="auto"/>
        <w:jc w:val="both"/>
        <w:rPr>
          <w:rFonts w:cs="Arial"/>
          <w:spacing w:val="-3"/>
          <w:lang w:val="es-MX"/>
        </w:rPr>
      </w:pPr>
      <w:r w:rsidRPr="00F05EE0">
        <w:rPr>
          <w:rFonts w:cs="Arial"/>
          <w:spacing w:val="-3"/>
          <w:lang w:val="es-MX"/>
        </w:rPr>
        <w:t>En Ejercicios anteriores no se pudo obtener evidencia suficiente sobre el impacto de estas operaciones y cuanto representaron en los estados financieros de CND, por lo que no se expresó una opinión sobre dichos estados. En este ejercicio la situación se mantuvo incambiada respecto a que l</w:t>
      </w:r>
      <w:r w:rsidRPr="00F05EE0">
        <w:rPr>
          <w:rFonts w:cs="Arial"/>
          <w:lang w:val="es-UY"/>
        </w:rPr>
        <w:t>os registros de CND no permitieron cuantificar el efecto en sus estados financieros de las actividades mencionadas y no se pudo obtener la información por procedimientos de auditoría alternativos.</w:t>
      </w:r>
    </w:p>
    <w:p w:rsidR="00F05EE0" w:rsidRPr="00F05EE0" w:rsidRDefault="00F05EE0" w:rsidP="00F05EE0">
      <w:pPr>
        <w:autoSpaceDE w:val="0"/>
        <w:autoSpaceDN w:val="0"/>
        <w:adjustRightInd w:val="0"/>
        <w:spacing w:line="360" w:lineRule="auto"/>
        <w:jc w:val="both"/>
        <w:rPr>
          <w:rFonts w:cs="Arial"/>
          <w:spacing w:val="-3"/>
          <w:lang w:val="es-MX"/>
        </w:rPr>
      </w:pPr>
      <w:r w:rsidRPr="00F05EE0">
        <w:rPr>
          <w:rFonts w:cs="Arial"/>
          <w:spacing w:val="-3"/>
          <w:lang w:val="es-MX"/>
        </w:rPr>
        <w:t>Consecuentemente existe una limitación importante para formarnos una opinión tanto sobre los saldos iniciales del Ejercicio 2014 como sobre los saldos acumulados al 31/12/2014.</w:t>
      </w:r>
    </w:p>
    <w:p w:rsidR="00F05EE0" w:rsidRPr="00F05EE0" w:rsidRDefault="00F05EE0" w:rsidP="00F05EE0">
      <w:pPr>
        <w:spacing w:line="360" w:lineRule="auto"/>
        <w:jc w:val="both"/>
        <w:rPr>
          <w:rFonts w:eastAsia="Calibri" w:cs="Arial"/>
          <w:b/>
          <w:lang w:val="es-UY" w:eastAsia="en-US"/>
        </w:rPr>
      </w:pPr>
    </w:p>
    <w:p w:rsidR="00F05EE0" w:rsidRPr="00F05EE0" w:rsidRDefault="00F05EE0" w:rsidP="00F05EE0">
      <w:pPr>
        <w:spacing w:line="360" w:lineRule="auto"/>
        <w:jc w:val="both"/>
        <w:rPr>
          <w:rFonts w:eastAsia="Calibri" w:cs="Arial"/>
          <w:b/>
          <w:lang w:val="es-UY" w:eastAsia="en-US"/>
        </w:rPr>
      </w:pPr>
      <w:r w:rsidRPr="00F05EE0">
        <w:rPr>
          <w:rFonts w:eastAsia="Calibri" w:cs="Arial"/>
          <w:b/>
          <w:lang w:val="es-UY" w:eastAsia="en-US"/>
        </w:rPr>
        <w:t>Abstención de opinión</w:t>
      </w:r>
    </w:p>
    <w:p w:rsidR="00F05EE0" w:rsidRPr="00F05EE0" w:rsidRDefault="00F05EE0" w:rsidP="00F05EE0">
      <w:pPr>
        <w:spacing w:line="360" w:lineRule="auto"/>
        <w:jc w:val="both"/>
        <w:rPr>
          <w:rFonts w:eastAsia="Calibri" w:cs="Arial"/>
          <w:lang w:val="es-UY" w:eastAsia="en-US"/>
        </w:rPr>
      </w:pPr>
      <w:r w:rsidRPr="00F05EE0">
        <w:rPr>
          <w:rFonts w:eastAsia="Calibri" w:cs="Arial"/>
          <w:spacing w:val="-3"/>
          <w:lang w:val="es-MX" w:eastAsia="en-US"/>
        </w:rPr>
        <w:t>Debido a lo expresado en el párrafo anterior y que no fue posible aplicar otros procedimientos de auditoría para satisfacernos sobre los saldos del ejercicio cerrado al 31/12/2014, el alcance de la auditoría no es suficiente para permitir expresar, y por lo tanto no se expresa, una opinión sobre los estados financieros mencionados.</w:t>
      </w:r>
    </w:p>
    <w:p w:rsidR="00F05EE0" w:rsidRDefault="00F05EE0" w:rsidP="00F05EE0">
      <w:pPr>
        <w:spacing w:line="360" w:lineRule="auto"/>
        <w:jc w:val="both"/>
        <w:rPr>
          <w:rFonts w:cs="Arial"/>
          <w:lang w:val="es-UY"/>
        </w:rPr>
      </w:pPr>
      <w:r w:rsidRPr="00F05EE0">
        <w:rPr>
          <w:rFonts w:cs="Arial"/>
          <w:lang w:val="es-UY"/>
        </w:rPr>
        <w:t>Con relación al cumplimiento de la normativa vigente, en el curso de la auditoría r</w:t>
      </w:r>
      <w:r w:rsidR="00311791">
        <w:rPr>
          <w:rFonts w:cs="Arial"/>
          <w:lang w:val="es-UY"/>
        </w:rPr>
        <w:t>ealizada, se ha constatado que:</w:t>
      </w:r>
    </w:p>
    <w:p w:rsidR="00311791" w:rsidRPr="00F05EE0" w:rsidRDefault="00311791" w:rsidP="00F05EE0">
      <w:pPr>
        <w:spacing w:line="360" w:lineRule="auto"/>
        <w:jc w:val="both"/>
        <w:rPr>
          <w:rFonts w:cs="Arial"/>
          <w:lang w:val="es-UY"/>
        </w:rPr>
      </w:pPr>
    </w:p>
    <w:p w:rsidR="00F05EE0" w:rsidRPr="00F05EE0" w:rsidRDefault="00F05EE0" w:rsidP="00F05EE0">
      <w:pPr>
        <w:spacing w:line="360" w:lineRule="auto"/>
        <w:jc w:val="both"/>
        <w:rPr>
          <w:rFonts w:cs="Arial"/>
          <w:lang w:val="es-UY"/>
        </w:rPr>
      </w:pPr>
      <w:r w:rsidRPr="00F05EE0">
        <w:rPr>
          <w:rFonts w:cs="Arial"/>
          <w:b/>
          <w:spacing w:val="-6"/>
          <w:lang w:val="es-UY"/>
        </w:rPr>
        <w:t>- Artículos 29 de la Ley N° 15.785 (Ley Orgánica), 38 del Decreto Nº</w:t>
      </w:r>
      <w:r w:rsidRPr="00F05EE0">
        <w:rPr>
          <w:rFonts w:cs="Arial"/>
          <w:b/>
          <w:lang w:val="es-UY"/>
        </w:rPr>
        <w:t xml:space="preserve"> 247/987 y 177 del TOCAF. </w:t>
      </w:r>
      <w:r w:rsidRPr="00F05EE0">
        <w:rPr>
          <w:rFonts w:cs="Arial"/>
          <w:lang w:val="es-UY"/>
        </w:rPr>
        <w:t>No fueron publicados en el Diario Oficial los Estados Financieros de la CND correspondientes al Ejercicio 2013 y el respectivo Dictamen del Tribunal de Cuentas.</w:t>
      </w:r>
    </w:p>
    <w:p w:rsidR="00F05EE0" w:rsidRPr="00F05EE0" w:rsidRDefault="00F05EE0" w:rsidP="00F05EE0">
      <w:pPr>
        <w:spacing w:line="360" w:lineRule="auto"/>
        <w:jc w:val="both"/>
        <w:rPr>
          <w:rFonts w:cs="Arial"/>
          <w:lang w:val="es-UY"/>
        </w:rPr>
      </w:pPr>
      <w:r w:rsidRPr="00F05EE0">
        <w:rPr>
          <w:rFonts w:cs="Arial"/>
          <w:b/>
          <w:lang w:val="es-UY"/>
        </w:rPr>
        <w:t xml:space="preserve">- Artículo 26 de la Ley N° 17.555. </w:t>
      </w:r>
      <w:r w:rsidRPr="00F05EE0">
        <w:rPr>
          <w:rFonts w:cs="Arial"/>
          <w:lang w:val="es-UY"/>
        </w:rPr>
        <w:t xml:space="preserve">Si bien se incluyeron los estados financieros auditados de las subsidiarias en la página web del </w:t>
      </w:r>
      <w:r w:rsidRPr="00F05EE0">
        <w:rPr>
          <w:rFonts w:cs="Arial"/>
        </w:rPr>
        <w:t>O</w:t>
      </w:r>
      <w:proofErr w:type="spellStart"/>
      <w:r w:rsidRPr="00F05EE0">
        <w:rPr>
          <w:rFonts w:cs="Arial"/>
          <w:lang w:val="es-UY"/>
        </w:rPr>
        <w:t>rganismo</w:t>
      </w:r>
      <w:proofErr w:type="spellEnd"/>
      <w:r w:rsidRPr="00F05EE0">
        <w:rPr>
          <w:rFonts w:cs="Arial"/>
          <w:lang w:val="es-UY"/>
        </w:rPr>
        <w:t>, los mismos no fueron publicados en el Diario Oficial como establece esta norma.</w:t>
      </w:r>
    </w:p>
    <w:p w:rsidR="00F05EE0" w:rsidRPr="00F05EE0" w:rsidRDefault="00F05EE0" w:rsidP="00F05EE0">
      <w:pPr>
        <w:autoSpaceDE w:val="0"/>
        <w:autoSpaceDN w:val="0"/>
        <w:adjustRightInd w:val="0"/>
        <w:spacing w:line="360" w:lineRule="auto"/>
        <w:jc w:val="both"/>
        <w:rPr>
          <w:rFonts w:cs="Arial"/>
          <w:lang w:val="es-UY"/>
        </w:rPr>
      </w:pPr>
      <w:r w:rsidRPr="00F05EE0">
        <w:rPr>
          <w:rFonts w:cs="Arial"/>
          <w:b/>
          <w:lang w:val="es-UY"/>
        </w:rPr>
        <w:t>- Artículo 80 de la Ley N° 17.555 reglamentado por el Decreto 375/02 de 28/09/2002</w:t>
      </w:r>
      <w:r w:rsidRPr="00F05EE0">
        <w:rPr>
          <w:rFonts w:cs="Arial"/>
          <w:lang w:val="es-UY"/>
        </w:rPr>
        <w:t>. Los depósitos no fueron realizados exclusivamente en el Banco de la República Oriental del Uruguay</w:t>
      </w:r>
      <w:r w:rsidRPr="00F05EE0">
        <w:rPr>
          <w:rFonts w:cs="Arial"/>
        </w:rPr>
        <w:t xml:space="preserve"> (BROU)</w:t>
      </w:r>
      <w:r w:rsidRPr="00F05EE0">
        <w:rPr>
          <w:rFonts w:cs="Arial"/>
          <w:lang w:val="es-UY"/>
        </w:rPr>
        <w:t>.</w:t>
      </w:r>
    </w:p>
    <w:p w:rsidR="00F05EE0" w:rsidRPr="00F05EE0" w:rsidRDefault="00F05EE0" w:rsidP="00F05EE0">
      <w:pPr>
        <w:spacing w:line="360" w:lineRule="auto"/>
        <w:jc w:val="both"/>
        <w:rPr>
          <w:rFonts w:cs="Arial"/>
        </w:rPr>
      </w:pPr>
      <w:r w:rsidRPr="00F05EE0">
        <w:rPr>
          <w:rFonts w:cs="Arial"/>
          <w:b/>
          <w:spacing w:val="-8"/>
          <w:lang w:val="es-UY"/>
        </w:rPr>
        <w:t xml:space="preserve">- Artículos 211 Literales B) y E) de la Constitución de la República, 34 Literal E) de la Ley Nº 18.602 que modifica el Artículo </w:t>
      </w:r>
      <w:r w:rsidRPr="00F05EE0">
        <w:rPr>
          <w:rFonts w:cs="Arial"/>
          <w:b/>
          <w:spacing w:val="6"/>
          <w:lang w:val="es-UY"/>
        </w:rPr>
        <w:t>11 de la Ley Nº</w:t>
      </w:r>
      <w:r w:rsidRPr="00F05EE0">
        <w:rPr>
          <w:rFonts w:cs="Arial"/>
          <w:b/>
          <w:lang w:val="es-UY"/>
        </w:rPr>
        <w:t xml:space="preserve"> 15.785, y 33 y siguientes del TOCAF. </w:t>
      </w:r>
      <w:r w:rsidRPr="00F05EE0">
        <w:rPr>
          <w:rFonts w:cs="Arial"/>
          <w:lang w:val="es-UY"/>
        </w:rPr>
        <w:t>Se han desarrollado actividades que exceden el marco de competencias que la Ley de Creación y sus modificativas le atribuyen a la CND a texto expreso.</w:t>
      </w:r>
    </w:p>
    <w:p w:rsidR="00F05EE0" w:rsidRPr="00F05EE0" w:rsidRDefault="00F05EE0" w:rsidP="00F05EE0">
      <w:pPr>
        <w:autoSpaceDE w:val="0"/>
        <w:autoSpaceDN w:val="0"/>
        <w:adjustRightInd w:val="0"/>
        <w:spacing w:line="360" w:lineRule="auto"/>
        <w:jc w:val="both"/>
        <w:rPr>
          <w:rFonts w:cs="Arial"/>
          <w:lang w:val="es-UY"/>
        </w:rPr>
      </w:pPr>
      <w:r w:rsidRPr="00F05EE0">
        <w:rPr>
          <w:rFonts w:cs="Arial"/>
          <w:b/>
          <w:lang w:val="es-UY"/>
        </w:rPr>
        <w:t>- Artículo 9 de la Ordenanza Nº 77 del Tribunal de Cuentas</w:t>
      </w:r>
      <w:r w:rsidRPr="00F05EE0">
        <w:rPr>
          <w:rFonts w:cs="Arial"/>
          <w:lang w:val="es-UY"/>
        </w:rPr>
        <w:t>. No fueron incluidos  en los Informes de Rendición de Cuentas de los fondos del Contrato de Fideicomiso de Infraestructura Educativa Pública de la ANEP correspondientes al Ejercicio 2014 la fecha de entrega de los fondos, la fecha de los rendidos y los pendientes de rendición.</w:t>
      </w:r>
    </w:p>
    <w:p w:rsidR="00F05EE0" w:rsidRPr="00F05EE0" w:rsidRDefault="00F05EE0" w:rsidP="00F05EE0">
      <w:pPr>
        <w:autoSpaceDE w:val="0"/>
        <w:autoSpaceDN w:val="0"/>
        <w:adjustRightInd w:val="0"/>
        <w:spacing w:line="360" w:lineRule="auto"/>
        <w:jc w:val="right"/>
        <w:rPr>
          <w:rFonts w:cs="Arial"/>
          <w:lang w:val="es-UY"/>
        </w:rPr>
      </w:pPr>
      <w:r w:rsidRPr="00F05EE0">
        <w:rPr>
          <w:rFonts w:cs="Arial"/>
          <w:lang w:val="es-UY"/>
        </w:rPr>
        <w:t>Montevideo, 22 de setiembre de 2015</w:t>
      </w:r>
    </w:p>
    <w:p w:rsidR="00F05EE0" w:rsidRDefault="00F05EE0" w:rsidP="00F05EE0">
      <w:pPr>
        <w:autoSpaceDE w:val="0"/>
        <w:autoSpaceDN w:val="0"/>
        <w:adjustRightInd w:val="0"/>
        <w:spacing w:line="360" w:lineRule="auto"/>
        <w:jc w:val="right"/>
        <w:rPr>
          <w:rFonts w:cs="Arial"/>
          <w:lang w:val="es-UY"/>
        </w:rPr>
      </w:pPr>
    </w:p>
    <w:p w:rsidR="00311791" w:rsidRDefault="00311791" w:rsidP="00F05EE0">
      <w:pPr>
        <w:autoSpaceDE w:val="0"/>
        <w:autoSpaceDN w:val="0"/>
        <w:adjustRightInd w:val="0"/>
        <w:spacing w:line="360" w:lineRule="auto"/>
        <w:jc w:val="right"/>
        <w:rPr>
          <w:rFonts w:cs="Arial"/>
          <w:lang w:val="es-UY"/>
        </w:rPr>
      </w:pPr>
    </w:p>
    <w:p w:rsidR="00311791" w:rsidRDefault="00311791" w:rsidP="00F05EE0">
      <w:pPr>
        <w:autoSpaceDE w:val="0"/>
        <w:autoSpaceDN w:val="0"/>
        <w:adjustRightInd w:val="0"/>
        <w:spacing w:line="360" w:lineRule="auto"/>
        <w:jc w:val="right"/>
        <w:rPr>
          <w:rFonts w:cs="Arial"/>
          <w:lang w:val="es-UY"/>
        </w:rPr>
      </w:pPr>
    </w:p>
    <w:p w:rsidR="00311791" w:rsidRPr="00F05EE0" w:rsidRDefault="00311791" w:rsidP="00F05EE0">
      <w:pPr>
        <w:autoSpaceDE w:val="0"/>
        <w:autoSpaceDN w:val="0"/>
        <w:adjustRightInd w:val="0"/>
        <w:spacing w:line="360" w:lineRule="auto"/>
        <w:jc w:val="right"/>
        <w:rPr>
          <w:rFonts w:cs="Arial"/>
          <w:lang w:val="es-UY"/>
        </w:rPr>
      </w:pPr>
    </w:p>
    <w:p w:rsidR="00F05EE0" w:rsidRPr="00F05EE0" w:rsidRDefault="00F05EE0" w:rsidP="00F05EE0">
      <w:pPr>
        <w:keepNext/>
        <w:jc w:val="center"/>
        <w:outlineLvl w:val="7"/>
        <w:rPr>
          <w:rFonts w:cs="Arial"/>
          <w:b/>
        </w:rPr>
      </w:pPr>
      <w:r w:rsidRPr="00F05EE0">
        <w:rPr>
          <w:rFonts w:eastAsia="Calibri" w:cs="Arial"/>
          <w:b/>
          <w:lang w:val="es-UY" w:eastAsia="en-US"/>
        </w:rPr>
        <w:t>DICTAMEN</w:t>
      </w:r>
    </w:p>
    <w:p w:rsidR="00F05EE0" w:rsidRPr="00F05EE0" w:rsidRDefault="00F05EE0" w:rsidP="00F05EE0">
      <w:pPr>
        <w:keepNext/>
        <w:jc w:val="both"/>
        <w:outlineLvl w:val="7"/>
        <w:rPr>
          <w:rFonts w:cs="Arial"/>
        </w:rPr>
      </w:pPr>
    </w:p>
    <w:p w:rsidR="00F05EE0" w:rsidRPr="00F05EE0" w:rsidRDefault="00F05EE0" w:rsidP="00F05EE0">
      <w:pPr>
        <w:keepNext/>
        <w:jc w:val="both"/>
        <w:outlineLvl w:val="7"/>
        <w:rPr>
          <w:rFonts w:cs="Arial"/>
        </w:rPr>
      </w:pPr>
    </w:p>
    <w:p w:rsidR="00F05EE0" w:rsidRPr="00F05EE0" w:rsidRDefault="00F05EE0" w:rsidP="00F05EE0">
      <w:pPr>
        <w:spacing w:line="360" w:lineRule="auto"/>
        <w:jc w:val="both"/>
        <w:rPr>
          <w:rFonts w:cs="Arial"/>
          <w:lang w:val="es-MX"/>
        </w:rPr>
      </w:pPr>
      <w:r w:rsidRPr="00F05EE0">
        <w:rPr>
          <w:rFonts w:cs="Arial"/>
          <w:lang w:val="es-UY"/>
        </w:rPr>
        <w:t>El Tribunal de Cuentas ha examinado los estados financieros de la Corporación Nacional para el Desarrollo (CND). Dichos estados comprenden el Estado de Situación Patrimonial Individual al 31/12/2014, los correspondientes Estados de Resultados Individual y de Flujos de Efectivo Individual, el Estado de Cambios en el Patrimonio Neto individual por el ejercicio anual finalizado el 31/12/2014, presentados en forma comparativa con el ejercicio anterior, los Anexos, las Notas de políticas contables significativas, otras notas explicativas a los estados financieros y el Balance de Ejecución Presupuestal 2014 con las correspondientes notas explicativas.</w:t>
      </w:r>
    </w:p>
    <w:p w:rsidR="00F05EE0" w:rsidRDefault="00F05EE0" w:rsidP="00F05EE0">
      <w:pPr>
        <w:tabs>
          <w:tab w:val="left" w:pos="0"/>
          <w:tab w:val="center" w:pos="4252"/>
        </w:tabs>
        <w:spacing w:line="360" w:lineRule="auto"/>
        <w:rPr>
          <w:rFonts w:cs="Arial"/>
          <w:lang w:val="es-MX"/>
        </w:rPr>
      </w:pPr>
    </w:p>
    <w:p w:rsidR="00311791" w:rsidRPr="00F05EE0" w:rsidRDefault="00311791" w:rsidP="00F05EE0">
      <w:pPr>
        <w:tabs>
          <w:tab w:val="left" w:pos="0"/>
          <w:tab w:val="center" w:pos="4252"/>
        </w:tabs>
        <w:spacing w:line="360" w:lineRule="auto"/>
        <w:rPr>
          <w:rFonts w:cs="Arial"/>
          <w:lang w:val="es-MX"/>
        </w:rPr>
      </w:pPr>
    </w:p>
    <w:p w:rsidR="00F05EE0" w:rsidRPr="00F05EE0" w:rsidRDefault="00F05EE0" w:rsidP="00F05EE0">
      <w:pPr>
        <w:tabs>
          <w:tab w:val="left" w:pos="0"/>
        </w:tabs>
        <w:spacing w:line="360" w:lineRule="auto"/>
        <w:rPr>
          <w:rFonts w:cs="Arial"/>
          <w:b/>
          <w:lang w:val="es-UY"/>
        </w:rPr>
      </w:pPr>
      <w:r w:rsidRPr="00F05EE0">
        <w:rPr>
          <w:rFonts w:cs="Arial"/>
          <w:b/>
          <w:lang w:val="es-UY"/>
        </w:rPr>
        <w:t>Responsabilidad de la Dirección por los estados financieros</w:t>
      </w:r>
    </w:p>
    <w:p w:rsidR="00F05EE0" w:rsidRPr="00F05EE0" w:rsidRDefault="00F05EE0" w:rsidP="00F05EE0">
      <w:pPr>
        <w:spacing w:line="360" w:lineRule="auto"/>
        <w:jc w:val="both"/>
        <w:rPr>
          <w:rFonts w:eastAsia="Calibri" w:cs="Arial"/>
          <w:lang w:val="es-UY" w:eastAsia="en-US"/>
        </w:rPr>
      </w:pPr>
      <w:r w:rsidRPr="00F05EE0">
        <w:rPr>
          <w:rFonts w:eastAsia="Calibri" w:cs="Arial"/>
          <w:lang w:val="es-UY" w:eastAsia="en-US"/>
        </w:rPr>
        <w:t>La Dirección de la CND es responsable por la preparación y la razonable presentación de estos estados financieros de acuerdo con la Ordenanza Nº 81 del Tribunal de Cuentas y el TOCAF según corresponda.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F05EE0" w:rsidRPr="00F05EE0" w:rsidRDefault="00F05EE0" w:rsidP="00F05EE0">
      <w:pPr>
        <w:spacing w:line="360" w:lineRule="auto"/>
        <w:jc w:val="both"/>
        <w:rPr>
          <w:rFonts w:eastAsia="Calibri" w:cs="Arial"/>
          <w:lang w:val="es-UY" w:eastAsia="en-US"/>
        </w:rPr>
      </w:pPr>
    </w:p>
    <w:p w:rsidR="00F05EE0" w:rsidRPr="00F05EE0" w:rsidRDefault="00F05EE0" w:rsidP="00F05EE0">
      <w:pPr>
        <w:tabs>
          <w:tab w:val="left" w:pos="4785"/>
        </w:tabs>
        <w:spacing w:line="360" w:lineRule="auto"/>
        <w:jc w:val="both"/>
        <w:rPr>
          <w:rFonts w:eastAsia="Calibri" w:cs="Arial"/>
          <w:b/>
          <w:lang w:val="es-UY" w:eastAsia="en-US"/>
        </w:rPr>
      </w:pPr>
      <w:r w:rsidRPr="00F05EE0">
        <w:rPr>
          <w:rFonts w:eastAsia="Calibri" w:cs="Arial"/>
          <w:b/>
          <w:lang w:val="es-UY" w:eastAsia="en-US"/>
        </w:rPr>
        <w:t>Responsabilidad del auditor</w:t>
      </w:r>
    </w:p>
    <w:p w:rsidR="00F05EE0" w:rsidRPr="00F05EE0" w:rsidRDefault="00F05EE0" w:rsidP="00F05EE0">
      <w:pPr>
        <w:spacing w:line="360" w:lineRule="auto"/>
        <w:jc w:val="both"/>
        <w:rPr>
          <w:rFonts w:eastAsia="Calibri" w:cs="Arial"/>
          <w:lang w:val="es-UY" w:eastAsia="en-US"/>
        </w:rPr>
      </w:pPr>
      <w:r w:rsidRPr="00F05EE0">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F05EE0">
        <w:rPr>
          <w:rFonts w:eastAsia="Calibri" w:cs="Arial"/>
          <w:lang w:val="es-UY" w:eastAsia="en-US"/>
        </w:rPr>
        <w:t>con los Principios Fundamentales de Auditoría (ISSAI 100 y 200) y las Directrices de Auditoría Financiera (ISSAI 1000 a 1810) de la Organización Internacional de Entidades Fiscalizadoras Superiores (INTOSAI).</w:t>
      </w:r>
    </w:p>
    <w:p w:rsidR="00F05EE0" w:rsidRPr="00F05EE0" w:rsidRDefault="00F05EE0" w:rsidP="00F05EE0">
      <w:pPr>
        <w:spacing w:line="360" w:lineRule="auto"/>
        <w:jc w:val="both"/>
        <w:rPr>
          <w:rFonts w:eastAsia="Calibri" w:cs="Arial"/>
          <w:lang w:val="es-UY" w:eastAsia="en-US"/>
        </w:rPr>
      </w:pPr>
      <w:r w:rsidRPr="00F05EE0">
        <w:rPr>
          <w:rFonts w:eastAsia="Calibri" w:cs="Arial"/>
          <w:lang w:val="es-UY" w:eastAsia="en-US"/>
        </w:rPr>
        <w:t>No obstante, debido a lo mencionado en el párrafo Bases para la abstención de opinión, no fue posible obtener evidencia de auditoría apropiada y suficiente para sustentar la opinión.</w:t>
      </w:r>
    </w:p>
    <w:p w:rsidR="00F05EE0" w:rsidRPr="00F05EE0" w:rsidRDefault="00F05EE0" w:rsidP="00F05EE0">
      <w:pPr>
        <w:spacing w:line="360" w:lineRule="auto"/>
        <w:jc w:val="both"/>
        <w:rPr>
          <w:rFonts w:eastAsia="Calibri" w:cs="Arial"/>
          <w:b/>
          <w:bCs/>
          <w:spacing w:val="-3"/>
          <w:lang w:val="es-MX" w:eastAsia="en-US"/>
        </w:rPr>
      </w:pPr>
    </w:p>
    <w:p w:rsidR="00F05EE0" w:rsidRPr="00F05EE0" w:rsidRDefault="00F05EE0" w:rsidP="00F05EE0">
      <w:pPr>
        <w:spacing w:line="360" w:lineRule="auto"/>
        <w:jc w:val="both"/>
        <w:rPr>
          <w:rFonts w:eastAsia="Calibri" w:cs="Arial"/>
          <w:b/>
          <w:bCs/>
          <w:spacing w:val="-3"/>
          <w:lang w:val="es-MX" w:eastAsia="en-US"/>
        </w:rPr>
      </w:pPr>
      <w:r w:rsidRPr="00F05EE0">
        <w:rPr>
          <w:rFonts w:eastAsia="Calibri" w:cs="Arial"/>
          <w:b/>
          <w:bCs/>
          <w:spacing w:val="-3"/>
          <w:lang w:val="es-MX" w:eastAsia="en-US"/>
        </w:rPr>
        <w:t>Bases para la abstención de opinión</w:t>
      </w:r>
    </w:p>
    <w:p w:rsidR="00F05EE0" w:rsidRDefault="00F05EE0" w:rsidP="00F05EE0">
      <w:pPr>
        <w:autoSpaceDE w:val="0"/>
        <w:autoSpaceDN w:val="0"/>
        <w:adjustRightInd w:val="0"/>
        <w:spacing w:line="360" w:lineRule="auto"/>
        <w:jc w:val="both"/>
        <w:rPr>
          <w:rFonts w:cs="Arial"/>
          <w:spacing w:val="-3"/>
          <w:lang w:val="es-MX"/>
        </w:rPr>
      </w:pPr>
      <w:r w:rsidRPr="00F05EE0">
        <w:rPr>
          <w:rFonts w:cs="Arial"/>
          <w:spacing w:val="-3"/>
          <w:lang w:val="es-MX"/>
        </w:rPr>
        <w:t>La Ley Nº 18.602 de 15/09/2009 creó la Agencia Nacional de Desarrollo (ANDE) y determinó sus cometidos, modificando los asignados a CND. Las actividades desarrolladas en el marco de las competencias atribuidas a ANDE fueron registradas en la contabilidad de CND cuando las mismas debieron ser registradas en una contabilidad separada, atento a lo prescripto por dicha Ley.</w:t>
      </w:r>
    </w:p>
    <w:p w:rsidR="00311791" w:rsidRPr="00F05EE0" w:rsidRDefault="00311791" w:rsidP="00F05EE0">
      <w:pPr>
        <w:autoSpaceDE w:val="0"/>
        <w:autoSpaceDN w:val="0"/>
        <w:adjustRightInd w:val="0"/>
        <w:spacing w:line="360" w:lineRule="auto"/>
        <w:jc w:val="both"/>
        <w:rPr>
          <w:rFonts w:cs="Arial"/>
          <w:spacing w:val="-3"/>
          <w:lang w:val="es-MX"/>
        </w:rPr>
      </w:pPr>
    </w:p>
    <w:p w:rsidR="00F05EE0" w:rsidRPr="00F05EE0" w:rsidRDefault="00F05EE0" w:rsidP="00F05EE0">
      <w:pPr>
        <w:autoSpaceDE w:val="0"/>
        <w:autoSpaceDN w:val="0"/>
        <w:adjustRightInd w:val="0"/>
        <w:spacing w:line="360" w:lineRule="auto"/>
        <w:jc w:val="both"/>
        <w:rPr>
          <w:rFonts w:cs="Arial"/>
          <w:spacing w:val="-3"/>
          <w:lang w:val="es-MX"/>
        </w:rPr>
      </w:pPr>
      <w:r w:rsidRPr="00F05EE0">
        <w:rPr>
          <w:rFonts w:cs="Arial"/>
          <w:spacing w:val="-3"/>
          <w:lang w:val="es-MX"/>
        </w:rPr>
        <w:t>En Ejercicios anteriores no se pudo obtener evidencia suficiente sobre el impacto de estas operaciones y cuanto representaron en los estados financieros de CND, por lo que no se expresó una opinión sobre dichos estados. En este Ejercicio la situación se mantuvo incambiada en el sentido que l</w:t>
      </w:r>
      <w:r w:rsidRPr="00F05EE0">
        <w:rPr>
          <w:rFonts w:cs="Arial"/>
          <w:lang w:val="es-UY"/>
        </w:rPr>
        <w:t>os registros de CND no permitieron cuantificar el efecto en sus estados financieros de las actividades mencionadas y no se pudo obtener la información por procedimientos de auditoría alternativos.</w:t>
      </w:r>
    </w:p>
    <w:p w:rsidR="00F05EE0" w:rsidRPr="00F05EE0" w:rsidRDefault="00F05EE0" w:rsidP="00F05EE0">
      <w:pPr>
        <w:autoSpaceDE w:val="0"/>
        <w:autoSpaceDN w:val="0"/>
        <w:adjustRightInd w:val="0"/>
        <w:spacing w:line="360" w:lineRule="auto"/>
        <w:jc w:val="both"/>
        <w:rPr>
          <w:rFonts w:cs="Arial"/>
          <w:spacing w:val="-3"/>
          <w:lang w:val="es-MX"/>
        </w:rPr>
      </w:pPr>
      <w:r w:rsidRPr="00F05EE0">
        <w:rPr>
          <w:rFonts w:cs="Arial"/>
          <w:spacing w:val="-3"/>
          <w:lang w:val="es-MX"/>
        </w:rPr>
        <w:t>Consecuentemente existe una limitación importante para formarnos una opinión tanto sobre los saldos iniciales del Ejercicio 2014 como sobre los saldos acumulados al 31/12/2014.</w:t>
      </w:r>
    </w:p>
    <w:p w:rsidR="00F05EE0" w:rsidRPr="00F05EE0" w:rsidRDefault="00F05EE0" w:rsidP="00F05EE0">
      <w:pPr>
        <w:spacing w:line="360" w:lineRule="auto"/>
        <w:jc w:val="both"/>
        <w:rPr>
          <w:rFonts w:eastAsia="Calibri" w:cs="Arial"/>
          <w:b/>
          <w:lang w:val="es-MX" w:eastAsia="en-US"/>
        </w:rPr>
      </w:pPr>
    </w:p>
    <w:p w:rsidR="00F05EE0" w:rsidRPr="00F05EE0" w:rsidRDefault="00F05EE0" w:rsidP="00F05EE0">
      <w:pPr>
        <w:spacing w:line="360" w:lineRule="auto"/>
        <w:jc w:val="both"/>
        <w:rPr>
          <w:rFonts w:eastAsia="Calibri" w:cs="Arial"/>
          <w:b/>
          <w:lang w:val="es-UY" w:eastAsia="en-US"/>
        </w:rPr>
      </w:pPr>
      <w:r w:rsidRPr="00F05EE0">
        <w:rPr>
          <w:rFonts w:eastAsia="Calibri" w:cs="Arial"/>
          <w:b/>
          <w:lang w:val="es-UY" w:eastAsia="en-US"/>
        </w:rPr>
        <w:t>Abstención de opinión</w:t>
      </w:r>
    </w:p>
    <w:p w:rsidR="00F05EE0" w:rsidRPr="00F05EE0" w:rsidRDefault="00F05EE0" w:rsidP="00F05EE0">
      <w:pPr>
        <w:spacing w:line="360" w:lineRule="auto"/>
        <w:jc w:val="both"/>
        <w:rPr>
          <w:rFonts w:eastAsia="Calibri" w:cs="Arial"/>
          <w:lang w:val="es-UY" w:eastAsia="en-US"/>
        </w:rPr>
      </w:pPr>
      <w:r w:rsidRPr="00F05EE0">
        <w:rPr>
          <w:rFonts w:eastAsia="Calibri" w:cs="Arial"/>
          <w:spacing w:val="-3"/>
          <w:lang w:val="es-MX" w:eastAsia="en-US"/>
        </w:rPr>
        <w:t xml:space="preserve">Debido a lo expresado en el párrafo anterior y que no fue posible aplicar otros </w:t>
      </w:r>
      <w:r w:rsidRPr="00F05EE0">
        <w:rPr>
          <w:rFonts w:eastAsia="Calibri" w:cs="Arial"/>
          <w:spacing w:val="-10"/>
          <w:lang w:val="es-MX" w:eastAsia="en-US"/>
        </w:rPr>
        <w:t>procedimientos de auditoría para satisfacernos sobre los saldos del Ejercicio</w:t>
      </w:r>
      <w:r w:rsidRPr="00F05EE0">
        <w:rPr>
          <w:rFonts w:eastAsia="Calibri" w:cs="Arial"/>
          <w:spacing w:val="-3"/>
          <w:lang w:val="es-MX" w:eastAsia="en-US"/>
        </w:rPr>
        <w:t xml:space="preserve"> cerrado al 31/12/2014, el alcance de la auditoría no es suficiente para permitir expresar, y </w:t>
      </w:r>
      <w:r w:rsidRPr="00F05EE0">
        <w:rPr>
          <w:rFonts w:eastAsia="Calibri" w:cs="Arial"/>
          <w:spacing w:val="-10"/>
          <w:lang w:val="es-MX" w:eastAsia="en-US"/>
        </w:rPr>
        <w:t>por lo tanto no se expresa, una opinión sobre los estados financieros</w:t>
      </w:r>
      <w:r w:rsidRPr="00F05EE0">
        <w:rPr>
          <w:rFonts w:eastAsia="Calibri" w:cs="Arial"/>
          <w:spacing w:val="-3"/>
          <w:lang w:val="es-MX" w:eastAsia="en-US"/>
        </w:rPr>
        <w:t xml:space="preserve"> mencionados.</w:t>
      </w:r>
    </w:p>
    <w:p w:rsidR="00F05EE0" w:rsidRPr="00F05EE0" w:rsidRDefault="00F05EE0" w:rsidP="00F05EE0">
      <w:pPr>
        <w:spacing w:line="360" w:lineRule="auto"/>
        <w:jc w:val="both"/>
        <w:rPr>
          <w:rFonts w:cs="Arial"/>
          <w:color w:val="000000"/>
          <w:shd w:val="clear" w:color="auto" w:fill="FFFFFF"/>
          <w:lang w:val="es-UY"/>
        </w:rPr>
      </w:pPr>
      <w:r w:rsidRPr="00F05EE0">
        <w:rPr>
          <w:rFonts w:cs="Arial"/>
          <w:lang w:val="es-UY"/>
        </w:rPr>
        <w:t>Con relación al cumplimiento de la normativa vigente</w:t>
      </w:r>
      <w:r w:rsidRPr="00F05EE0">
        <w:rPr>
          <w:rFonts w:cs="Arial"/>
        </w:rPr>
        <w:t xml:space="preserve"> </w:t>
      </w:r>
      <w:r w:rsidRPr="00F05EE0">
        <w:rPr>
          <w:rFonts w:cs="Arial"/>
          <w:lang w:val="es-UY"/>
        </w:rPr>
        <w:t xml:space="preserve">en el curso de la auditoría realizada, </w:t>
      </w:r>
      <w:r w:rsidRPr="00F05EE0">
        <w:rPr>
          <w:rFonts w:cs="Arial"/>
        </w:rPr>
        <w:t xml:space="preserve">el mismo </w:t>
      </w:r>
      <w:r w:rsidRPr="00F05EE0">
        <w:rPr>
          <w:rFonts w:cs="Arial"/>
          <w:lang w:val="es-UY"/>
        </w:rPr>
        <w:t>fue señalado en el Dictamen correspondiente a los Estados Financieros Consolidados de la CND.</w:t>
      </w:r>
    </w:p>
    <w:p w:rsidR="00F05EE0" w:rsidRDefault="00F05EE0" w:rsidP="00F05EE0">
      <w:pPr>
        <w:tabs>
          <w:tab w:val="left" w:pos="2552"/>
        </w:tabs>
        <w:spacing w:line="360" w:lineRule="auto"/>
        <w:jc w:val="right"/>
        <w:rPr>
          <w:rFonts w:cs="Arial"/>
        </w:rPr>
      </w:pPr>
      <w:r w:rsidRPr="00F05EE0">
        <w:rPr>
          <w:rFonts w:cs="Arial"/>
        </w:rPr>
        <w:t>Montevideo, 22 de setiembre de 2015</w:t>
      </w:r>
    </w:p>
    <w:p w:rsidR="00311791" w:rsidRPr="00F05EE0" w:rsidRDefault="00311791" w:rsidP="00F05EE0">
      <w:pPr>
        <w:tabs>
          <w:tab w:val="left" w:pos="2552"/>
        </w:tabs>
        <w:spacing w:line="360" w:lineRule="auto"/>
        <w:jc w:val="right"/>
        <w:rPr>
          <w:rFonts w:cs="Arial"/>
        </w:rPr>
      </w:pPr>
    </w:p>
    <w:p w:rsidR="00F05EE0" w:rsidRPr="00F05EE0" w:rsidRDefault="00F05EE0" w:rsidP="00F05EE0">
      <w:pPr>
        <w:rPr>
          <w:rFonts w:eastAsia="Calibri" w:cs="Arial"/>
          <w:lang w:val="es-UY" w:eastAsia="en-US"/>
        </w:rPr>
      </w:pPr>
    </w:p>
    <w:p w:rsidR="00F05EE0" w:rsidRPr="00F05EE0" w:rsidRDefault="00F05EE0">
      <w:pPr>
        <w:jc w:val="both"/>
        <w:rPr>
          <w:rFonts w:cs="Arial"/>
        </w:rPr>
      </w:pPr>
    </w:p>
    <w:p w:rsidR="00F05EE0" w:rsidRPr="00F05EE0" w:rsidRDefault="00F05EE0" w:rsidP="00F05EE0">
      <w:pPr>
        <w:pStyle w:val="Ttulo3"/>
        <w:tabs>
          <w:tab w:val="left" w:pos="2552"/>
        </w:tabs>
        <w:spacing w:line="360" w:lineRule="auto"/>
        <w:rPr>
          <w:rFonts w:ascii="Arial" w:hAnsi="Arial" w:cs="Arial"/>
          <w:szCs w:val="24"/>
        </w:rPr>
      </w:pPr>
      <w:r w:rsidRPr="00F05EE0">
        <w:rPr>
          <w:rFonts w:ascii="Arial" w:hAnsi="Arial" w:cs="Arial"/>
          <w:szCs w:val="24"/>
        </w:rPr>
        <w:t>INFORME A LA ADMINISTRACIÓN</w:t>
      </w:r>
    </w:p>
    <w:p w:rsidR="00F05EE0" w:rsidRPr="00F05EE0" w:rsidRDefault="00F05EE0" w:rsidP="00F05EE0">
      <w:pPr>
        <w:pStyle w:val="Textoindependiente"/>
        <w:spacing w:line="360" w:lineRule="auto"/>
        <w:jc w:val="both"/>
        <w:rPr>
          <w:rFonts w:ascii="Arial" w:hAnsi="Arial" w:cs="Arial"/>
          <w:spacing w:val="-3"/>
          <w:sz w:val="24"/>
          <w:szCs w:val="24"/>
          <w:lang w:val="es-MX"/>
        </w:rPr>
      </w:pP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El Tribunal de Cuentas ha examinado los estados financieros individuales y consolidados así como el Balance de Ejecución Presupuestal de la Corporación Nacional para el Desarrollo (CND), correspondientes al Ejercicio finalizado el 31/12/2014 y ha emitido sus Dictámenes.</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En este capítulo del informe se agregan consideraciones relativas a la presentación de dichos estados, los </w:t>
      </w:r>
      <w:r w:rsidRPr="00F05EE0">
        <w:rPr>
          <w:rFonts w:ascii="Arial" w:hAnsi="Arial" w:cs="Arial"/>
          <w:bCs/>
          <w:spacing w:val="-3"/>
          <w:sz w:val="24"/>
          <w:szCs w:val="24"/>
          <w:lang w:val="es-MX"/>
        </w:rPr>
        <w:t>hechos que motivan la abstención de opinión, los incumplimientos legales,</w:t>
      </w:r>
      <w:r w:rsidRPr="00F05EE0">
        <w:rPr>
          <w:rFonts w:ascii="Arial" w:hAnsi="Arial" w:cs="Arial"/>
          <w:spacing w:val="-3"/>
          <w:sz w:val="24"/>
          <w:szCs w:val="24"/>
          <w:lang w:val="es-MX"/>
        </w:rPr>
        <w:t xml:space="preserve"> la evaluación del sistema de control interno y otras consideraciones. También se incluyen las principales recomendaciones que deberá atender el Organismo a efectos de corregir las deficiencias constatadas en el examen practicado y una evaluación del cumplimiento de las recomendaciones presentadas en Informes de Auditoría de Ejercicios anteriores.</w:t>
      </w:r>
    </w:p>
    <w:p w:rsidR="00F05EE0" w:rsidRPr="00F05EE0" w:rsidRDefault="00F05EE0" w:rsidP="00F05EE0">
      <w:pPr>
        <w:pStyle w:val="Textoindependiente"/>
        <w:spacing w:line="360" w:lineRule="auto"/>
        <w:jc w:val="both"/>
        <w:rPr>
          <w:rFonts w:ascii="Arial" w:hAnsi="Arial" w:cs="Arial"/>
          <w:spacing w:val="-3"/>
          <w:sz w:val="24"/>
          <w:szCs w:val="24"/>
          <w:lang w:val="es-MX"/>
        </w:rPr>
      </w:pPr>
    </w:p>
    <w:p w:rsidR="00F05EE0" w:rsidRPr="00F05EE0" w:rsidRDefault="00F05EE0" w:rsidP="00F05EE0">
      <w:pPr>
        <w:pStyle w:val="Textoindependiente"/>
        <w:spacing w:line="360" w:lineRule="auto"/>
        <w:rPr>
          <w:rFonts w:ascii="Arial" w:hAnsi="Arial" w:cs="Arial"/>
          <w:b/>
          <w:sz w:val="24"/>
          <w:szCs w:val="24"/>
        </w:rPr>
      </w:pPr>
      <w:r w:rsidRPr="00F05EE0">
        <w:rPr>
          <w:rFonts w:ascii="Arial" w:hAnsi="Arial" w:cs="Arial"/>
          <w:b/>
          <w:sz w:val="24"/>
          <w:szCs w:val="24"/>
        </w:rPr>
        <w:t>1) Presentación de Estados Financieros</w:t>
      </w:r>
    </w:p>
    <w:p w:rsidR="00F05EE0" w:rsidRPr="00F05EE0" w:rsidRDefault="00F05EE0" w:rsidP="00311791">
      <w:pPr>
        <w:widowControl w:val="0"/>
        <w:spacing w:line="360" w:lineRule="auto"/>
        <w:jc w:val="both"/>
        <w:rPr>
          <w:rFonts w:cs="Arial"/>
          <w:spacing w:val="-3"/>
          <w:lang w:val="es-MX"/>
        </w:rPr>
      </w:pPr>
      <w:r w:rsidRPr="00F05EE0">
        <w:rPr>
          <w:rFonts w:cs="Arial"/>
          <w:spacing w:val="-3"/>
          <w:lang w:val="es-MX"/>
        </w:rPr>
        <w:t>Los estados financieros de la CND correspondientes al Ejercicio finalizado el 31/12/2014 fueron aprobados por</w:t>
      </w:r>
      <w:r w:rsidRPr="00F05EE0">
        <w:rPr>
          <w:rFonts w:cs="Arial"/>
        </w:rPr>
        <w:t xml:space="preserve"> la Asamblea General Ordinaria de Accionistas de la CND, según consta en el Acta  </w:t>
      </w:r>
      <w:r w:rsidRPr="00F05EE0">
        <w:rPr>
          <w:rFonts w:cs="Arial"/>
          <w:spacing w:val="-3"/>
          <w:lang w:val="es-MX"/>
        </w:rPr>
        <w:t>N° 30 de fecha 26/03/2015. Los mismos fueron remitidos a este Tribunal para su consideración con fecha 27/03/2015.</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La CND presentó el Estado de Situación Patrimonial Consolidado con sus subsidiarias al 31/12/2014, el Estado de Resultados Consolidado y el Estado de Origen y Aplicación de Fondos Consolidado, el Estado de Evolución del Patrimonio Consolidado por el Ejercicio anual finalizado el 31/12/2014, presentados en forma comparativa con el Ejercicio anterior, así como el Cuadro de Evolución de Bienes de Uso e Intangibles consolidado por el ejercicio finalizado el 31/12/2014 y sus Notas. La finalidad de estos estados es presentar la información financiera del grupo CND, constituido por la Corporación y sus empresas subsidiarias, como si se tratase de una sola entidad económica.</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Asimismo, la CND remitió los siguientes estados individuales: Estado de Situación Patrimonial al 31/12/2014, de Resultados, de Flujos de Efectivo, y de Cambios en el Patrimonio Neto, en forma comparativa con el ejercicio anterior, así como el Cuadro de Evolución de Bienes de Uso e Intangibles por el ejercicio finalizado el 31/12/2014, expresados en pesos uruguayos, las Notas a los estados financieros, la Memoria Explicativa, la Carta de Compromiso (Carta de Representaciones) y copia del Acta de Asamblea Ordinaria en la que se aprueban los Estados, así como el Balance de Ejecución Presupuestal al 31/12/2014.  Se señala que  el Acta de Asamblea deja constancia del Resultado del Ejercicio aprobado, tal como lo dispone el Artículo 28 de la Ordenanza Nº 81 del Tribunal de Cuentas.</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De acuerdo a la Nota 2.1, los estados financieros de CND fueron preparados de acuerdo con lo preceptuado por la Ordenanza Nº 81 del Tribunal de Cuentas.</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Con relación a los estados financieros de las subsidiarias, base de preparación para los estados contables consolidados, los mismos se elaboraron en base a las </w:t>
      </w:r>
      <w:r w:rsidRPr="00F05EE0">
        <w:rPr>
          <w:rFonts w:ascii="Arial" w:hAnsi="Arial" w:cs="Arial"/>
          <w:spacing w:val="10"/>
          <w:sz w:val="24"/>
          <w:szCs w:val="24"/>
          <w:lang w:val="es-MX"/>
        </w:rPr>
        <w:t>normas contables adecuadas en el Uruguay establecidas por el Decreto Nº</w:t>
      </w:r>
      <w:r w:rsidRPr="00F05EE0">
        <w:rPr>
          <w:rFonts w:ascii="Arial" w:hAnsi="Arial" w:cs="Arial"/>
          <w:spacing w:val="-3"/>
          <w:sz w:val="24"/>
          <w:szCs w:val="24"/>
          <w:lang w:val="es-MX"/>
        </w:rPr>
        <w:t xml:space="preserve"> 266/07 del 31/07/2007, excepto los de Corporación Vial del Uruguay S.A. (CVU S.A.). Estos últimos fueron preparados según lo dispuesto por el Decreto Nº 124/11, que establece que las normas contables adecuadas de aplicación obligatoria para emisores de valores de oferta pública son las Normas Internacionales de Información Financiera (NIIF) adoptadas por el Consejo de Normas Internacionales de Contabilidad (IASB)  traducidas al idioma español.</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 xml:space="preserve">No fueron objeto de consolidación las subsidiarias </w:t>
      </w:r>
      <w:proofErr w:type="spellStart"/>
      <w:r w:rsidRPr="00F05EE0">
        <w:rPr>
          <w:rFonts w:ascii="Arial" w:hAnsi="Arial" w:cs="Arial"/>
          <w:spacing w:val="-3"/>
          <w:sz w:val="24"/>
          <w:szCs w:val="24"/>
          <w:lang w:val="es-MX"/>
        </w:rPr>
        <w:t>Cedetex</w:t>
      </w:r>
      <w:proofErr w:type="spellEnd"/>
      <w:r w:rsidRPr="00F05EE0">
        <w:rPr>
          <w:rFonts w:ascii="Arial" w:hAnsi="Arial" w:cs="Arial"/>
          <w:spacing w:val="-3"/>
          <w:sz w:val="24"/>
          <w:szCs w:val="24"/>
          <w:lang w:val="es-MX"/>
        </w:rPr>
        <w:t xml:space="preserve"> S.A., </w:t>
      </w:r>
      <w:proofErr w:type="spellStart"/>
      <w:r w:rsidRPr="00F05EE0">
        <w:rPr>
          <w:rFonts w:ascii="Arial" w:hAnsi="Arial" w:cs="Arial"/>
          <w:spacing w:val="-3"/>
          <w:sz w:val="24"/>
          <w:szCs w:val="24"/>
          <w:lang w:val="es-MX"/>
        </w:rPr>
        <w:t>Canalmar</w:t>
      </w:r>
      <w:proofErr w:type="spellEnd"/>
      <w:r w:rsidRPr="00F05EE0">
        <w:rPr>
          <w:rFonts w:ascii="Arial" w:hAnsi="Arial" w:cs="Arial"/>
          <w:spacing w:val="-3"/>
          <w:sz w:val="24"/>
          <w:szCs w:val="24"/>
          <w:lang w:val="es-MX"/>
        </w:rPr>
        <w:t xml:space="preserve"> S.A. ni </w:t>
      </w:r>
      <w:proofErr w:type="spellStart"/>
      <w:r w:rsidRPr="00F05EE0">
        <w:rPr>
          <w:rFonts w:ascii="Arial" w:hAnsi="Arial" w:cs="Arial"/>
          <w:spacing w:val="-3"/>
          <w:sz w:val="24"/>
          <w:szCs w:val="24"/>
          <w:lang w:val="es-MX"/>
        </w:rPr>
        <w:t>Trimma</w:t>
      </w:r>
      <w:proofErr w:type="spellEnd"/>
      <w:r w:rsidRPr="00F05EE0">
        <w:rPr>
          <w:rFonts w:ascii="Arial" w:hAnsi="Arial" w:cs="Arial"/>
          <w:spacing w:val="-3"/>
          <w:sz w:val="24"/>
          <w:szCs w:val="24"/>
          <w:lang w:val="es-MX"/>
        </w:rPr>
        <w:t xml:space="preserve"> S.A., de acuerdo con lo indicado por Resolución del Tribunal de Cuentas de 28/04/2010, al haberse configurado la pérdida de control por parte de la CND en las mismas.</w:t>
      </w:r>
    </w:p>
    <w:p w:rsidR="00F05EE0" w:rsidRPr="00F05EE0" w:rsidRDefault="00F05EE0" w:rsidP="00F05EE0">
      <w:pPr>
        <w:pStyle w:val="Textoindependiente"/>
        <w:spacing w:line="360" w:lineRule="auto"/>
        <w:jc w:val="both"/>
        <w:rPr>
          <w:rFonts w:ascii="Arial" w:hAnsi="Arial" w:cs="Arial"/>
          <w:spacing w:val="-3"/>
          <w:sz w:val="24"/>
          <w:szCs w:val="24"/>
          <w:lang w:val="es-MX"/>
        </w:rPr>
      </w:pPr>
    </w:p>
    <w:p w:rsidR="00F05EE0" w:rsidRPr="00F05EE0" w:rsidRDefault="00F05EE0" w:rsidP="00F05EE0">
      <w:pPr>
        <w:pStyle w:val="Textoindependiente"/>
        <w:spacing w:line="360" w:lineRule="auto"/>
        <w:jc w:val="both"/>
        <w:rPr>
          <w:rFonts w:ascii="Arial" w:hAnsi="Arial" w:cs="Arial"/>
          <w:b/>
          <w:bCs/>
          <w:spacing w:val="-3"/>
          <w:sz w:val="24"/>
          <w:szCs w:val="24"/>
          <w:lang w:val="es-MX"/>
        </w:rPr>
      </w:pPr>
      <w:r w:rsidRPr="00F05EE0">
        <w:rPr>
          <w:rFonts w:ascii="Arial" w:hAnsi="Arial" w:cs="Arial"/>
          <w:b/>
          <w:bCs/>
          <w:spacing w:val="-3"/>
          <w:sz w:val="24"/>
          <w:szCs w:val="24"/>
          <w:lang w:val="es-MX"/>
        </w:rPr>
        <w:t>2) Hechos que motivan la abstención de opinión</w:t>
      </w:r>
    </w:p>
    <w:p w:rsidR="00F05EE0" w:rsidRPr="00F05EE0" w:rsidRDefault="00F05EE0" w:rsidP="00F05EE0">
      <w:pPr>
        <w:pStyle w:val="Textoindependiente"/>
        <w:spacing w:line="360" w:lineRule="auto"/>
        <w:jc w:val="both"/>
        <w:rPr>
          <w:rFonts w:ascii="Arial" w:eastAsia="Arial Unicode MS" w:hAnsi="Arial" w:cs="Arial"/>
          <w:sz w:val="24"/>
          <w:szCs w:val="24"/>
        </w:rPr>
      </w:pPr>
      <w:r w:rsidRPr="00F05EE0">
        <w:rPr>
          <w:rFonts w:ascii="Arial" w:eastAsia="Arial Unicode MS" w:hAnsi="Arial" w:cs="Arial"/>
          <w:sz w:val="24"/>
          <w:szCs w:val="24"/>
          <w:lang w:val="es-MX"/>
        </w:rPr>
        <w:t>En el Ejercicio 2009 se modificaron los cometidos de la CND al aprobarse l</w:t>
      </w:r>
      <w:r w:rsidRPr="00F05EE0">
        <w:rPr>
          <w:rFonts w:ascii="Arial" w:eastAsia="Arial Unicode MS" w:hAnsi="Arial" w:cs="Arial"/>
          <w:sz w:val="24"/>
          <w:szCs w:val="24"/>
        </w:rPr>
        <w:t>a Ley Nº 18.602</w:t>
      </w:r>
      <w:r w:rsidRPr="00F05EE0">
        <w:rPr>
          <w:rFonts w:ascii="Arial" w:hAnsi="Arial" w:cs="Arial"/>
          <w:sz w:val="24"/>
          <w:szCs w:val="24"/>
        </w:rPr>
        <w:t xml:space="preserve">, </w:t>
      </w:r>
      <w:r w:rsidRPr="00F05EE0">
        <w:rPr>
          <w:rFonts w:ascii="Arial" w:eastAsia="Arial Unicode MS" w:hAnsi="Arial" w:cs="Arial"/>
          <w:sz w:val="24"/>
          <w:szCs w:val="24"/>
        </w:rPr>
        <w:t>por la que se creó la Agencia Nacional de Desarrollo Económico (ANDE). De acuerdo con la enumeración de cometidos establecida en el Artículo 4 de la mencionada Ley, el diseño, la implementación y la ejecución de programas e instrumentos financieros y no financieros para el fomento del desarrollo económico productivo, entre otros, fueron asignados a ANDE.</w:t>
      </w:r>
    </w:p>
    <w:p w:rsidR="00F05EE0" w:rsidRPr="00F05EE0" w:rsidRDefault="00F05EE0" w:rsidP="00700D10">
      <w:pPr>
        <w:pStyle w:val="Piedepgina"/>
        <w:spacing w:line="360" w:lineRule="auto"/>
        <w:jc w:val="both"/>
        <w:rPr>
          <w:rFonts w:cs="Arial"/>
        </w:rPr>
      </w:pPr>
      <w:r w:rsidRPr="00F05EE0">
        <w:rPr>
          <w:rFonts w:cs="Arial"/>
        </w:rPr>
        <w:t xml:space="preserve">Luego de la entrada en vigencia de la Ley Nº 18.602 las actividades de CND no se vieron modificadas; sin embargo el hecho </w:t>
      </w:r>
      <w:r w:rsidRPr="00F05EE0">
        <w:rPr>
          <w:rFonts w:eastAsia="Arial Unicode MS" w:cs="Arial"/>
        </w:rPr>
        <w:t>de diseñar, implementar y ejecutar programas e instrumentos financieros y no financieros para el fomento del desarrollo económico productivo</w:t>
      </w:r>
      <w:r w:rsidRPr="00F05EE0">
        <w:rPr>
          <w:rFonts w:cs="Arial"/>
        </w:rPr>
        <w:t xml:space="preserve"> es una potestad asignada a ANDE. Estas operaciones, desarrolladas en el marco de las competencias atribuidas a la ANDE, fueron contabilizadas en CND en vez de registrarse en una contabilidad separada atento con lo prescripto por la Ley Nº 18.602.</w:t>
      </w:r>
    </w:p>
    <w:p w:rsidR="00F05EE0" w:rsidRPr="00F05EE0" w:rsidRDefault="00F05EE0" w:rsidP="00F05EE0">
      <w:pPr>
        <w:pStyle w:val="Textoindependiente"/>
        <w:autoSpaceDE w:val="0"/>
        <w:autoSpaceDN w:val="0"/>
        <w:adjustRightInd w:val="0"/>
        <w:spacing w:line="360" w:lineRule="auto"/>
        <w:jc w:val="both"/>
        <w:rPr>
          <w:rFonts w:ascii="Arial" w:hAnsi="Arial" w:cs="Arial"/>
          <w:i/>
          <w:sz w:val="24"/>
          <w:szCs w:val="24"/>
          <w:lang w:val="es-ES"/>
        </w:rPr>
      </w:pPr>
      <w:r w:rsidRPr="00F05EE0">
        <w:rPr>
          <w:rFonts w:ascii="Arial" w:hAnsi="Arial" w:cs="Arial"/>
          <w:sz w:val="24"/>
          <w:szCs w:val="24"/>
        </w:rPr>
        <w:t>Los registros de CND no permiten cuantificar el efecto de la totalidad de estas actividades en sus estados financieros y no se pudo obtener la información por diferentes procedimientos de auditoría.</w:t>
      </w:r>
    </w:p>
    <w:p w:rsidR="00F05EE0" w:rsidRPr="00F05EE0" w:rsidRDefault="00F05EE0" w:rsidP="00F05EE0">
      <w:pPr>
        <w:pStyle w:val="Textoindependiente"/>
        <w:autoSpaceDE w:val="0"/>
        <w:autoSpaceDN w:val="0"/>
        <w:adjustRightInd w:val="0"/>
        <w:spacing w:line="360" w:lineRule="auto"/>
        <w:jc w:val="both"/>
        <w:rPr>
          <w:rFonts w:ascii="Arial" w:hAnsi="Arial" w:cs="Arial"/>
          <w:sz w:val="24"/>
          <w:szCs w:val="24"/>
          <w:lang w:val="es-ES"/>
        </w:rPr>
      </w:pPr>
      <w:r w:rsidRPr="00F05EE0">
        <w:rPr>
          <w:rFonts w:ascii="Arial" w:hAnsi="Arial" w:cs="Arial"/>
          <w:sz w:val="24"/>
          <w:szCs w:val="24"/>
          <w:lang w:val="es-ES"/>
        </w:rPr>
        <w:t xml:space="preserve">Si bien la CND identificó una serie de actividades de concesión de créditos, con sus pasivos asociados, </w:t>
      </w:r>
      <w:r w:rsidRPr="00F05EE0">
        <w:rPr>
          <w:rFonts w:ascii="Arial" w:hAnsi="Arial" w:cs="Arial"/>
          <w:sz w:val="24"/>
          <w:szCs w:val="24"/>
        </w:rPr>
        <w:t>realizadas por la CND en el marco de las competencias atribuidas a ANDE, las mismas no constituyen la totalidad de transacciones</w:t>
      </w:r>
      <w:r w:rsidR="00700D10">
        <w:rPr>
          <w:rFonts w:ascii="Arial" w:hAnsi="Arial" w:cs="Arial"/>
          <w:sz w:val="24"/>
          <w:szCs w:val="24"/>
        </w:rPr>
        <w:t xml:space="preserve"> que están en esas condiciones.</w:t>
      </w:r>
    </w:p>
    <w:p w:rsidR="00F05EE0" w:rsidRPr="00F05EE0" w:rsidRDefault="00F05EE0" w:rsidP="00F05EE0">
      <w:pPr>
        <w:pStyle w:val="Textoindependiente"/>
        <w:autoSpaceDE w:val="0"/>
        <w:autoSpaceDN w:val="0"/>
        <w:adjustRightInd w:val="0"/>
        <w:spacing w:line="360" w:lineRule="auto"/>
        <w:jc w:val="both"/>
        <w:rPr>
          <w:rFonts w:ascii="Arial" w:hAnsi="Arial" w:cs="Arial"/>
          <w:sz w:val="24"/>
          <w:szCs w:val="24"/>
        </w:rPr>
      </w:pPr>
      <w:r w:rsidRPr="00F05EE0">
        <w:rPr>
          <w:rFonts w:ascii="Arial" w:hAnsi="Arial" w:cs="Arial"/>
          <w:sz w:val="24"/>
          <w:szCs w:val="24"/>
        </w:rPr>
        <w:t>Lo señalado motivó una abstención de opinión en los Dictámenes de este Tribunal sobre los estados financieros de los Ejercicios 2011, 2012 y 2013,  por lo que</w:t>
      </w:r>
      <w:r w:rsidRPr="00F05EE0">
        <w:rPr>
          <w:rFonts w:ascii="Arial" w:hAnsi="Arial" w:cs="Arial"/>
          <w:spacing w:val="-3"/>
          <w:sz w:val="24"/>
          <w:szCs w:val="24"/>
          <w:lang w:val="es-MX"/>
        </w:rPr>
        <w:t xml:space="preserve"> existe una limitación importante para formarnos una opinión sobre los saldos iniciales del Ejercicio 2014 y por lo tanto sobre los saldos acumulados al 31/12/2014.</w:t>
      </w:r>
    </w:p>
    <w:p w:rsidR="00F05EE0" w:rsidRPr="00F05EE0" w:rsidRDefault="00F05EE0" w:rsidP="00700D10">
      <w:pPr>
        <w:pStyle w:val="Piedepgina"/>
        <w:spacing w:line="360" w:lineRule="auto"/>
        <w:jc w:val="both"/>
        <w:rPr>
          <w:rFonts w:cs="Arial"/>
        </w:rPr>
      </w:pPr>
      <w:r w:rsidRPr="00F05EE0">
        <w:rPr>
          <w:rFonts w:cs="Arial"/>
        </w:rPr>
        <w:t>En el Ejercicio 2014 la situación reseñada se mantuvo incambiada por lo que los estados financieros al 31/12/2014 exponen saldos de operaciones realizadas en el marco de las competencias atribuidas a la ANDE que fueron contabilizadas por la CND. En este sentido, los estados remitidos al Tribunal no presentan la realidad institucional de CND sino de dos instituciones diferentes, ANDE y CND, pero la totalidad de dichas operaciones no pudo ser identificada ni cuantificada p</w:t>
      </w:r>
      <w:r w:rsidR="00700D10">
        <w:rPr>
          <w:rFonts w:cs="Arial"/>
        </w:rPr>
        <w:t>or procedimientos de auditoría.</w:t>
      </w:r>
    </w:p>
    <w:p w:rsidR="00F05EE0" w:rsidRPr="00F05EE0" w:rsidRDefault="00F05EE0" w:rsidP="00700D10">
      <w:pPr>
        <w:pStyle w:val="Piedepgina"/>
        <w:spacing w:line="360" w:lineRule="auto"/>
        <w:jc w:val="both"/>
        <w:rPr>
          <w:rFonts w:cs="Arial"/>
        </w:rPr>
      </w:pPr>
      <w:r w:rsidRPr="00F05EE0">
        <w:rPr>
          <w:rFonts w:cs="Arial"/>
        </w:rPr>
        <w:t>Si bien se solicitó a la CND por Oficio Nº 1433/14 del 21/02/2014 que se adopten las medidas pertinentes a efectos de dar cumplimiento con lo dispuesto por el Artículo 15 de la Ley Nº 18.602, que dispone que ANDE publique anualmente un balance auditado externamente y con el Dictamen del Tribunal de Cuentas, así como se solicitó a ANDE (Oficio 1432/14) que remitiera los estados financieros desde su creación a la fecha y la documentación respaldatoria de sus operaciones, los estados financieros de ANDE no fueron remitidos al Tribunal de Cuentas para su examen.</w:t>
      </w:r>
    </w:p>
    <w:p w:rsidR="00F05EE0" w:rsidRPr="00F05EE0" w:rsidRDefault="00F05EE0" w:rsidP="00F05EE0">
      <w:pPr>
        <w:pStyle w:val="Piedepgina"/>
        <w:spacing w:line="360" w:lineRule="auto"/>
        <w:rPr>
          <w:rFonts w:cs="Arial"/>
          <w:b/>
          <w:spacing w:val="-3"/>
          <w:lang w:val="es-MX"/>
        </w:rPr>
      </w:pPr>
    </w:p>
    <w:p w:rsidR="00F05EE0" w:rsidRPr="00F05EE0" w:rsidRDefault="00F05EE0" w:rsidP="00F05EE0">
      <w:pPr>
        <w:pStyle w:val="Piedepgina"/>
        <w:spacing w:line="360" w:lineRule="auto"/>
        <w:rPr>
          <w:rFonts w:cs="Arial"/>
          <w:b/>
          <w:spacing w:val="-3"/>
          <w:lang w:val="es-MX"/>
        </w:rPr>
      </w:pPr>
      <w:r w:rsidRPr="00F05EE0">
        <w:rPr>
          <w:rFonts w:cs="Arial"/>
          <w:b/>
          <w:spacing w:val="-3"/>
          <w:lang w:val="es-MX"/>
        </w:rPr>
        <w:t>3) Incumplimientos legales</w:t>
      </w:r>
    </w:p>
    <w:p w:rsidR="00F05EE0" w:rsidRPr="00F05EE0" w:rsidRDefault="00F05EE0" w:rsidP="00F05EE0">
      <w:pPr>
        <w:pStyle w:val="Textoindependiente"/>
        <w:autoSpaceDE w:val="0"/>
        <w:autoSpaceDN w:val="0"/>
        <w:adjustRightInd w:val="0"/>
        <w:spacing w:line="360" w:lineRule="auto"/>
        <w:jc w:val="both"/>
        <w:rPr>
          <w:rFonts w:ascii="Arial" w:hAnsi="Arial" w:cs="Arial"/>
          <w:sz w:val="24"/>
          <w:szCs w:val="24"/>
          <w:lang w:val="es-ES"/>
        </w:rPr>
      </w:pPr>
      <w:r w:rsidRPr="00F05EE0">
        <w:rPr>
          <w:rFonts w:ascii="Arial" w:hAnsi="Arial" w:cs="Arial"/>
          <w:b/>
          <w:spacing w:val="-3"/>
          <w:sz w:val="24"/>
          <w:szCs w:val="24"/>
          <w:lang w:val="es-MX"/>
        </w:rPr>
        <w:t xml:space="preserve">3.1) </w:t>
      </w:r>
      <w:r w:rsidRPr="00F05EE0">
        <w:rPr>
          <w:rFonts w:ascii="Arial" w:hAnsi="Arial" w:cs="Arial"/>
          <w:spacing w:val="-3"/>
          <w:sz w:val="24"/>
          <w:szCs w:val="24"/>
          <w:lang w:val="es-MX"/>
        </w:rPr>
        <w:t>La CND h</w:t>
      </w:r>
      <w:r w:rsidRPr="00F05EE0">
        <w:rPr>
          <w:rFonts w:ascii="Arial" w:hAnsi="Arial" w:cs="Arial"/>
          <w:sz w:val="24"/>
          <w:szCs w:val="24"/>
        </w:rPr>
        <w:t>a realizado depósitos en otras instituciones de intermediación financiera cuando la Ley obliga a efectuarlos en el Banco de la República Oriental del Uruguay (BROU).</w:t>
      </w:r>
    </w:p>
    <w:p w:rsidR="00F05EE0" w:rsidRPr="00F05EE0" w:rsidRDefault="00F05EE0" w:rsidP="00F05EE0">
      <w:pPr>
        <w:pStyle w:val="Textoindependiente"/>
        <w:autoSpaceDE w:val="0"/>
        <w:autoSpaceDN w:val="0"/>
        <w:adjustRightInd w:val="0"/>
        <w:spacing w:line="360" w:lineRule="auto"/>
        <w:jc w:val="both"/>
        <w:rPr>
          <w:rFonts w:ascii="Arial" w:hAnsi="Arial" w:cs="Arial"/>
          <w:sz w:val="24"/>
          <w:szCs w:val="24"/>
        </w:rPr>
      </w:pPr>
      <w:r w:rsidRPr="00F05EE0">
        <w:rPr>
          <w:rFonts w:ascii="Arial" w:hAnsi="Arial" w:cs="Arial"/>
          <w:b/>
          <w:sz w:val="24"/>
          <w:szCs w:val="24"/>
          <w:lang w:val="es-ES"/>
        </w:rPr>
        <w:t xml:space="preserve">3.2) </w:t>
      </w:r>
      <w:r w:rsidRPr="00F05EE0">
        <w:rPr>
          <w:rFonts w:ascii="Arial" w:hAnsi="Arial" w:cs="Arial"/>
          <w:sz w:val="24"/>
          <w:szCs w:val="24"/>
          <w:lang w:val="es-ES"/>
        </w:rPr>
        <w:t xml:space="preserve">La CND no dio cumplimiento con lo establecido en el </w:t>
      </w:r>
      <w:r w:rsidRPr="00F05EE0">
        <w:rPr>
          <w:rFonts w:ascii="Arial" w:hAnsi="Arial" w:cs="Arial"/>
          <w:sz w:val="24"/>
          <w:szCs w:val="24"/>
        </w:rPr>
        <w:t xml:space="preserve">Artículo 9 de la Ordenanza Nº 77 del Tribunal de Cuentas por no incluir en los Informes de Rendición de Cuentas de los fondos del Contrato de Fideicomiso de Infraestructura Educativa Pública de la Administración Nacional de Educación Pública correspondientes al Ejercicio 2014 la fecha de entrega de los fondos, la fecha de los rendidos y los pendientes de rendición. Esto fue señalado en </w:t>
      </w:r>
      <w:r w:rsidRPr="00F05EE0">
        <w:rPr>
          <w:rFonts w:ascii="Arial" w:hAnsi="Arial" w:cs="Arial"/>
          <w:sz w:val="24"/>
          <w:szCs w:val="24"/>
          <w:lang w:val="es-ES"/>
        </w:rPr>
        <w:t>las Resoluciones del Tribunal de Cuentas de fechas 28/05</w:t>
      </w:r>
      <w:r w:rsidR="00700D10">
        <w:rPr>
          <w:rFonts w:ascii="Arial" w:hAnsi="Arial" w:cs="Arial"/>
          <w:sz w:val="24"/>
          <w:szCs w:val="24"/>
          <w:lang w:val="es-ES"/>
        </w:rPr>
        <w:t>/2014, 04/06/2014 y 04/02/2015.</w:t>
      </w:r>
    </w:p>
    <w:p w:rsidR="00F05EE0" w:rsidRPr="00F05EE0" w:rsidRDefault="00F05EE0" w:rsidP="00F05EE0">
      <w:pPr>
        <w:pStyle w:val="Textoindependiente"/>
        <w:tabs>
          <w:tab w:val="left" w:pos="360"/>
        </w:tabs>
        <w:spacing w:line="360" w:lineRule="auto"/>
        <w:ind w:right="44"/>
        <w:jc w:val="both"/>
        <w:rPr>
          <w:rFonts w:ascii="Arial" w:hAnsi="Arial" w:cs="Arial"/>
          <w:sz w:val="24"/>
          <w:szCs w:val="24"/>
          <w:lang w:val="es-ES"/>
        </w:rPr>
      </w:pPr>
      <w:r w:rsidRPr="00F05EE0">
        <w:rPr>
          <w:rFonts w:ascii="Arial" w:hAnsi="Arial" w:cs="Arial"/>
          <w:b/>
          <w:sz w:val="24"/>
          <w:szCs w:val="24"/>
        </w:rPr>
        <w:t>3.</w:t>
      </w:r>
      <w:r w:rsidRPr="00F05EE0">
        <w:rPr>
          <w:rFonts w:ascii="Arial" w:hAnsi="Arial" w:cs="Arial"/>
          <w:b/>
          <w:sz w:val="24"/>
          <w:szCs w:val="24"/>
          <w:lang w:val="es-ES"/>
        </w:rPr>
        <w:t>3</w:t>
      </w:r>
      <w:r w:rsidRPr="00F05EE0">
        <w:rPr>
          <w:rFonts w:ascii="Arial" w:hAnsi="Arial" w:cs="Arial"/>
          <w:b/>
          <w:sz w:val="24"/>
          <w:szCs w:val="24"/>
        </w:rPr>
        <w:t>)</w:t>
      </w:r>
      <w:r w:rsidRPr="00F05EE0">
        <w:rPr>
          <w:rFonts w:ascii="Arial" w:hAnsi="Arial" w:cs="Arial"/>
          <w:sz w:val="24"/>
          <w:szCs w:val="24"/>
        </w:rPr>
        <w:t xml:space="preserve"> La CND no dio cumplimiento con lo dispuesto por el Artículo 11 de la Ley Nº 15.785 en la redacción dada por el Artículo 34 Literal E) de la Ley Nº18.602 por la gestión asumida en el Fideicomiso de Administración para Obras en el Departamento de Canelones (Resolución del Tribunal de Cuentas de fecha 22/01/2014).</w:t>
      </w:r>
      <w:r w:rsidRPr="00F05EE0">
        <w:rPr>
          <w:rFonts w:ascii="Arial" w:hAnsi="Arial" w:cs="Arial"/>
          <w:sz w:val="24"/>
          <w:szCs w:val="24"/>
          <w:lang w:val="es-ES"/>
        </w:rPr>
        <w:t xml:space="preserve"> En tal sentido, la mencionada actividad comprende la prestación de servicios de administración de fondos en relación a cometidos que pueden y deben ser prestados por la Intendencia. Por ello, los procedimientos de contratación debieron ser llevados adelante por la Administración actuante de conformidad con lo expresado por los Artíc</w:t>
      </w:r>
      <w:r w:rsidR="00700D10">
        <w:rPr>
          <w:rFonts w:ascii="Arial" w:hAnsi="Arial" w:cs="Arial"/>
          <w:sz w:val="24"/>
          <w:szCs w:val="24"/>
          <w:lang w:val="es-ES"/>
        </w:rPr>
        <w:t>ulos 33 y siguientes del TOCAF.</w:t>
      </w:r>
    </w:p>
    <w:p w:rsidR="00F05EE0" w:rsidRPr="00F05EE0" w:rsidRDefault="00F05EE0" w:rsidP="00F05EE0">
      <w:pPr>
        <w:pStyle w:val="Textoindependiente"/>
        <w:tabs>
          <w:tab w:val="left" w:pos="360"/>
        </w:tabs>
        <w:spacing w:line="360" w:lineRule="auto"/>
        <w:ind w:right="44"/>
        <w:jc w:val="both"/>
        <w:rPr>
          <w:rFonts w:ascii="Arial" w:hAnsi="Arial" w:cs="Arial"/>
          <w:sz w:val="24"/>
          <w:szCs w:val="24"/>
          <w:lang w:val="es-ES"/>
        </w:rPr>
      </w:pPr>
      <w:r w:rsidRPr="00F05EE0">
        <w:rPr>
          <w:rFonts w:ascii="Arial" w:hAnsi="Arial" w:cs="Arial"/>
          <w:sz w:val="24"/>
          <w:szCs w:val="24"/>
          <w:lang w:val="es-ES"/>
        </w:rPr>
        <w:t>Por otra parte, el contrato de fideicomiso y el Convenio suscrito entre la Intendencia de Canelones, el Ministerio de Turismo y Deporte y la CND para el cerramiento de piscina y construcción de vestuarios en la ciudad de Canelones contravinieron lo establecido en el Artículo 211 Literales B) y E) de la Constitución de la República al no haber sido remitidas en forma previa las actuaciones al control de legalidad del gasto y de la gestión financiera que compete al Tribunal de Cuentas.</w:t>
      </w:r>
    </w:p>
    <w:p w:rsidR="00F05EE0" w:rsidRPr="00F05EE0" w:rsidRDefault="00F05EE0" w:rsidP="00F05EE0">
      <w:pPr>
        <w:pStyle w:val="Textoindependiente"/>
        <w:tabs>
          <w:tab w:val="left" w:pos="360"/>
        </w:tabs>
        <w:spacing w:line="360" w:lineRule="auto"/>
        <w:ind w:right="44"/>
        <w:jc w:val="both"/>
        <w:rPr>
          <w:rFonts w:ascii="Arial" w:hAnsi="Arial" w:cs="Arial"/>
          <w:sz w:val="24"/>
          <w:szCs w:val="24"/>
          <w:lang w:val="es-ES"/>
        </w:rPr>
      </w:pPr>
      <w:r w:rsidRPr="00F05EE0">
        <w:rPr>
          <w:rFonts w:ascii="Arial" w:hAnsi="Arial" w:cs="Arial"/>
          <w:sz w:val="24"/>
          <w:szCs w:val="24"/>
          <w:lang w:val="es-ES"/>
        </w:rPr>
        <w:t>Los mismos incumplimientos se comprobaron  en el contrato de fideicomiso suscrito con la Intendencia de Montevideo para la gestión del canal Tevé Ciudad (Resolución del Tribunal de Cuentas de fecha 06/0</w:t>
      </w:r>
      <w:r w:rsidR="00700D10">
        <w:rPr>
          <w:rFonts w:ascii="Arial" w:hAnsi="Arial" w:cs="Arial"/>
          <w:sz w:val="24"/>
          <w:szCs w:val="24"/>
          <w:lang w:val="es-ES"/>
        </w:rPr>
        <w:t>3/2014).</w:t>
      </w:r>
    </w:p>
    <w:p w:rsidR="00F05EE0" w:rsidRPr="00F05EE0" w:rsidRDefault="00F05EE0" w:rsidP="00F05EE0">
      <w:pPr>
        <w:spacing w:line="360" w:lineRule="auto"/>
        <w:rPr>
          <w:rFonts w:cs="Arial"/>
        </w:rPr>
      </w:pPr>
    </w:p>
    <w:p w:rsidR="00F05EE0" w:rsidRPr="00F05EE0" w:rsidRDefault="00F05EE0" w:rsidP="00F05EE0">
      <w:pPr>
        <w:pStyle w:val="Textoindependiente2"/>
        <w:spacing w:line="360" w:lineRule="auto"/>
        <w:rPr>
          <w:rFonts w:ascii="Arial" w:hAnsi="Arial" w:cs="Arial"/>
          <w:b/>
          <w:sz w:val="24"/>
          <w:szCs w:val="24"/>
        </w:rPr>
      </w:pPr>
      <w:r w:rsidRPr="00F05EE0">
        <w:rPr>
          <w:rFonts w:ascii="Arial" w:hAnsi="Arial" w:cs="Arial"/>
          <w:b/>
          <w:sz w:val="24"/>
          <w:szCs w:val="24"/>
        </w:rPr>
        <w:t>4) Evaluación del Sistema de Control Interno</w:t>
      </w:r>
    </w:p>
    <w:p w:rsidR="00F05EE0" w:rsidRPr="00F05EE0" w:rsidRDefault="00F05EE0" w:rsidP="00F05EE0">
      <w:pPr>
        <w:pStyle w:val="Sangra2detindependiente"/>
        <w:widowControl w:val="0"/>
        <w:spacing w:line="360" w:lineRule="auto"/>
        <w:ind w:firstLine="0"/>
        <w:rPr>
          <w:rFonts w:cs="Arial"/>
          <w:szCs w:val="24"/>
        </w:rPr>
      </w:pPr>
      <w:r w:rsidRPr="00F05EE0">
        <w:rPr>
          <w:rFonts w:cs="Arial"/>
          <w:szCs w:val="24"/>
        </w:rPr>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practicada.</w:t>
      </w:r>
    </w:p>
    <w:p w:rsidR="00F05EE0" w:rsidRPr="00F05EE0" w:rsidRDefault="00F05EE0" w:rsidP="00F05EE0">
      <w:pPr>
        <w:pStyle w:val="Sangra2detindependiente"/>
        <w:widowControl w:val="0"/>
        <w:spacing w:line="360" w:lineRule="auto"/>
        <w:ind w:firstLine="0"/>
        <w:rPr>
          <w:rFonts w:cs="Arial"/>
          <w:szCs w:val="24"/>
        </w:rPr>
      </w:pPr>
      <w:r w:rsidRPr="00F05EE0">
        <w:rPr>
          <w:rFonts w:cs="Arial"/>
          <w:szCs w:val="24"/>
        </w:rPr>
        <w:t>Las debilidades del sistema de control interno dieron lugar a las situaciones mencionadas en los Num</w:t>
      </w:r>
      <w:r w:rsidR="00700D10">
        <w:rPr>
          <w:rFonts w:cs="Arial"/>
          <w:szCs w:val="24"/>
        </w:rPr>
        <w:t>erales 2) y 3) de este Informe.</w:t>
      </w:r>
    </w:p>
    <w:p w:rsidR="00F05EE0" w:rsidRPr="00F05EE0" w:rsidRDefault="00F05EE0" w:rsidP="00F05EE0">
      <w:pPr>
        <w:pStyle w:val="Sangra2detindependiente"/>
        <w:widowControl w:val="0"/>
        <w:spacing w:line="360" w:lineRule="auto"/>
        <w:ind w:firstLine="0"/>
        <w:rPr>
          <w:rFonts w:cs="Arial"/>
          <w:szCs w:val="24"/>
        </w:rPr>
      </w:pPr>
      <w:r w:rsidRPr="00F05EE0">
        <w:rPr>
          <w:rFonts w:cs="Arial"/>
          <w:szCs w:val="24"/>
        </w:rPr>
        <w:t>Además de lo señalado corresponde destacar que:</w:t>
      </w:r>
    </w:p>
    <w:p w:rsidR="00F05EE0" w:rsidRPr="00F05EE0" w:rsidRDefault="00F05EE0" w:rsidP="00F05EE0">
      <w:pPr>
        <w:pStyle w:val="Prrafodelista"/>
        <w:spacing w:after="200" w:line="360" w:lineRule="auto"/>
        <w:ind w:left="0"/>
        <w:jc w:val="both"/>
        <w:rPr>
          <w:rFonts w:cs="Arial"/>
        </w:rPr>
      </w:pPr>
      <w:r w:rsidRPr="00F05EE0">
        <w:rPr>
          <w:rFonts w:cs="Arial"/>
        </w:rPr>
        <w:t>Se constataron debilidades en el sistema de pagos utilizado por la CND tales como falta de actualización del manual del usuario, de la política de seguridad y de  la documentación de los permisos.</w:t>
      </w:r>
    </w:p>
    <w:p w:rsidR="00F05EE0" w:rsidRPr="00F05EE0" w:rsidRDefault="00700D10" w:rsidP="00F05EE0">
      <w:pPr>
        <w:pStyle w:val="Textoindependiente"/>
        <w:spacing w:line="360" w:lineRule="auto"/>
        <w:jc w:val="both"/>
        <w:rPr>
          <w:rFonts w:ascii="Arial" w:hAnsi="Arial" w:cs="Arial"/>
          <w:bCs/>
          <w:sz w:val="24"/>
          <w:szCs w:val="24"/>
        </w:rPr>
      </w:pPr>
      <w:r>
        <w:rPr>
          <w:rFonts w:ascii="Arial" w:hAnsi="Arial" w:cs="Arial"/>
          <w:b/>
          <w:sz w:val="24"/>
          <w:szCs w:val="24"/>
        </w:rPr>
        <w:t>5) Otras consideraciones</w:t>
      </w:r>
    </w:p>
    <w:p w:rsidR="00F05EE0" w:rsidRPr="00F05EE0" w:rsidRDefault="00F05EE0" w:rsidP="00F05EE0">
      <w:pPr>
        <w:pStyle w:val="Textoindependiente"/>
        <w:spacing w:line="360" w:lineRule="auto"/>
        <w:jc w:val="both"/>
        <w:rPr>
          <w:rFonts w:ascii="Arial" w:hAnsi="Arial" w:cs="Arial"/>
          <w:b/>
          <w:spacing w:val="-3"/>
          <w:sz w:val="24"/>
          <w:szCs w:val="24"/>
          <w:lang w:val="es-MX"/>
        </w:rPr>
      </w:pPr>
      <w:r w:rsidRPr="00F05EE0">
        <w:rPr>
          <w:rFonts w:ascii="Arial" w:hAnsi="Arial" w:cs="Arial"/>
          <w:spacing w:val="-3"/>
          <w:sz w:val="24"/>
          <w:szCs w:val="24"/>
          <w:lang w:val="es-MX"/>
        </w:rPr>
        <w:t>Durante el Ejercicio 2014 la CND desarrolló determinadas actividades que, si bien no constituyeron un incumplimiento legal de la Institución, merecieron en su momento observación del Tribunal de Cuentas:</w:t>
      </w:r>
    </w:p>
    <w:p w:rsidR="00F05EE0" w:rsidRPr="00F05EE0" w:rsidRDefault="00F05EE0" w:rsidP="00700D10">
      <w:pPr>
        <w:tabs>
          <w:tab w:val="center" w:pos="4253"/>
        </w:tabs>
        <w:suppressAutoHyphens/>
        <w:spacing w:line="360" w:lineRule="auto"/>
        <w:jc w:val="both"/>
        <w:rPr>
          <w:rFonts w:cs="Arial"/>
        </w:rPr>
      </w:pPr>
      <w:r w:rsidRPr="00F05EE0">
        <w:rPr>
          <w:rFonts w:cs="Arial"/>
          <w:bCs/>
          <w:spacing w:val="-3"/>
        </w:rPr>
        <w:t xml:space="preserve">- </w:t>
      </w:r>
      <w:r w:rsidRPr="00F05EE0">
        <w:rPr>
          <w:rFonts w:cs="Arial"/>
          <w:lang w:val="es-ES_tradnl"/>
        </w:rPr>
        <w:t xml:space="preserve"> Resolución del Tribunal de Cuentas del 24/09/</w:t>
      </w:r>
      <w:r w:rsidRPr="00F05EE0">
        <w:rPr>
          <w:rFonts w:cs="Arial"/>
        </w:rPr>
        <w:t xml:space="preserve">2014(E.E.Nº2014-17-1-0006932, </w:t>
      </w:r>
      <w:proofErr w:type="spellStart"/>
      <w:r w:rsidRPr="00F05EE0">
        <w:rPr>
          <w:rFonts w:cs="Arial"/>
        </w:rPr>
        <w:t>Ent</w:t>
      </w:r>
      <w:proofErr w:type="spellEnd"/>
      <w:r w:rsidRPr="00F05EE0">
        <w:rPr>
          <w:rFonts w:cs="Arial"/>
        </w:rPr>
        <w:t>. N°5368/14): el Tribunal observó la ampliación del convenio a suscribir por la Oficina de Planeamiento y Presupuesto (OPP) y la CND para la ejecución del Programa “Uruguay Crece Contigo”, ya que el servicio de administración de los fondos a transferir a la CND en cumplimiento del convenio, puede y debe ser realizado por la propia OPP.</w:t>
      </w:r>
    </w:p>
    <w:p w:rsidR="00F05EE0" w:rsidRPr="00F05EE0" w:rsidRDefault="00F05EE0" w:rsidP="00700D10">
      <w:pPr>
        <w:tabs>
          <w:tab w:val="center" w:pos="4253"/>
        </w:tabs>
        <w:suppressAutoHyphens/>
        <w:spacing w:line="360" w:lineRule="auto"/>
        <w:jc w:val="both"/>
        <w:rPr>
          <w:rFonts w:cs="Arial"/>
        </w:rPr>
      </w:pPr>
      <w:r w:rsidRPr="00F05EE0">
        <w:rPr>
          <w:rFonts w:cs="Arial"/>
        </w:rPr>
        <w:t xml:space="preserve">- Resolución del Tribunal de Cuentas del 28/05/2014(E.E. Nº 2012-17-1-0002717, </w:t>
      </w:r>
      <w:proofErr w:type="spellStart"/>
      <w:r w:rsidRPr="00F05EE0">
        <w:rPr>
          <w:rFonts w:cs="Arial"/>
        </w:rPr>
        <w:t>Ent</w:t>
      </w:r>
      <w:proofErr w:type="spellEnd"/>
      <w:r w:rsidRPr="00F05EE0">
        <w:rPr>
          <w:rFonts w:cs="Arial"/>
        </w:rPr>
        <w:t xml:space="preserve"> Nº 2512/14): se observó la </w:t>
      </w:r>
      <w:proofErr w:type="spellStart"/>
      <w:r w:rsidRPr="00F05EE0">
        <w:rPr>
          <w:rFonts w:cs="Arial"/>
        </w:rPr>
        <w:t>addenda</w:t>
      </w:r>
      <w:proofErr w:type="spellEnd"/>
      <w:r w:rsidRPr="00F05EE0">
        <w:rPr>
          <w:rFonts w:cs="Arial"/>
        </w:rPr>
        <w:t xml:space="preserve"> al Convenio de Cooperación suscrito con el Ministerio de Desarrollo Social ya que la misma encuentra su causa en el Convenio observado oportunamente.</w:t>
      </w:r>
    </w:p>
    <w:p w:rsidR="00F05EE0" w:rsidRPr="00F05EE0" w:rsidRDefault="00F05EE0" w:rsidP="00F05EE0">
      <w:pPr>
        <w:spacing w:line="360" w:lineRule="auto"/>
        <w:rPr>
          <w:rFonts w:cs="Arial"/>
          <w:b/>
        </w:rPr>
      </w:pPr>
    </w:p>
    <w:p w:rsidR="00F05EE0" w:rsidRPr="00F05EE0" w:rsidRDefault="00F05EE0" w:rsidP="00F05EE0">
      <w:pPr>
        <w:spacing w:line="360" w:lineRule="auto"/>
        <w:rPr>
          <w:rFonts w:cs="Arial"/>
          <w:b/>
        </w:rPr>
      </w:pPr>
      <w:r w:rsidRPr="00F05EE0">
        <w:rPr>
          <w:rFonts w:cs="Arial"/>
          <w:b/>
        </w:rPr>
        <w:t>6) Hechos posteriores al cierre del Ejercicio</w:t>
      </w:r>
    </w:p>
    <w:p w:rsidR="00F05EE0" w:rsidRPr="00F05EE0" w:rsidRDefault="00F05EE0" w:rsidP="00F05EE0">
      <w:pPr>
        <w:spacing w:line="360" w:lineRule="auto"/>
        <w:rPr>
          <w:rFonts w:cs="Arial"/>
        </w:rPr>
      </w:pPr>
      <w:r w:rsidRPr="00F05EE0">
        <w:rPr>
          <w:rFonts w:cs="Arial"/>
        </w:rPr>
        <w:t>Por Resolución del Poder Ejecutivo Nº 729/015 del 22/06/2015 se designó el Directorio de ANDE.</w:t>
      </w:r>
    </w:p>
    <w:p w:rsidR="00F05EE0" w:rsidRPr="00F05EE0" w:rsidRDefault="00F05EE0" w:rsidP="00F05EE0">
      <w:pPr>
        <w:spacing w:line="360" w:lineRule="auto"/>
        <w:rPr>
          <w:rFonts w:cs="Arial"/>
        </w:rPr>
      </w:pPr>
      <w:r w:rsidRPr="00F05EE0">
        <w:rPr>
          <w:rFonts w:cs="Arial"/>
        </w:rPr>
        <w:t>El nuevo Directorio suscribió el 28/08/2015, conjuntamente con el Directorio de la CND, los siguientes Convenios:</w:t>
      </w:r>
    </w:p>
    <w:p w:rsidR="00F05EE0" w:rsidRPr="00F05EE0" w:rsidRDefault="00F05EE0" w:rsidP="00F05EE0">
      <w:pPr>
        <w:spacing w:line="360" w:lineRule="auto"/>
        <w:rPr>
          <w:rFonts w:cs="Arial"/>
        </w:rPr>
      </w:pPr>
      <w:r w:rsidRPr="00F05EE0">
        <w:rPr>
          <w:rFonts w:cs="Arial"/>
        </w:rPr>
        <w:t>a) – Convenio de intercambio de información</w:t>
      </w:r>
    </w:p>
    <w:p w:rsidR="00F05EE0" w:rsidRPr="00F05EE0" w:rsidRDefault="00F05EE0" w:rsidP="0004390D">
      <w:pPr>
        <w:spacing w:line="360" w:lineRule="auto"/>
        <w:jc w:val="both"/>
        <w:rPr>
          <w:rFonts w:cs="Arial"/>
        </w:rPr>
      </w:pPr>
      <w:r w:rsidRPr="00F05EE0">
        <w:rPr>
          <w:rFonts w:cs="Arial"/>
        </w:rPr>
        <w:t>Su objeto es establecer las bases de colaboración entre las dos instituciones para el cumplimiento de la Ley Nº 18.602. Mientras se implementa el traspaso de programas, se establece que ANDE requerirá de la CND información y documentos para su evaluación y estudio. Por su parte, la CND se compromete a colaborar en este sentido, siempre que se resguarde el carácter confidencial de la documentación e información que se transmita.</w:t>
      </w:r>
    </w:p>
    <w:p w:rsidR="00F05EE0" w:rsidRPr="00F05EE0" w:rsidRDefault="00F05EE0" w:rsidP="00F05EE0">
      <w:pPr>
        <w:spacing w:line="360" w:lineRule="auto"/>
        <w:rPr>
          <w:rFonts w:cs="Arial"/>
        </w:rPr>
      </w:pPr>
      <w:r w:rsidRPr="00F05EE0">
        <w:rPr>
          <w:rFonts w:cs="Arial"/>
        </w:rPr>
        <w:t>b)- Acuerdo de traspaso de fondos</w:t>
      </w:r>
    </w:p>
    <w:p w:rsidR="00F05EE0" w:rsidRPr="00F05EE0" w:rsidRDefault="00F05EE0" w:rsidP="0004390D">
      <w:pPr>
        <w:spacing w:line="360" w:lineRule="auto"/>
        <w:jc w:val="both"/>
        <w:rPr>
          <w:rFonts w:cs="Arial"/>
        </w:rPr>
      </w:pPr>
      <w:r w:rsidRPr="00F05EE0">
        <w:rPr>
          <w:rFonts w:cs="Arial"/>
        </w:rPr>
        <w:t>De acuerdo con lo previsto en el Artículo 40 de la Ley Nº18.602, la CND debe transferir a ANDE como mínimo el 40% de su Patrimonio, el 60% en disponibilidades. Mediante este documento, las partes acordaron que la CND transferirá una primera partida de $ 30:000.000 a ANDE, a cuenta del patrimonio a transferir, pagadera en  seis partidas mensuales de $ 5:000.000.</w:t>
      </w:r>
    </w:p>
    <w:p w:rsidR="00F05EE0" w:rsidRPr="00F05EE0" w:rsidRDefault="00F05EE0" w:rsidP="0004390D">
      <w:pPr>
        <w:spacing w:line="360" w:lineRule="auto"/>
        <w:jc w:val="both"/>
        <w:rPr>
          <w:rFonts w:cs="Arial"/>
        </w:rPr>
      </w:pPr>
      <w:r w:rsidRPr="00F05EE0">
        <w:rPr>
          <w:rFonts w:cs="Arial"/>
        </w:rPr>
        <w:t xml:space="preserve">La </w:t>
      </w:r>
      <w:proofErr w:type="gramStart"/>
      <w:r w:rsidRPr="00F05EE0">
        <w:rPr>
          <w:rFonts w:cs="Arial"/>
        </w:rPr>
        <w:t>primer</w:t>
      </w:r>
      <w:proofErr w:type="gramEnd"/>
      <w:r w:rsidRPr="00F05EE0">
        <w:rPr>
          <w:rFonts w:cs="Arial"/>
        </w:rPr>
        <w:t xml:space="preserve"> transferencia se efectuó el 02/09/2015.</w:t>
      </w:r>
    </w:p>
    <w:p w:rsidR="00F05EE0" w:rsidRPr="00F05EE0" w:rsidRDefault="00F05EE0" w:rsidP="0004390D">
      <w:pPr>
        <w:spacing w:line="360" w:lineRule="auto"/>
        <w:jc w:val="both"/>
        <w:rPr>
          <w:rFonts w:cs="Arial"/>
        </w:rPr>
      </w:pPr>
      <w:r w:rsidRPr="00F05EE0">
        <w:rPr>
          <w:rFonts w:cs="Arial"/>
        </w:rPr>
        <w:t>Asimismo, durante el mes de agosto de 2015 se efectuó un llamado a consultoría a través del portal Uruguay Concursa para desarrollar el diseño organizacional de ANDE, incluyendo: plan estratégico, estructura organizacional, propuesta de procesos así como recu</w:t>
      </w:r>
      <w:r w:rsidR="0004390D">
        <w:rPr>
          <w:rFonts w:cs="Arial"/>
        </w:rPr>
        <w:t>rsos humanos e infraestructura.</w:t>
      </w:r>
    </w:p>
    <w:p w:rsidR="00F05EE0" w:rsidRPr="00F05EE0" w:rsidRDefault="00F05EE0" w:rsidP="0004390D">
      <w:pPr>
        <w:spacing w:line="360" w:lineRule="auto"/>
        <w:jc w:val="both"/>
        <w:rPr>
          <w:rFonts w:cs="Arial"/>
        </w:rPr>
      </w:pPr>
      <w:r w:rsidRPr="00F05EE0">
        <w:rPr>
          <w:rFonts w:cs="Arial"/>
        </w:rPr>
        <w:t>Por lo expuesto en el Numeral 2 del presente informe y lo indicado precedentemente en cuanto al funcionamiento de ANDE, se reitera la necesidad de que cada una de las instituciones debe remitir individualmente al Tribunal d</w:t>
      </w:r>
      <w:r w:rsidR="00250BF7">
        <w:rPr>
          <w:rFonts w:cs="Arial"/>
        </w:rPr>
        <w:t>e Cuentas sus  propios estados.</w:t>
      </w:r>
    </w:p>
    <w:p w:rsidR="00F05EE0" w:rsidRPr="00250BF7" w:rsidRDefault="00F05EE0" w:rsidP="00F05EE0">
      <w:pPr>
        <w:pStyle w:val="Textoindependiente"/>
        <w:spacing w:line="360" w:lineRule="auto"/>
        <w:jc w:val="both"/>
        <w:rPr>
          <w:rFonts w:ascii="Arial" w:hAnsi="Arial" w:cs="Arial"/>
          <w:bCs/>
          <w:spacing w:val="-3"/>
          <w:sz w:val="24"/>
          <w:szCs w:val="24"/>
          <w:lang w:val="es-ES"/>
        </w:rPr>
      </w:pPr>
    </w:p>
    <w:p w:rsidR="00F05EE0" w:rsidRPr="00F05EE0" w:rsidRDefault="00250BF7" w:rsidP="00F05EE0">
      <w:pPr>
        <w:pStyle w:val="Sangradetextonormal"/>
        <w:tabs>
          <w:tab w:val="clear" w:pos="2552"/>
          <w:tab w:val="left" w:pos="0"/>
        </w:tabs>
        <w:spacing w:line="360" w:lineRule="auto"/>
        <w:ind w:firstLine="0"/>
        <w:rPr>
          <w:rFonts w:ascii="Arial" w:hAnsi="Arial" w:cs="Arial"/>
          <w:b/>
          <w:szCs w:val="24"/>
        </w:rPr>
      </w:pPr>
      <w:r>
        <w:rPr>
          <w:rFonts w:ascii="Arial" w:hAnsi="Arial" w:cs="Arial"/>
          <w:b/>
          <w:szCs w:val="24"/>
        </w:rPr>
        <w:t>7)  Recomendaciones</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Efectuado el seguimiento de las recomendaciones formuladas en Informes de Auditoría de Ejercicios anteriores, se concluye que:</w:t>
      </w:r>
    </w:p>
    <w:p w:rsidR="00F05EE0" w:rsidRPr="00F05EE0" w:rsidRDefault="00F05EE0" w:rsidP="00F05EE0">
      <w:pPr>
        <w:pStyle w:val="Textoindependiente"/>
        <w:spacing w:line="360" w:lineRule="auto"/>
        <w:jc w:val="both"/>
        <w:rPr>
          <w:rFonts w:ascii="Arial" w:hAnsi="Arial" w:cs="Arial"/>
          <w:spacing w:val="-3"/>
          <w:sz w:val="24"/>
          <w:szCs w:val="24"/>
          <w:lang w:val="es-MX"/>
        </w:rPr>
      </w:pPr>
    </w:p>
    <w:p w:rsidR="00F05EE0" w:rsidRPr="00F05EE0" w:rsidRDefault="00F05EE0" w:rsidP="00F05EE0">
      <w:pPr>
        <w:pStyle w:val="Sangradetextonormal"/>
        <w:tabs>
          <w:tab w:val="clear" w:pos="2552"/>
        </w:tabs>
        <w:spacing w:line="360" w:lineRule="auto"/>
        <w:ind w:firstLine="0"/>
        <w:rPr>
          <w:rFonts w:ascii="Arial" w:hAnsi="Arial" w:cs="Arial"/>
          <w:b/>
          <w:szCs w:val="24"/>
        </w:rPr>
      </w:pPr>
      <w:r w:rsidRPr="00F05EE0">
        <w:rPr>
          <w:rFonts w:ascii="Arial" w:hAnsi="Arial" w:cs="Arial"/>
          <w:b/>
          <w:szCs w:val="24"/>
        </w:rPr>
        <w:t>7.1) Recomendación cumplida</w:t>
      </w:r>
    </w:p>
    <w:p w:rsidR="00F05EE0" w:rsidRPr="00F05EE0" w:rsidRDefault="00F05EE0" w:rsidP="00F05EE0">
      <w:pPr>
        <w:pStyle w:val="Sangradetextonormal"/>
        <w:tabs>
          <w:tab w:val="clear" w:pos="2552"/>
        </w:tabs>
        <w:spacing w:line="360" w:lineRule="auto"/>
        <w:ind w:firstLine="0"/>
        <w:rPr>
          <w:rFonts w:ascii="Arial" w:hAnsi="Arial" w:cs="Arial"/>
          <w:szCs w:val="24"/>
        </w:rPr>
      </w:pPr>
      <w:r w:rsidRPr="00F05EE0">
        <w:rPr>
          <w:rFonts w:ascii="Arial" w:hAnsi="Arial" w:cs="Arial"/>
          <w:spacing w:val="-3"/>
          <w:szCs w:val="24"/>
        </w:rPr>
        <w:t>Se dejó</w:t>
      </w:r>
      <w:r w:rsidRPr="00F05EE0">
        <w:rPr>
          <w:rFonts w:ascii="Arial" w:hAnsi="Arial" w:cs="Arial"/>
          <w:spacing w:val="-3"/>
          <w:szCs w:val="24"/>
          <w:lang w:val="es-MX"/>
        </w:rPr>
        <w:t xml:space="preserve"> constancia del Resultado del Ejercicio en el Acta de Asamblea de Accionistas que aprueba los estados financieros del  Ejercicio, de acuerdo con lo dispuesto por la Ordenanza Nº 81.</w:t>
      </w:r>
    </w:p>
    <w:p w:rsidR="00F05EE0" w:rsidRPr="00F05EE0" w:rsidRDefault="00F05EE0" w:rsidP="00F05EE0">
      <w:pPr>
        <w:pStyle w:val="Sangradetextonormal"/>
        <w:tabs>
          <w:tab w:val="clear" w:pos="2552"/>
        </w:tabs>
        <w:spacing w:line="360" w:lineRule="auto"/>
        <w:ind w:firstLine="0"/>
        <w:rPr>
          <w:rFonts w:ascii="Arial" w:hAnsi="Arial" w:cs="Arial"/>
          <w:b/>
          <w:szCs w:val="24"/>
        </w:rPr>
      </w:pPr>
    </w:p>
    <w:p w:rsidR="00F05EE0" w:rsidRPr="00F05EE0" w:rsidRDefault="00F05EE0" w:rsidP="00F05EE0">
      <w:pPr>
        <w:pStyle w:val="Sangradetextonormal"/>
        <w:tabs>
          <w:tab w:val="clear" w:pos="2552"/>
        </w:tabs>
        <w:spacing w:line="360" w:lineRule="auto"/>
        <w:ind w:firstLine="0"/>
        <w:rPr>
          <w:rFonts w:ascii="Arial" w:hAnsi="Arial" w:cs="Arial"/>
          <w:b/>
          <w:szCs w:val="24"/>
        </w:rPr>
      </w:pPr>
      <w:r w:rsidRPr="00F05EE0">
        <w:rPr>
          <w:rFonts w:ascii="Arial" w:hAnsi="Arial" w:cs="Arial"/>
          <w:b/>
          <w:szCs w:val="24"/>
        </w:rPr>
        <w:t>7.2) Recomendaciones no cumplidas</w:t>
      </w:r>
    </w:p>
    <w:p w:rsidR="00F05EE0" w:rsidRPr="00F05EE0" w:rsidRDefault="00F05EE0" w:rsidP="00F05EE0">
      <w:pPr>
        <w:pStyle w:val="Sangradetextonormal"/>
        <w:tabs>
          <w:tab w:val="clear" w:pos="2552"/>
        </w:tabs>
        <w:spacing w:line="360" w:lineRule="auto"/>
        <w:ind w:firstLine="0"/>
        <w:rPr>
          <w:rFonts w:ascii="Arial" w:hAnsi="Arial" w:cs="Arial"/>
          <w:szCs w:val="24"/>
        </w:rPr>
      </w:pPr>
      <w:r w:rsidRPr="00F05EE0">
        <w:rPr>
          <w:rFonts w:ascii="Arial" w:hAnsi="Arial" w:cs="Arial"/>
          <w:b/>
          <w:szCs w:val="24"/>
        </w:rPr>
        <w:t>7.2.1)</w:t>
      </w:r>
      <w:r w:rsidRPr="00F05EE0">
        <w:rPr>
          <w:rFonts w:ascii="Arial" w:hAnsi="Arial" w:cs="Arial"/>
          <w:szCs w:val="24"/>
        </w:rPr>
        <w:t xml:space="preserve"> No fueron publicados en el Diario Oficial los estados financieros de la CND de ejercicios anteriores ni la totalidad de los estados de las subsidiarias, Artículo Nº 26 de la Ley N° 17.555 y Artículos N</w:t>
      </w:r>
      <w:r w:rsidRPr="00F05EE0">
        <w:rPr>
          <w:rFonts w:ascii="Arial" w:hAnsi="Arial" w:cs="Arial"/>
          <w:szCs w:val="24"/>
          <w:vertAlign w:val="superscript"/>
        </w:rPr>
        <w:t>o</w:t>
      </w:r>
      <w:r w:rsidRPr="00F05EE0">
        <w:rPr>
          <w:rFonts w:ascii="Arial" w:hAnsi="Arial" w:cs="Arial"/>
          <w:szCs w:val="24"/>
        </w:rPr>
        <w:t xml:space="preserve"> 29 de la Ley N° 15.785 (Ley Orgánica), 38 del Decreto Nº 247/987 y Artículo 177 del Texto Ordenado de Contabilidad y Administración Financiera (TOCAF).</w:t>
      </w:r>
    </w:p>
    <w:p w:rsidR="00F05EE0" w:rsidRPr="00F05EE0" w:rsidRDefault="00F05EE0" w:rsidP="00F05EE0">
      <w:pPr>
        <w:pStyle w:val="Sangradetextonormal"/>
        <w:tabs>
          <w:tab w:val="clear" w:pos="2552"/>
        </w:tabs>
        <w:spacing w:line="360" w:lineRule="auto"/>
        <w:ind w:firstLine="0"/>
        <w:rPr>
          <w:rFonts w:ascii="Arial" w:hAnsi="Arial" w:cs="Arial"/>
          <w:szCs w:val="24"/>
        </w:rPr>
      </w:pPr>
      <w:r w:rsidRPr="00F05EE0">
        <w:rPr>
          <w:rFonts w:ascii="Arial" w:hAnsi="Arial" w:cs="Arial"/>
          <w:b/>
          <w:szCs w:val="24"/>
        </w:rPr>
        <w:t>7.2.2)</w:t>
      </w:r>
      <w:r w:rsidRPr="00F05EE0">
        <w:rPr>
          <w:rFonts w:ascii="Arial" w:hAnsi="Arial" w:cs="Arial"/>
          <w:szCs w:val="24"/>
        </w:rPr>
        <w:t xml:space="preserve"> Se continuaron desarrollando actividades que exceden el marco de competencias establecido a texto expreso</w:t>
      </w:r>
      <w:r w:rsidR="00250BF7">
        <w:rPr>
          <w:rFonts w:ascii="Arial" w:hAnsi="Arial" w:cs="Arial"/>
          <w:szCs w:val="24"/>
        </w:rPr>
        <w:t xml:space="preserve"> por las disposiciones legales.</w:t>
      </w:r>
    </w:p>
    <w:p w:rsidR="00F05EE0" w:rsidRPr="00F05EE0" w:rsidRDefault="00F05EE0" w:rsidP="00F05EE0">
      <w:pPr>
        <w:pStyle w:val="Sangradetextonormal"/>
        <w:tabs>
          <w:tab w:val="clear" w:pos="2552"/>
        </w:tabs>
        <w:spacing w:line="360" w:lineRule="auto"/>
        <w:ind w:firstLine="0"/>
        <w:rPr>
          <w:rFonts w:ascii="Arial" w:hAnsi="Arial" w:cs="Arial"/>
          <w:b/>
          <w:spacing w:val="-3"/>
          <w:szCs w:val="24"/>
        </w:rPr>
      </w:pPr>
    </w:p>
    <w:p w:rsidR="00F05EE0" w:rsidRPr="00F05EE0" w:rsidRDefault="00F05EE0" w:rsidP="00F05EE0">
      <w:pPr>
        <w:pStyle w:val="Sangradetextonormal"/>
        <w:tabs>
          <w:tab w:val="clear" w:pos="2552"/>
        </w:tabs>
        <w:spacing w:line="360" w:lineRule="auto"/>
        <w:ind w:firstLine="0"/>
        <w:rPr>
          <w:rFonts w:ascii="Arial" w:hAnsi="Arial" w:cs="Arial"/>
          <w:szCs w:val="24"/>
        </w:rPr>
      </w:pPr>
      <w:r w:rsidRPr="00F05EE0">
        <w:rPr>
          <w:rFonts w:ascii="Arial" w:hAnsi="Arial" w:cs="Arial"/>
          <w:b/>
          <w:spacing w:val="-3"/>
          <w:szCs w:val="24"/>
        </w:rPr>
        <w:t>7.2.3)</w:t>
      </w:r>
      <w:r w:rsidRPr="00F05EE0">
        <w:rPr>
          <w:rFonts w:ascii="Arial" w:hAnsi="Arial" w:cs="Arial"/>
          <w:color w:val="000000"/>
          <w:szCs w:val="24"/>
          <w:shd w:val="clear" w:color="auto" w:fill="FFFFFF"/>
        </w:rPr>
        <w:t> No se efectuaron depósitos de fondos exclusivamente en el BROU, de acuerdo con lo establecido por el Artículo 80 de la Ley Nº 17.555</w:t>
      </w:r>
      <w:r w:rsidRPr="00F05EE0">
        <w:rPr>
          <w:rFonts w:ascii="Arial" w:hAnsi="Arial" w:cs="Arial"/>
          <w:szCs w:val="24"/>
        </w:rPr>
        <w:t xml:space="preserve"> de fecha 18/09/2002.</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b/>
          <w:sz w:val="24"/>
          <w:szCs w:val="24"/>
          <w:lang w:val="es-ES"/>
        </w:rPr>
        <w:t>7</w:t>
      </w:r>
      <w:r w:rsidRPr="00F05EE0">
        <w:rPr>
          <w:rFonts w:ascii="Arial" w:hAnsi="Arial" w:cs="Arial"/>
          <w:b/>
          <w:sz w:val="24"/>
          <w:szCs w:val="24"/>
        </w:rPr>
        <w:t>.2.4)</w:t>
      </w:r>
      <w:r w:rsidRPr="00F05EE0">
        <w:rPr>
          <w:rFonts w:ascii="Arial" w:hAnsi="Arial" w:cs="Arial"/>
          <w:sz w:val="24"/>
          <w:szCs w:val="24"/>
        </w:rPr>
        <w:t xml:space="preserve"> No se dotó </w:t>
      </w:r>
      <w:r w:rsidRPr="00F05EE0">
        <w:rPr>
          <w:rFonts w:ascii="Arial" w:hAnsi="Arial" w:cs="Arial"/>
          <w:spacing w:val="-3"/>
          <w:sz w:val="24"/>
          <w:szCs w:val="24"/>
          <w:lang w:val="es-MX"/>
        </w:rPr>
        <w:t>a la Auditoría Interna de recursos humanos suficientes a efectos de cumplir de forma adecuada con sus funciones.</w:t>
      </w:r>
    </w:p>
    <w:p w:rsidR="00F05EE0" w:rsidRPr="00F05EE0" w:rsidRDefault="00F05EE0" w:rsidP="00F05EE0">
      <w:pPr>
        <w:pStyle w:val="Sangradetextonormal"/>
        <w:tabs>
          <w:tab w:val="clear" w:pos="2552"/>
        </w:tabs>
        <w:spacing w:line="360" w:lineRule="auto"/>
        <w:ind w:firstLine="0"/>
        <w:rPr>
          <w:rFonts w:ascii="Arial" w:hAnsi="Arial" w:cs="Arial"/>
          <w:szCs w:val="24"/>
        </w:rPr>
      </w:pPr>
    </w:p>
    <w:p w:rsidR="00F05EE0" w:rsidRPr="00F05EE0" w:rsidRDefault="00F05EE0" w:rsidP="00F05EE0">
      <w:pPr>
        <w:pStyle w:val="Sangradetextonormal"/>
        <w:tabs>
          <w:tab w:val="clear" w:pos="2552"/>
        </w:tabs>
        <w:spacing w:line="360" w:lineRule="auto"/>
        <w:ind w:firstLine="0"/>
        <w:rPr>
          <w:rFonts w:ascii="Arial" w:hAnsi="Arial" w:cs="Arial"/>
          <w:b/>
          <w:szCs w:val="24"/>
        </w:rPr>
      </w:pPr>
      <w:r w:rsidRPr="00F05EE0">
        <w:rPr>
          <w:rFonts w:ascii="Arial" w:hAnsi="Arial" w:cs="Arial"/>
          <w:b/>
          <w:szCs w:val="24"/>
        </w:rPr>
        <w:t>7.3) Recomendaciones del presente</w:t>
      </w:r>
      <w:r w:rsidR="00250BF7">
        <w:rPr>
          <w:rFonts w:ascii="Arial" w:hAnsi="Arial" w:cs="Arial"/>
          <w:b/>
          <w:szCs w:val="24"/>
        </w:rPr>
        <w:t xml:space="preserve"> Ejercicio</w:t>
      </w:r>
    </w:p>
    <w:p w:rsidR="00F05EE0" w:rsidRPr="00F05EE0" w:rsidRDefault="00F05EE0" w:rsidP="00F05EE0">
      <w:pPr>
        <w:pStyle w:val="Textoindependiente"/>
        <w:spacing w:line="360" w:lineRule="auto"/>
        <w:jc w:val="both"/>
        <w:rPr>
          <w:rFonts w:ascii="Arial" w:hAnsi="Arial" w:cs="Arial"/>
          <w:spacing w:val="-3"/>
          <w:sz w:val="24"/>
          <w:szCs w:val="24"/>
          <w:lang w:val="es-MX"/>
        </w:rPr>
      </w:pPr>
      <w:r w:rsidRPr="00F05EE0">
        <w:rPr>
          <w:rFonts w:ascii="Arial" w:hAnsi="Arial" w:cs="Arial"/>
          <w:spacing w:val="-3"/>
          <w:sz w:val="24"/>
          <w:szCs w:val="24"/>
          <w:lang w:val="es-MX"/>
        </w:rPr>
        <w:t>Se reiteran las recomendaciones no cumplidas de Ejercicios anteriores y se formulan las siguientes:</w:t>
      </w:r>
    </w:p>
    <w:p w:rsidR="00F05EE0" w:rsidRPr="00F05EE0" w:rsidRDefault="00F05EE0" w:rsidP="00F05EE0">
      <w:pPr>
        <w:pStyle w:val="Textoindependiente"/>
        <w:numPr>
          <w:ilvl w:val="0"/>
          <w:numId w:val="2"/>
        </w:numPr>
        <w:autoSpaceDE w:val="0"/>
        <w:autoSpaceDN w:val="0"/>
        <w:adjustRightInd w:val="0"/>
        <w:spacing w:line="360" w:lineRule="auto"/>
        <w:ind w:left="0" w:firstLine="0"/>
        <w:jc w:val="both"/>
        <w:rPr>
          <w:rFonts w:ascii="Arial" w:hAnsi="Arial" w:cs="Arial"/>
          <w:spacing w:val="-3"/>
          <w:sz w:val="24"/>
          <w:szCs w:val="24"/>
          <w:lang w:val="es-MX"/>
        </w:rPr>
      </w:pPr>
      <w:r w:rsidRPr="00F05EE0">
        <w:rPr>
          <w:rFonts w:ascii="Arial" w:hAnsi="Arial" w:cs="Arial"/>
          <w:spacing w:val="-3"/>
          <w:sz w:val="24"/>
          <w:szCs w:val="24"/>
          <w:lang w:val="es-MX"/>
        </w:rPr>
        <w:t>Remitir al Tribunal de Cuentas los estados financieros de acuerdo con los cometidos asignados a la CND por la Ley Nº 18.602 (Numerales 2 y 6).</w:t>
      </w:r>
    </w:p>
    <w:p w:rsidR="00F05EE0" w:rsidRPr="00F05EE0" w:rsidRDefault="00F05EE0" w:rsidP="00F05EE0">
      <w:pPr>
        <w:pStyle w:val="Textoindependiente"/>
        <w:numPr>
          <w:ilvl w:val="0"/>
          <w:numId w:val="2"/>
        </w:numPr>
        <w:autoSpaceDE w:val="0"/>
        <w:autoSpaceDN w:val="0"/>
        <w:adjustRightInd w:val="0"/>
        <w:spacing w:line="360" w:lineRule="auto"/>
        <w:ind w:left="0" w:firstLine="0"/>
        <w:jc w:val="both"/>
        <w:rPr>
          <w:rFonts w:ascii="Arial" w:hAnsi="Arial" w:cs="Arial"/>
          <w:spacing w:val="-3"/>
          <w:sz w:val="24"/>
          <w:szCs w:val="24"/>
          <w:lang w:val="es-MX"/>
        </w:rPr>
      </w:pPr>
      <w:r w:rsidRPr="00F05EE0">
        <w:rPr>
          <w:rFonts w:ascii="Arial" w:hAnsi="Arial" w:cs="Arial"/>
          <w:sz w:val="24"/>
          <w:szCs w:val="24"/>
          <w:lang w:val="es-ES"/>
        </w:rPr>
        <w:t xml:space="preserve">Efectuar </w:t>
      </w:r>
      <w:r w:rsidRPr="00F05EE0">
        <w:rPr>
          <w:rFonts w:ascii="Arial" w:hAnsi="Arial" w:cs="Arial"/>
          <w:sz w:val="24"/>
          <w:szCs w:val="24"/>
        </w:rPr>
        <w:t>los Informes de Rendición de Cuentas de los fondos</w:t>
      </w:r>
      <w:r w:rsidRPr="00F05EE0">
        <w:rPr>
          <w:rFonts w:ascii="Arial" w:hAnsi="Arial" w:cs="Arial"/>
          <w:sz w:val="24"/>
          <w:szCs w:val="24"/>
          <w:lang w:val="es-ES"/>
        </w:rPr>
        <w:t xml:space="preserve"> administrados de acuerdo con lo establecido en el </w:t>
      </w:r>
      <w:r w:rsidRPr="00F05EE0">
        <w:rPr>
          <w:rFonts w:ascii="Arial" w:hAnsi="Arial" w:cs="Arial"/>
          <w:sz w:val="24"/>
          <w:szCs w:val="24"/>
        </w:rPr>
        <w:t>Artículo 9 de la Ordenanza</w:t>
      </w:r>
      <w:r w:rsidRPr="00F05EE0">
        <w:rPr>
          <w:rFonts w:ascii="Arial" w:hAnsi="Arial" w:cs="Arial"/>
          <w:sz w:val="24"/>
          <w:szCs w:val="24"/>
        </w:rPr>
        <w:br/>
        <w:t>Nº 77 del Tribuna</w:t>
      </w:r>
      <w:r w:rsidR="00250BF7">
        <w:rPr>
          <w:rFonts w:ascii="Arial" w:hAnsi="Arial" w:cs="Arial"/>
          <w:sz w:val="24"/>
          <w:szCs w:val="24"/>
        </w:rPr>
        <w:t>l de Cuentas. (Numeral 3.2).</w:t>
      </w:r>
    </w:p>
    <w:p w:rsidR="00F05EE0" w:rsidRPr="00F05EE0" w:rsidRDefault="00F05EE0" w:rsidP="00F05EE0">
      <w:pPr>
        <w:pStyle w:val="Textoindependiente"/>
        <w:numPr>
          <w:ilvl w:val="0"/>
          <w:numId w:val="2"/>
        </w:numPr>
        <w:autoSpaceDE w:val="0"/>
        <w:autoSpaceDN w:val="0"/>
        <w:adjustRightInd w:val="0"/>
        <w:spacing w:line="360" w:lineRule="auto"/>
        <w:ind w:left="0" w:firstLine="0"/>
        <w:jc w:val="both"/>
        <w:rPr>
          <w:rFonts w:ascii="Arial" w:hAnsi="Arial" w:cs="Arial"/>
          <w:spacing w:val="-3"/>
          <w:sz w:val="24"/>
          <w:szCs w:val="24"/>
          <w:lang w:val="es-MX"/>
        </w:rPr>
      </w:pPr>
      <w:r w:rsidRPr="00F05EE0">
        <w:rPr>
          <w:rFonts w:ascii="Arial" w:hAnsi="Arial" w:cs="Arial"/>
          <w:spacing w:val="-3"/>
          <w:sz w:val="24"/>
          <w:szCs w:val="24"/>
          <w:lang w:val="es-MX"/>
        </w:rPr>
        <w:t>Subsanar las debilidades de control interno constatadas en la administración de fondos de terceros, así como en el sistema de pagos. (Numeral 4).</w:t>
      </w:r>
    </w:p>
    <w:p w:rsidR="00250BF7" w:rsidRDefault="00F05EE0" w:rsidP="00F05EE0">
      <w:pPr>
        <w:pStyle w:val="Textoindependiente"/>
        <w:autoSpaceDE w:val="0"/>
        <w:autoSpaceDN w:val="0"/>
        <w:adjustRightInd w:val="0"/>
        <w:spacing w:line="360" w:lineRule="auto"/>
        <w:jc w:val="right"/>
        <w:rPr>
          <w:rFonts w:ascii="Arial" w:hAnsi="Arial" w:cs="Arial"/>
          <w:spacing w:val="-3"/>
          <w:sz w:val="24"/>
          <w:szCs w:val="24"/>
          <w:lang w:val="es-MX"/>
        </w:rPr>
      </w:pPr>
      <w:r w:rsidRPr="00F05EE0">
        <w:rPr>
          <w:rFonts w:ascii="Arial" w:hAnsi="Arial" w:cs="Arial"/>
          <w:spacing w:val="-3"/>
          <w:sz w:val="24"/>
          <w:szCs w:val="24"/>
          <w:lang w:val="es-MX"/>
        </w:rPr>
        <w:t>Montevideo, 22 de setiembre de 2014</w:t>
      </w:r>
    </w:p>
    <w:p w:rsidR="00250BF7" w:rsidRPr="00F05EE0" w:rsidRDefault="00250BF7" w:rsidP="00F05EE0">
      <w:pPr>
        <w:pStyle w:val="Textoindependiente"/>
        <w:autoSpaceDE w:val="0"/>
        <w:autoSpaceDN w:val="0"/>
        <w:adjustRightInd w:val="0"/>
        <w:spacing w:line="360" w:lineRule="auto"/>
        <w:jc w:val="right"/>
        <w:rPr>
          <w:rFonts w:ascii="Arial" w:hAnsi="Arial" w:cs="Arial"/>
          <w:spacing w:val="-3"/>
          <w:sz w:val="24"/>
          <w:szCs w:val="24"/>
          <w:lang w:val="es-MX"/>
        </w:rPr>
      </w:pPr>
    </w:p>
    <w:p w:rsidR="00A818E5" w:rsidRPr="00F05EE0" w:rsidRDefault="00F05EE0" w:rsidP="00F05EE0">
      <w:pPr>
        <w:pStyle w:val="Textoindependiente"/>
        <w:autoSpaceDE w:val="0"/>
        <w:autoSpaceDN w:val="0"/>
        <w:adjustRightInd w:val="0"/>
        <w:spacing w:line="360" w:lineRule="auto"/>
        <w:ind w:hanging="709"/>
        <w:rPr>
          <w:rFonts w:ascii="Arial" w:hAnsi="Arial" w:cs="Arial"/>
          <w:spacing w:val="-3"/>
          <w:sz w:val="24"/>
          <w:szCs w:val="24"/>
        </w:rPr>
      </w:pPr>
      <w:proofErr w:type="gramStart"/>
      <w:r w:rsidRPr="00F05EE0">
        <w:rPr>
          <w:rFonts w:ascii="Arial" w:hAnsi="Arial" w:cs="Arial"/>
          <w:spacing w:val="-3"/>
          <w:sz w:val="24"/>
          <w:szCs w:val="24"/>
          <w:lang w:val="es-MX"/>
        </w:rPr>
        <w:t>dc</w:t>
      </w:r>
      <w:proofErr w:type="gramEnd"/>
    </w:p>
    <w:sectPr w:rsidR="00A818E5" w:rsidRPr="00F05EE0" w:rsidSect="00A818E5">
      <w:footerReference w:type="default" r:id="rId9"/>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72" w:rsidRDefault="006C0572">
      <w:r>
        <w:separator/>
      </w:r>
    </w:p>
  </w:endnote>
  <w:endnote w:type="continuationSeparator" w:id="0">
    <w:p w:rsidR="006C0572" w:rsidRDefault="006C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72" w:rsidRDefault="006C0572">
    <w:pPr>
      <w:pStyle w:val="Piedepgina"/>
      <w:jc w:val="center"/>
    </w:pPr>
    <w:r>
      <w:fldChar w:fldCharType="begin"/>
    </w:r>
    <w:r>
      <w:instrText>PAGE   \* MERGEFORMAT</w:instrText>
    </w:r>
    <w:r>
      <w:fldChar w:fldCharType="separate"/>
    </w:r>
    <w:r w:rsidR="00774355">
      <w:rPr>
        <w:noProof/>
      </w:rPr>
      <w:t>1</w:t>
    </w:r>
    <w:r>
      <w:fldChar w:fldCharType="end"/>
    </w:r>
  </w:p>
  <w:p w:rsidR="006C0572" w:rsidRDefault="006C05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72" w:rsidRDefault="006C0572">
      <w:r>
        <w:separator/>
      </w:r>
    </w:p>
  </w:footnote>
  <w:footnote w:type="continuationSeparator" w:id="0">
    <w:p w:rsidR="006C0572" w:rsidRDefault="006C0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033E3"/>
    <w:multiLevelType w:val="hybridMultilevel"/>
    <w:tmpl w:val="14AC8A2C"/>
    <w:lvl w:ilvl="0" w:tplc="7402DCB6">
      <w:start w:val="1"/>
      <w:numFmt w:val="decimal"/>
      <w:lvlText w:val="%1)"/>
      <w:lvlJc w:val="left"/>
      <w:pPr>
        <w:tabs>
          <w:tab w:val="num" w:pos="360"/>
        </w:tabs>
        <w:ind w:left="340" w:hanging="340"/>
      </w:pPr>
      <w:rPr>
        <w:rFonts w:ascii="Arial" w:hAnsi="Arial" w:hint="default"/>
        <w:b/>
        <w:sz w:val="24"/>
      </w:rPr>
    </w:lvl>
    <w:lvl w:ilvl="1" w:tplc="2F3A4A26">
      <w:start w:val="4"/>
      <w:numFmt w:val="decimal"/>
      <w:lvlText w:val="%2."/>
      <w:lvlJc w:val="left"/>
      <w:pPr>
        <w:tabs>
          <w:tab w:val="num" w:pos="1515"/>
        </w:tabs>
        <w:ind w:left="1515" w:hanging="43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75576337"/>
    <w:multiLevelType w:val="hybridMultilevel"/>
    <w:tmpl w:val="9AB8333E"/>
    <w:lvl w:ilvl="0" w:tplc="CBC4D09C">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E5"/>
    <w:rsid w:val="0004390D"/>
    <w:rsid w:val="000462D7"/>
    <w:rsid w:val="00250BF7"/>
    <w:rsid w:val="00311791"/>
    <w:rsid w:val="00330727"/>
    <w:rsid w:val="00465C91"/>
    <w:rsid w:val="006C0572"/>
    <w:rsid w:val="00700D10"/>
    <w:rsid w:val="00774355"/>
    <w:rsid w:val="009D365A"/>
    <w:rsid w:val="00A818E5"/>
    <w:rsid w:val="00F05E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A818E5"/>
    <w:pPr>
      <w:keepNext/>
      <w:outlineLvl w:val="0"/>
    </w:pPr>
    <w:rPr>
      <w:rFonts w:ascii="Times New Roman" w:hAnsi="Times New Roman"/>
      <w:sz w:val="28"/>
      <w:lang w:val="es-UY"/>
    </w:rPr>
  </w:style>
  <w:style w:type="paragraph" w:styleId="Ttulo3">
    <w:name w:val="heading 3"/>
    <w:basedOn w:val="Normal"/>
    <w:next w:val="Normal"/>
    <w:link w:val="Ttulo3Car"/>
    <w:qFormat/>
    <w:rsid w:val="00F05EE0"/>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818E5"/>
    <w:pPr>
      <w:tabs>
        <w:tab w:val="center" w:pos="4419"/>
        <w:tab w:val="right" w:pos="8838"/>
      </w:tabs>
    </w:pPr>
  </w:style>
  <w:style w:type="character" w:customStyle="1" w:styleId="PiedepginaCar">
    <w:name w:val="Pie de página Car"/>
    <w:basedOn w:val="Fuentedeprrafopredeter"/>
    <w:link w:val="Piedepgina"/>
    <w:uiPriority w:val="99"/>
    <w:rsid w:val="00A818E5"/>
    <w:rPr>
      <w:rFonts w:ascii="Arial" w:hAnsi="Arial"/>
      <w:sz w:val="24"/>
      <w:szCs w:val="24"/>
      <w:lang w:val="es-ES" w:eastAsia="es-ES"/>
    </w:rPr>
  </w:style>
  <w:style w:type="paragraph" w:styleId="Prrafodelista">
    <w:name w:val="List Paragraph"/>
    <w:basedOn w:val="Normal"/>
    <w:uiPriority w:val="34"/>
    <w:qFormat/>
    <w:rsid w:val="00A818E5"/>
    <w:pPr>
      <w:ind w:left="720"/>
      <w:contextualSpacing/>
    </w:pPr>
  </w:style>
  <w:style w:type="character" w:customStyle="1" w:styleId="Ttulo1Car">
    <w:name w:val="Título 1 Car"/>
    <w:basedOn w:val="Fuentedeprrafopredeter"/>
    <w:link w:val="Ttulo1"/>
    <w:rsid w:val="00A818E5"/>
    <w:rPr>
      <w:sz w:val="28"/>
      <w:szCs w:val="24"/>
      <w:lang w:val="es-UY" w:eastAsia="es-ES"/>
    </w:rPr>
  </w:style>
  <w:style w:type="character" w:customStyle="1" w:styleId="Ttulo3Car">
    <w:name w:val="Título 3 Car"/>
    <w:basedOn w:val="Fuentedeprrafopredeter"/>
    <w:link w:val="Ttulo3"/>
    <w:rsid w:val="00F05EE0"/>
    <w:rPr>
      <w:rFonts w:ascii="Bookman Old Style" w:hAnsi="Bookman Old Style"/>
      <w:b/>
      <w:sz w:val="24"/>
      <w:lang w:val="es-ES" w:eastAsia="es-ES"/>
    </w:rPr>
  </w:style>
  <w:style w:type="paragraph" w:styleId="Textoindependiente">
    <w:name w:val="Body Text"/>
    <w:basedOn w:val="Normal"/>
    <w:link w:val="TextoindependienteCar"/>
    <w:semiHidden/>
    <w:rsid w:val="00F05EE0"/>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F05EE0"/>
    <w:rPr>
      <w:sz w:val="23"/>
      <w:szCs w:val="23"/>
      <w:lang w:val="es-UY" w:eastAsia="es-ES"/>
    </w:rPr>
  </w:style>
  <w:style w:type="paragraph" w:styleId="Textoindependiente2">
    <w:name w:val="Body Text 2"/>
    <w:basedOn w:val="Normal"/>
    <w:link w:val="Textoindependiente2Car"/>
    <w:semiHidden/>
    <w:rsid w:val="00F05EE0"/>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F05EE0"/>
    <w:rPr>
      <w:sz w:val="23"/>
      <w:szCs w:val="23"/>
      <w:lang w:val="es-UY" w:eastAsia="es-ES"/>
    </w:rPr>
  </w:style>
  <w:style w:type="paragraph" w:styleId="Sangradetextonormal">
    <w:name w:val="Body Text Indent"/>
    <w:basedOn w:val="Normal"/>
    <w:link w:val="SangradetextonormalCar"/>
    <w:semiHidden/>
    <w:rsid w:val="00F05EE0"/>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F05EE0"/>
    <w:rPr>
      <w:rFonts w:ascii="Bookman Old Style" w:hAnsi="Bookman Old Style"/>
      <w:sz w:val="24"/>
      <w:lang w:val="es-ES" w:eastAsia="es-ES"/>
    </w:rPr>
  </w:style>
  <w:style w:type="paragraph" w:styleId="Sangra2detindependiente">
    <w:name w:val="Body Text Indent 2"/>
    <w:basedOn w:val="Normal"/>
    <w:link w:val="Sangra2detindependienteCar"/>
    <w:semiHidden/>
    <w:rsid w:val="00F05EE0"/>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F05EE0"/>
    <w:rPr>
      <w:rFonts w:ascii="Arial" w:hAnsi="Arial"/>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A818E5"/>
    <w:pPr>
      <w:keepNext/>
      <w:outlineLvl w:val="0"/>
    </w:pPr>
    <w:rPr>
      <w:rFonts w:ascii="Times New Roman" w:hAnsi="Times New Roman"/>
      <w:sz w:val="28"/>
      <w:lang w:val="es-UY"/>
    </w:rPr>
  </w:style>
  <w:style w:type="paragraph" w:styleId="Ttulo3">
    <w:name w:val="heading 3"/>
    <w:basedOn w:val="Normal"/>
    <w:next w:val="Normal"/>
    <w:link w:val="Ttulo3Car"/>
    <w:qFormat/>
    <w:rsid w:val="00F05EE0"/>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818E5"/>
    <w:pPr>
      <w:tabs>
        <w:tab w:val="center" w:pos="4419"/>
        <w:tab w:val="right" w:pos="8838"/>
      </w:tabs>
    </w:pPr>
  </w:style>
  <w:style w:type="character" w:customStyle="1" w:styleId="PiedepginaCar">
    <w:name w:val="Pie de página Car"/>
    <w:basedOn w:val="Fuentedeprrafopredeter"/>
    <w:link w:val="Piedepgina"/>
    <w:uiPriority w:val="99"/>
    <w:rsid w:val="00A818E5"/>
    <w:rPr>
      <w:rFonts w:ascii="Arial" w:hAnsi="Arial"/>
      <w:sz w:val="24"/>
      <w:szCs w:val="24"/>
      <w:lang w:val="es-ES" w:eastAsia="es-ES"/>
    </w:rPr>
  </w:style>
  <w:style w:type="paragraph" w:styleId="Prrafodelista">
    <w:name w:val="List Paragraph"/>
    <w:basedOn w:val="Normal"/>
    <w:uiPriority w:val="34"/>
    <w:qFormat/>
    <w:rsid w:val="00A818E5"/>
    <w:pPr>
      <w:ind w:left="720"/>
      <w:contextualSpacing/>
    </w:pPr>
  </w:style>
  <w:style w:type="character" w:customStyle="1" w:styleId="Ttulo1Car">
    <w:name w:val="Título 1 Car"/>
    <w:basedOn w:val="Fuentedeprrafopredeter"/>
    <w:link w:val="Ttulo1"/>
    <w:rsid w:val="00A818E5"/>
    <w:rPr>
      <w:sz w:val="28"/>
      <w:szCs w:val="24"/>
      <w:lang w:val="es-UY" w:eastAsia="es-ES"/>
    </w:rPr>
  </w:style>
  <w:style w:type="character" w:customStyle="1" w:styleId="Ttulo3Car">
    <w:name w:val="Título 3 Car"/>
    <w:basedOn w:val="Fuentedeprrafopredeter"/>
    <w:link w:val="Ttulo3"/>
    <w:rsid w:val="00F05EE0"/>
    <w:rPr>
      <w:rFonts w:ascii="Bookman Old Style" w:hAnsi="Bookman Old Style"/>
      <w:b/>
      <w:sz w:val="24"/>
      <w:lang w:val="es-ES" w:eastAsia="es-ES"/>
    </w:rPr>
  </w:style>
  <w:style w:type="paragraph" w:styleId="Textoindependiente">
    <w:name w:val="Body Text"/>
    <w:basedOn w:val="Normal"/>
    <w:link w:val="TextoindependienteCar"/>
    <w:semiHidden/>
    <w:rsid w:val="00F05EE0"/>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F05EE0"/>
    <w:rPr>
      <w:sz w:val="23"/>
      <w:szCs w:val="23"/>
      <w:lang w:val="es-UY" w:eastAsia="es-ES"/>
    </w:rPr>
  </w:style>
  <w:style w:type="paragraph" w:styleId="Textoindependiente2">
    <w:name w:val="Body Text 2"/>
    <w:basedOn w:val="Normal"/>
    <w:link w:val="Textoindependiente2Car"/>
    <w:semiHidden/>
    <w:rsid w:val="00F05EE0"/>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F05EE0"/>
    <w:rPr>
      <w:sz w:val="23"/>
      <w:szCs w:val="23"/>
      <w:lang w:val="es-UY" w:eastAsia="es-ES"/>
    </w:rPr>
  </w:style>
  <w:style w:type="paragraph" w:styleId="Sangradetextonormal">
    <w:name w:val="Body Text Indent"/>
    <w:basedOn w:val="Normal"/>
    <w:link w:val="SangradetextonormalCar"/>
    <w:semiHidden/>
    <w:rsid w:val="00F05EE0"/>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F05EE0"/>
    <w:rPr>
      <w:rFonts w:ascii="Bookman Old Style" w:hAnsi="Bookman Old Style"/>
      <w:sz w:val="24"/>
      <w:lang w:val="es-ES" w:eastAsia="es-ES"/>
    </w:rPr>
  </w:style>
  <w:style w:type="paragraph" w:styleId="Sangra2detindependiente">
    <w:name w:val="Body Text Indent 2"/>
    <w:basedOn w:val="Normal"/>
    <w:link w:val="Sangra2detindependienteCar"/>
    <w:semiHidden/>
    <w:rsid w:val="00F05EE0"/>
    <w:pPr>
      <w:ind w:firstLine="1276"/>
      <w:jc w:val="both"/>
    </w:pPr>
    <w:rPr>
      <w:szCs w:val="20"/>
    </w:rPr>
  </w:style>
  <w:style w:type="character" w:customStyle="1" w:styleId="Sangra2detindependienteCar">
    <w:name w:val="Sangría 2 de t. independiente Car"/>
    <w:basedOn w:val="Fuentedeprrafopredeter"/>
    <w:link w:val="Sangra2detindependiente"/>
    <w:semiHidden/>
    <w:rsid w:val="00F05EE0"/>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A4DB-2A63-4DE0-AE3C-3D15C535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3778</Words>
  <Characters>20646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dcterms:created xsi:type="dcterms:W3CDTF">2015-10-28T19:17:00Z</dcterms:created>
  <dcterms:modified xsi:type="dcterms:W3CDTF">2015-11-12T19:27:00Z</dcterms:modified>
</cp:coreProperties>
</file>