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C5C" w:rsidRPr="00574C5C" w:rsidRDefault="00574C5C" w:rsidP="00574C5C">
      <w:pPr>
        <w:tabs>
          <w:tab w:val="center" w:pos="4253"/>
        </w:tabs>
        <w:suppressAutoHyphens/>
        <w:spacing w:after="0" w:line="240" w:lineRule="auto"/>
        <w:jc w:val="center"/>
        <w:rPr>
          <w:rFonts w:ascii="Arial" w:hAnsi="Arial" w:cs="Arial"/>
          <w:b/>
          <w:sz w:val="24"/>
          <w:szCs w:val="24"/>
          <w:lang w:val="es-ES_tradnl"/>
        </w:rPr>
      </w:pPr>
      <w:bookmarkStart w:id="0" w:name="_GoBack"/>
      <w:bookmarkEnd w:id="0"/>
      <w:r w:rsidRPr="00574C5C">
        <w:rPr>
          <w:rFonts w:ascii="Arial" w:hAnsi="Arial" w:cs="Arial"/>
          <w:b/>
          <w:sz w:val="24"/>
          <w:szCs w:val="24"/>
          <w:lang w:val="es-ES_tradnl"/>
        </w:rPr>
        <w:t>RESOLUCION ADOPTADA POR EL</w:t>
      </w:r>
    </w:p>
    <w:p w:rsidR="00574C5C" w:rsidRPr="00574C5C" w:rsidRDefault="00574C5C" w:rsidP="00574C5C">
      <w:pPr>
        <w:tabs>
          <w:tab w:val="left" w:pos="-720"/>
        </w:tabs>
        <w:suppressAutoHyphens/>
        <w:spacing w:after="0" w:line="240" w:lineRule="auto"/>
        <w:jc w:val="center"/>
        <w:rPr>
          <w:rFonts w:ascii="Arial" w:hAnsi="Arial" w:cs="Arial"/>
          <w:b/>
          <w:sz w:val="24"/>
          <w:szCs w:val="24"/>
          <w:lang w:val="es-ES_tradnl"/>
        </w:rPr>
      </w:pPr>
    </w:p>
    <w:p w:rsidR="00574C5C" w:rsidRPr="00574C5C" w:rsidRDefault="00574C5C" w:rsidP="00574C5C">
      <w:pPr>
        <w:tabs>
          <w:tab w:val="center" w:pos="4253"/>
        </w:tabs>
        <w:suppressAutoHyphens/>
        <w:spacing w:after="0" w:line="240" w:lineRule="auto"/>
        <w:jc w:val="center"/>
        <w:rPr>
          <w:rFonts w:ascii="Arial" w:hAnsi="Arial" w:cs="Arial"/>
          <w:b/>
          <w:sz w:val="24"/>
          <w:szCs w:val="24"/>
          <w:lang w:val="es-ES_tradnl"/>
        </w:rPr>
      </w:pPr>
      <w:r w:rsidRPr="00574C5C">
        <w:rPr>
          <w:rFonts w:ascii="Arial" w:hAnsi="Arial" w:cs="Arial"/>
          <w:b/>
          <w:sz w:val="24"/>
          <w:szCs w:val="24"/>
          <w:lang w:val="es-ES_tradnl"/>
        </w:rPr>
        <w:t>TRIBUNAL DE CUENTAS</w:t>
      </w:r>
    </w:p>
    <w:p w:rsidR="00574C5C" w:rsidRPr="00574C5C" w:rsidRDefault="00574C5C" w:rsidP="00574C5C">
      <w:pPr>
        <w:tabs>
          <w:tab w:val="left" w:pos="-720"/>
        </w:tabs>
        <w:suppressAutoHyphens/>
        <w:spacing w:after="0" w:line="240" w:lineRule="auto"/>
        <w:jc w:val="center"/>
        <w:rPr>
          <w:rFonts w:ascii="Arial" w:hAnsi="Arial" w:cs="Arial"/>
          <w:b/>
          <w:sz w:val="24"/>
          <w:szCs w:val="24"/>
          <w:lang w:val="es-ES_tradnl"/>
        </w:rPr>
      </w:pPr>
    </w:p>
    <w:p w:rsidR="00574C5C" w:rsidRPr="00574C5C" w:rsidRDefault="00574C5C" w:rsidP="00574C5C">
      <w:pPr>
        <w:tabs>
          <w:tab w:val="center" w:pos="4253"/>
        </w:tabs>
        <w:suppressAutoHyphens/>
        <w:spacing w:after="0" w:line="240" w:lineRule="auto"/>
        <w:jc w:val="center"/>
        <w:rPr>
          <w:rFonts w:ascii="Arial" w:hAnsi="Arial" w:cs="Arial"/>
          <w:b/>
          <w:sz w:val="24"/>
          <w:szCs w:val="24"/>
          <w:lang w:val="es-ES_tradnl"/>
        </w:rPr>
      </w:pPr>
      <w:r w:rsidRPr="00574C5C">
        <w:rPr>
          <w:rFonts w:ascii="Arial" w:hAnsi="Arial" w:cs="Arial"/>
          <w:b/>
          <w:sz w:val="24"/>
          <w:szCs w:val="24"/>
          <w:lang w:val="es-ES_tradnl"/>
        </w:rPr>
        <w:t>EN SESION DE FECHA 16 DE SETIEMBRE DE 2015</w:t>
      </w:r>
    </w:p>
    <w:p w:rsidR="00574C5C" w:rsidRPr="00574C5C" w:rsidRDefault="00574C5C" w:rsidP="00574C5C">
      <w:pPr>
        <w:tabs>
          <w:tab w:val="center" w:pos="4253"/>
        </w:tabs>
        <w:suppressAutoHyphens/>
        <w:spacing w:after="0" w:line="240" w:lineRule="auto"/>
        <w:jc w:val="center"/>
        <w:rPr>
          <w:rFonts w:ascii="Arial" w:hAnsi="Arial" w:cs="Arial"/>
          <w:b/>
          <w:sz w:val="24"/>
          <w:szCs w:val="24"/>
          <w:lang w:val="es-ES_tradnl"/>
        </w:rPr>
      </w:pPr>
    </w:p>
    <w:p w:rsidR="00574C5C" w:rsidRPr="00574C5C" w:rsidRDefault="00574C5C" w:rsidP="00574C5C">
      <w:pPr>
        <w:tabs>
          <w:tab w:val="center" w:pos="4253"/>
        </w:tabs>
        <w:suppressAutoHyphens/>
        <w:spacing w:after="0" w:line="240" w:lineRule="auto"/>
        <w:jc w:val="center"/>
        <w:rPr>
          <w:rFonts w:ascii="Arial" w:hAnsi="Arial" w:cs="Arial"/>
          <w:b/>
          <w:sz w:val="24"/>
          <w:szCs w:val="24"/>
        </w:rPr>
      </w:pPr>
      <w:r w:rsidRPr="00574C5C">
        <w:rPr>
          <w:rFonts w:ascii="Arial" w:hAnsi="Arial" w:cs="Arial"/>
          <w:b/>
          <w:sz w:val="24"/>
          <w:szCs w:val="24"/>
        </w:rPr>
        <w:t xml:space="preserve">(E. E. Nº 2015-17-1-0004461, </w:t>
      </w:r>
      <w:proofErr w:type="spellStart"/>
      <w:r w:rsidRPr="00574C5C">
        <w:rPr>
          <w:rFonts w:ascii="Arial" w:hAnsi="Arial" w:cs="Arial"/>
          <w:b/>
          <w:sz w:val="24"/>
          <w:szCs w:val="24"/>
        </w:rPr>
        <w:t>Ent</w:t>
      </w:r>
      <w:proofErr w:type="spellEnd"/>
      <w:r w:rsidRPr="00574C5C">
        <w:rPr>
          <w:rFonts w:ascii="Arial" w:hAnsi="Arial" w:cs="Arial"/>
          <w:b/>
          <w:sz w:val="24"/>
          <w:szCs w:val="24"/>
        </w:rPr>
        <w:t>. N° 3639/15)</w:t>
      </w:r>
    </w:p>
    <w:p w:rsidR="00574C5C" w:rsidRPr="00574C5C" w:rsidRDefault="00574C5C" w:rsidP="00574C5C">
      <w:pPr>
        <w:tabs>
          <w:tab w:val="center" w:pos="4253"/>
        </w:tabs>
        <w:suppressAutoHyphens/>
        <w:spacing w:after="0" w:line="240" w:lineRule="auto"/>
        <w:jc w:val="center"/>
        <w:rPr>
          <w:rFonts w:ascii="Arial" w:hAnsi="Arial" w:cs="Arial"/>
          <w:spacing w:val="-3"/>
          <w:sz w:val="24"/>
          <w:szCs w:val="24"/>
        </w:rPr>
      </w:pPr>
    </w:p>
    <w:p w:rsidR="00574C5C" w:rsidRDefault="00574C5C" w:rsidP="00411414">
      <w:pPr>
        <w:spacing w:after="0" w:line="360" w:lineRule="auto"/>
        <w:jc w:val="both"/>
        <w:rPr>
          <w:rFonts w:ascii="Arial" w:eastAsia="Calibri" w:hAnsi="Arial" w:cs="Arial"/>
          <w:b/>
          <w:sz w:val="24"/>
          <w:szCs w:val="24"/>
        </w:rPr>
      </w:pPr>
    </w:p>
    <w:p w:rsidR="007E497E" w:rsidRPr="00411414" w:rsidRDefault="007E497E" w:rsidP="00574C5C">
      <w:pPr>
        <w:spacing w:after="0" w:line="360" w:lineRule="auto"/>
        <w:ind w:firstLine="851"/>
        <w:jc w:val="both"/>
        <w:rPr>
          <w:rFonts w:ascii="Arial" w:eastAsia="Calibri" w:hAnsi="Arial" w:cs="Arial"/>
          <w:sz w:val="24"/>
          <w:szCs w:val="24"/>
        </w:rPr>
      </w:pPr>
      <w:r w:rsidRPr="00411414">
        <w:rPr>
          <w:rFonts w:ascii="Arial" w:eastAsia="Calibri" w:hAnsi="Arial" w:cs="Arial"/>
          <w:b/>
          <w:sz w:val="24"/>
          <w:szCs w:val="24"/>
        </w:rPr>
        <w:t>VISTO:</w:t>
      </w:r>
      <w:r w:rsidRPr="00411414">
        <w:rPr>
          <w:rFonts w:ascii="Arial" w:eastAsia="Calibri" w:hAnsi="Arial" w:cs="Arial"/>
          <w:sz w:val="24"/>
          <w:szCs w:val="24"/>
        </w:rPr>
        <w:t xml:space="preserve"> la Rendición de Cuentas y Balance de Ejecución Presupuestal de la Junta Departamental de Durazno correspondiente al </w:t>
      </w:r>
      <w:r w:rsidR="003B38C8">
        <w:rPr>
          <w:rFonts w:ascii="Arial" w:eastAsia="Calibri" w:hAnsi="Arial" w:cs="Arial"/>
          <w:sz w:val="24"/>
          <w:szCs w:val="24"/>
        </w:rPr>
        <w:t>E</w:t>
      </w:r>
      <w:r w:rsidRPr="00411414">
        <w:rPr>
          <w:rFonts w:ascii="Arial" w:eastAsia="Calibri" w:hAnsi="Arial" w:cs="Arial"/>
          <w:sz w:val="24"/>
          <w:szCs w:val="24"/>
        </w:rPr>
        <w:t>jercicio 2014;</w:t>
      </w:r>
    </w:p>
    <w:p w:rsidR="007E497E" w:rsidRPr="00411414" w:rsidRDefault="007E497E" w:rsidP="00574C5C">
      <w:pPr>
        <w:spacing w:after="0" w:line="360" w:lineRule="auto"/>
        <w:ind w:firstLine="851"/>
        <w:jc w:val="both"/>
        <w:rPr>
          <w:rFonts w:ascii="Arial" w:eastAsia="Calibri" w:hAnsi="Arial" w:cs="Arial"/>
          <w:sz w:val="24"/>
          <w:szCs w:val="24"/>
          <w:lang w:eastAsia="es-ES"/>
        </w:rPr>
      </w:pPr>
      <w:r w:rsidRPr="00411414">
        <w:rPr>
          <w:rFonts w:ascii="Arial" w:eastAsia="Calibri" w:hAnsi="Arial" w:cs="Arial"/>
          <w:b/>
          <w:sz w:val="24"/>
          <w:szCs w:val="24"/>
        </w:rPr>
        <w:t xml:space="preserve">RESULTANDO: </w:t>
      </w:r>
      <w:r w:rsidRPr="00411414">
        <w:rPr>
          <w:rFonts w:ascii="Arial" w:eastAsia="Calibri" w:hAnsi="Arial" w:cs="Arial"/>
          <w:sz w:val="24"/>
          <w:szCs w:val="24"/>
          <w:lang w:eastAsia="es-ES"/>
        </w:rPr>
        <w:t>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7E497E" w:rsidRPr="00411414" w:rsidRDefault="007E497E" w:rsidP="00574C5C">
      <w:pPr>
        <w:spacing w:after="0" w:line="360" w:lineRule="auto"/>
        <w:ind w:firstLine="851"/>
        <w:jc w:val="both"/>
        <w:rPr>
          <w:rFonts w:ascii="Arial" w:eastAsia="Calibri" w:hAnsi="Arial" w:cs="Arial"/>
          <w:sz w:val="24"/>
          <w:szCs w:val="24"/>
          <w:lang w:eastAsia="ar-SA"/>
        </w:rPr>
      </w:pPr>
      <w:r w:rsidRPr="00411414">
        <w:rPr>
          <w:rFonts w:ascii="Arial" w:eastAsia="Calibri" w:hAnsi="Arial" w:cs="Arial"/>
          <w:b/>
          <w:sz w:val="24"/>
          <w:szCs w:val="24"/>
        </w:rPr>
        <w:t xml:space="preserve">CONSIDERANDO: </w:t>
      </w:r>
      <w:r w:rsidRPr="00411414">
        <w:rPr>
          <w:rFonts w:ascii="Arial" w:eastAsia="Calibri" w:hAnsi="Arial" w:cs="Arial"/>
          <w:sz w:val="24"/>
          <w:szCs w:val="24"/>
        </w:rPr>
        <w:t>que las conclusiones y evidencias obtenidas son las que se expresan en el Informe de Auditoría, que incluye Dictamen e Informe a la Administración;</w:t>
      </w:r>
    </w:p>
    <w:p w:rsidR="007E497E" w:rsidRPr="00411414" w:rsidRDefault="007E497E" w:rsidP="00574C5C">
      <w:pPr>
        <w:spacing w:after="0" w:line="360" w:lineRule="auto"/>
        <w:ind w:firstLine="851"/>
        <w:jc w:val="both"/>
        <w:rPr>
          <w:rFonts w:ascii="Arial" w:eastAsia="Calibri" w:hAnsi="Arial" w:cs="Arial"/>
          <w:sz w:val="24"/>
          <w:szCs w:val="24"/>
        </w:rPr>
      </w:pPr>
      <w:r w:rsidRPr="00411414">
        <w:rPr>
          <w:rFonts w:ascii="Arial" w:eastAsia="Calibri" w:hAnsi="Arial" w:cs="Arial"/>
          <w:b/>
          <w:sz w:val="24"/>
          <w:szCs w:val="24"/>
        </w:rPr>
        <w:t xml:space="preserve">ATENTO: </w:t>
      </w:r>
      <w:r w:rsidRPr="00411414">
        <w:rPr>
          <w:rFonts w:ascii="Arial" w:eastAsia="Calibri" w:hAnsi="Arial" w:cs="Arial"/>
          <w:sz w:val="24"/>
          <w:szCs w:val="24"/>
        </w:rPr>
        <w:t>a lo dispuesto por el Art</w:t>
      </w:r>
      <w:r w:rsidR="003B38C8">
        <w:rPr>
          <w:rFonts w:ascii="Arial" w:eastAsia="Calibri" w:hAnsi="Arial" w:cs="Arial"/>
          <w:sz w:val="24"/>
          <w:szCs w:val="24"/>
        </w:rPr>
        <w:t>ículo 211 Literal</w:t>
      </w:r>
      <w:r w:rsidRPr="00411414">
        <w:rPr>
          <w:rFonts w:ascii="Arial" w:eastAsia="Calibri" w:hAnsi="Arial" w:cs="Arial"/>
          <w:sz w:val="24"/>
          <w:szCs w:val="24"/>
        </w:rPr>
        <w:t xml:space="preserve"> C) de la Constitución de la República;</w:t>
      </w:r>
    </w:p>
    <w:p w:rsidR="007E497E" w:rsidRPr="00411414" w:rsidRDefault="007E497E" w:rsidP="00411414">
      <w:pPr>
        <w:suppressAutoHyphens/>
        <w:spacing w:after="0" w:line="360" w:lineRule="auto"/>
        <w:jc w:val="center"/>
        <w:rPr>
          <w:rFonts w:ascii="Arial" w:eastAsia="Times New Roman" w:hAnsi="Arial" w:cs="Arial"/>
          <w:b/>
          <w:bCs/>
          <w:kern w:val="2"/>
          <w:sz w:val="24"/>
          <w:szCs w:val="24"/>
          <w:lang w:val="es-ES_tradnl" w:eastAsia="ar-SA"/>
        </w:rPr>
      </w:pPr>
      <w:r w:rsidRPr="00411414">
        <w:rPr>
          <w:rFonts w:ascii="Arial" w:eastAsia="Times New Roman" w:hAnsi="Arial" w:cs="Arial"/>
          <w:b/>
          <w:bCs/>
          <w:kern w:val="2"/>
          <w:sz w:val="24"/>
          <w:szCs w:val="24"/>
          <w:lang w:val="es-ES_tradnl" w:eastAsia="ar-SA"/>
        </w:rPr>
        <w:t>EL TRIBUNAL ACUERDA</w:t>
      </w:r>
    </w:p>
    <w:p w:rsidR="007E497E" w:rsidRPr="00411414" w:rsidRDefault="003B38C8" w:rsidP="003B38C8">
      <w:pPr>
        <w:suppressAutoHyphens/>
        <w:spacing w:after="0" w:line="360" w:lineRule="auto"/>
        <w:ind w:left="284" w:hanging="284"/>
        <w:jc w:val="both"/>
        <w:rPr>
          <w:rFonts w:ascii="Arial" w:eastAsia="Calibri" w:hAnsi="Arial" w:cs="Arial"/>
          <w:sz w:val="24"/>
          <w:szCs w:val="24"/>
        </w:rPr>
      </w:pPr>
      <w:r w:rsidRPr="003B38C8">
        <w:rPr>
          <w:rFonts w:ascii="Arial" w:eastAsia="Calibri" w:hAnsi="Arial" w:cs="Arial"/>
          <w:b/>
          <w:sz w:val="24"/>
          <w:szCs w:val="24"/>
        </w:rPr>
        <w:t>1)</w:t>
      </w:r>
      <w:r>
        <w:rPr>
          <w:rFonts w:ascii="Arial" w:eastAsia="Calibri" w:hAnsi="Arial" w:cs="Arial"/>
          <w:sz w:val="24"/>
          <w:szCs w:val="24"/>
        </w:rPr>
        <w:t xml:space="preserve"> </w:t>
      </w:r>
      <w:r w:rsidR="007E497E" w:rsidRPr="00411414">
        <w:rPr>
          <w:rFonts w:ascii="Arial" w:eastAsia="Calibri" w:hAnsi="Arial" w:cs="Arial"/>
          <w:sz w:val="24"/>
          <w:szCs w:val="24"/>
        </w:rPr>
        <w:t xml:space="preserve">Expedirse respecto de la Rendición de Cuentas y Balance de Ejecución Presupuestal correspondiente al </w:t>
      </w:r>
      <w:r>
        <w:rPr>
          <w:rFonts w:ascii="Arial" w:eastAsia="Calibri" w:hAnsi="Arial" w:cs="Arial"/>
          <w:sz w:val="24"/>
          <w:szCs w:val="24"/>
        </w:rPr>
        <w:t>E</w:t>
      </w:r>
      <w:r w:rsidR="007E497E" w:rsidRPr="00411414">
        <w:rPr>
          <w:rFonts w:ascii="Arial" w:eastAsia="Calibri" w:hAnsi="Arial" w:cs="Arial"/>
          <w:sz w:val="24"/>
          <w:szCs w:val="24"/>
        </w:rPr>
        <w:t>jercicio 2014 de la Junta Departamental de Durazno, en los términos del Informe de Auditoría que se adjunta;</w:t>
      </w:r>
    </w:p>
    <w:p w:rsidR="007E497E" w:rsidRPr="00411414" w:rsidRDefault="003B38C8" w:rsidP="003B38C8">
      <w:pPr>
        <w:suppressAutoHyphens/>
        <w:spacing w:after="0" w:line="360" w:lineRule="auto"/>
        <w:ind w:left="284" w:hanging="284"/>
        <w:jc w:val="both"/>
        <w:rPr>
          <w:rFonts w:ascii="Arial" w:eastAsia="Calibri" w:hAnsi="Arial" w:cs="Arial"/>
          <w:sz w:val="24"/>
          <w:szCs w:val="24"/>
        </w:rPr>
      </w:pPr>
      <w:r w:rsidRPr="003B38C8">
        <w:rPr>
          <w:rFonts w:ascii="Arial" w:eastAsia="Calibri" w:hAnsi="Arial" w:cs="Arial"/>
          <w:b/>
          <w:sz w:val="24"/>
          <w:szCs w:val="24"/>
        </w:rPr>
        <w:t>2)</w:t>
      </w:r>
      <w:r>
        <w:rPr>
          <w:rFonts w:ascii="Arial" w:eastAsia="Calibri" w:hAnsi="Arial" w:cs="Arial"/>
          <w:sz w:val="24"/>
          <w:szCs w:val="24"/>
        </w:rPr>
        <w:t xml:space="preserve"> </w:t>
      </w:r>
      <w:r w:rsidR="007E497E" w:rsidRPr="00411414">
        <w:rPr>
          <w:rFonts w:ascii="Arial" w:eastAsia="Calibri" w:hAnsi="Arial" w:cs="Arial"/>
          <w:sz w:val="24"/>
          <w:szCs w:val="24"/>
        </w:rPr>
        <w:t>Comunicar la presente Resolución a la Junta Departamental e Intendencia de Durazno y al Contador Delegado en la Junta Departamental;</w:t>
      </w:r>
    </w:p>
    <w:p w:rsidR="007E497E" w:rsidRPr="00411414" w:rsidRDefault="003B38C8" w:rsidP="003B38C8">
      <w:pPr>
        <w:suppressAutoHyphens/>
        <w:spacing w:after="0" w:line="360" w:lineRule="auto"/>
        <w:jc w:val="both"/>
        <w:rPr>
          <w:rFonts w:ascii="Arial" w:eastAsia="Calibri" w:hAnsi="Arial" w:cs="Arial"/>
          <w:sz w:val="24"/>
          <w:szCs w:val="24"/>
        </w:rPr>
      </w:pPr>
      <w:r w:rsidRPr="003B38C8">
        <w:rPr>
          <w:rFonts w:ascii="Arial" w:eastAsia="Calibri" w:hAnsi="Arial" w:cs="Arial"/>
          <w:b/>
          <w:sz w:val="24"/>
          <w:szCs w:val="24"/>
        </w:rPr>
        <w:t>3)</w:t>
      </w:r>
      <w:r>
        <w:rPr>
          <w:rFonts w:ascii="Arial" w:eastAsia="Calibri" w:hAnsi="Arial" w:cs="Arial"/>
          <w:sz w:val="24"/>
          <w:szCs w:val="24"/>
        </w:rPr>
        <w:t xml:space="preserve"> </w:t>
      </w:r>
      <w:r w:rsidR="007E497E" w:rsidRPr="00411414">
        <w:rPr>
          <w:rFonts w:ascii="Arial" w:eastAsia="Calibri" w:hAnsi="Arial" w:cs="Arial"/>
          <w:sz w:val="24"/>
          <w:szCs w:val="24"/>
        </w:rPr>
        <w:t>Dar cuenta a la Asamblea General; y</w:t>
      </w:r>
    </w:p>
    <w:p w:rsidR="007E497E" w:rsidRPr="00411414" w:rsidRDefault="003B38C8" w:rsidP="003B38C8">
      <w:pPr>
        <w:suppressAutoHyphens/>
        <w:spacing w:after="0" w:line="360" w:lineRule="auto"/>
        <w:jc w:val="both"/>
        <w:rPr>
          <w:rFonts w:ascii="Arial" w:eastAsia="Calibri" w:hAnsi="Arial" w:cs="Arial"/>
          <w:sz w:val="24"/>
          <w:szCs w:val="24"/>
        </w:rPr>
      </w:pPr>
      <w:r w:rsidRPr="003B38C8">
        <w:rPr>
          <w:rFonts w:ascii="Arial" w:eastAsia="Calibri" w:hAnsi="Arial" w:cs="Arial"/>
          <w:b/>
          <w:sz w:val="24"/>
          <w:szCs w:val="24"/>
        </w:rPr>
        <w:t>4)</w:t>
      </w:r>
      <w:r>
        <w:rPr>
          <w:rFonts w:ascii="Arial" w:eastAsia="Calibri" w:hAnsi="Arial" w:cs="Arial"/>
          <w:sz w:val="24"/>
          <w:szCs w:val="24"/>
        </w:rPr>
        <w:t xml:space="preserve"> </w:t>
      </w:r>
      <w:r w:rsidR="007E497E" w:rsidRPr="00411414">
        <w:rPr>
          <w:rFonts w:ascii="Arial" w:eastAsia="Calibri" w:hAnsi="Arial" w:cs="Arial"/>
          <w:sz w:val="24"/>
          <w:szCs w:val="24"/>
        </w:rPr>
        <w:t>Devolver los antecedentes.</w:t>
      </w:r>
    </w:p>
    <w:p w:rsidR="007E497E" w:rsidRDefault="007E497E" w:rsidP="00411414">
      <w:pPr>
        <w:suppressAutoHyphens/>
        <w:spacing w:after="0" w:line="360" w:lineRule="auto"/>
        <w:jc w:val="both"/>
        <w:rPr>
          <w:rFonts w:ascii="Arial" w:eastAsia="Calibri" w:hAnsi="Arial" w:cs="Arial"/>
          <w:sz w:val="24"/>
          <w:szCs w:val="24"/>
        </w:rPr>
      </w:pPr>
    </w:p>
    <w:p w:rsidR="002207BE" w:rsidRDefault="002207BE" w:rsidP="00411414">
      <w:pPr>
        <w:suppressAutoHyphens/>
        <w:spacing w:after="0" w:line="360" w:lineRule="auto"/>
        <w:jc w:val="both"/>
        <w:rPr>
          <w:rFonts w:ascii="Arial" w:eastAsia="Calibri" w:hAnsi="Arial" w:cs="Arial"/>
          <w:sz w:val="24"/>
          <w:szCs w:val="24"/>
        </w:rPr>
      </w:pPr>
    </w:p>
    <w:p w:rsidR="002207BE" w:rsidRPr="00411414" w:rsidRDefault="002207BE" w:rsidP="00411414">
      <w:pPr>
        <w:suppressAutoHyphens/>
        <w:spacing w:after="0" w:line="360" w:lineRule="auto"/>
        <w:jc w:val="both"/>
        <w:rPr>
          <w:rFonts w:ascii="Arial" w:eastAsia="Calibri" w:hAnsi="Arial" w:cs="Arial"/>
          <w:sz w:val="24"/>
          <w:szCs w:val="24"/>
        </w:rPr>
      </w:pPr>
    </w:p>
    <w:p w:rsidR="00D86D93" w:rsidRPr="00411414" w:rsidRDefault="00D86D93" w:rsidP="00411414">
      <w:pPr>
        <w:pStyle w:val="Ttulo1"/>
        <w:spacing w:before="0" w:line="360" w:lineRule="auto"/>
        <w:jc w:val="center"/>
        <w:rPr>
          <w:rFonts w:ascii="Arial" w:eastAsia="Times New Roman" w:hAnsi="Arial" w:cs="Arial"/>
          <w:color w:val="auto"/>
          <w:sz w:val="24"/>
          <w:szCs w:val="24"/>
          <w:lang w:val="es-ES" w:eastAsia="es-ES"/>
        </w:rPr>
      </w:pPr>
      <w:bookmarkStart w:id="1" w:name="_Toc71366619"/>
      <w:bookmarkStart w:id="2" w:name="_Toc76280777"/>
      <w:bookmarkStart w:id="3" w:name="_Toc264991738"/>
      <w:bookmarkStart w:id="4" w:name="_Toc360717258"/>
      <w:bookmarkStart w:id="5" w:name="_Toc395536862"/>
      <w:bookmarkStart w:id="6" w:name="_Toc425952233"/>
      <w:bookmarkStart w:id="7" w:name="_Toc49942673"/>
      <w:bookmarkStart w:id="8" w:name="_Toc168908152"/>
      <w:r w:rsidRPr="00411414">
        <w:rPr>
          <w:rFonts w:ascii="Arial" w:eastAsia="Times New Roman" w:hAnsi="Arial" w:cs="Arial"/>
          <w:color w:val="auto"/>
          <w:sz w:val="24"/>
          <w:szCs w:val="24"/>
          <w:lang w:val="es-ES" w:eastAsia="es-ES"/>
        </w:rPr>
        <w:lastRenderedPageBreak/>
        <w:t>DICTAMEN</w:t>
      </w:r>
      <w:bookmarkEnd w:id="1"/>
      <w:bookmarkEnd w:id="2"/>
      <w:bookmarkEnd w:id="3"/>
      <w:bookmarkEnd w:id="4"/>
      <w:bookmarkEnd w:id="5"/>
      <w:bookmarkEnd w:id="6"/>
    </w:p>
    <w:p w:rsidR="00D86D93" w:rsidRPr="00411414" w:rsidRDefault="00D86D93" w:rsidP="00411414">
      <w:pPr>
        <w:spacing w:after="0" w:line="360" w:lineRule="auto"/>
        <w:jc w:val="both"/>
        <w:rPr>
          <w:rFonts w:ascii="Arial" w:eastAsia="Calibri" w:hAnsi="Arial" w:cs="Arial"/>
          <w:sz w:val="24"/>
          <w:szCs w:val="24"/>
          <w:lang w:val="es-ES" w:eastAsia="es-ES"/>
        </w:rPr>
      </w:pPr>
    </w:p>
    <w:p w:rsidR="00D86D93" w:rsidRPr="00411414" w:rsidRDefault="00D86D93" w:rsidP="00411414">
      <w:pPr>
        <w:widowControl w:val="0"/>
        <w:spacing w:after="0" w:line="360" w:lineRule="auto"/>
        <w:jc w:val="both"/>
        <w:rPr>
          <w:rFonts w:ascii="Arial" w:eastAsia="Times New Roman" w:hAnsi="Arial" w:cs="Arial"/>
          <w:kern w:val="18"/>
          <w:sz w:val="24"/>
          <w:szCs w:val="24"/>
          <w:lang w:val="es-ES" w:eastAsia="es-ES"/>
        </w:rPr>
      </w:pPr>
      <w:r w:rsidRPr="00411414">
        <w:rPr>
          <w:rFonts w:ascii="Arial" w:eastAsia="Times New Roman" w:hAnsi="Arial" w:cs="Arial"/>
          <w:kern w:val="18"/>
          <w:sz w:val="24"/>
          <w:szCs w:val="24"/>
          <w:lang w:val="es-ES" w:eastAsia="es-ES"/>
        </w:rPr>
        <w:t>El Tribunal de Cuentas ha examinado la Rendición de Cuentas y el Balance de Ejecución Presupuestal de la Junta Departamental de Durazno correspondiente al Ejercicio 2014, que incluye los siguientes estados: de ejecución presupuestal con relación a los créditos, de evolución de las obligaciones presupuestales impagas, de fondos indisponibles y</w:t>
      </w:r>
      <w:r w:rsidR="002207BE">
        <w:rPr>
          <w:rFonts w:ascii="Arial" w:eastAsia="Times New Roman" w:hAnsi="Arial" w:cs="Arial"/>
          <w:kern w:val="18"/>
          <w:sz w:val="24"/>
          <w:szCs w:val="24"/>
          <w:lang w:val="es-ES" w:eastAsia="es-ES"/>
        </w:rPr>
        <w:t xml:space="preserve"> otros estados complementarios.</w:t>
      </w:r>
    </w:p>
    <w:p w:rsidR="00D86D93" w:rsidRPr="00411414" w:rsidRDefault="00D86D93" w:rsidP="00411414">
      <w:pPr>
        <w:widowControl w:val="0"/>
        <w:spacing w:after="0" w:line="360" w:lineRule="auto"/>
        <w:jc w:val="both"/>
        <w:rPr>
          <w:rFonts w:ascii="Arial" w:eastAsia="Times New Roman" w:hAnsi="Arial" w:cs="Arial"/>
          <w:kern w:val="18"/>
          <w:sz w:val="24"/>
          <w:szCs w:val="24"/>
          <w:lang w:val="es-ES" w:eastAsia="es-ES"/>
        </w:rPr>
      </w:pPr>
      <w:r w:rsidRPr="00411414">
        <w:rPr>
          <w:rFonts w:ascii="Arial" w:eastAsia="Times New Roman" w:hAnsi="Arial" w:cs="Arial"/>
          <w:kern w:val="18"/>
          <w:sz w:val="24"/>
          <w:szCs w:val="24"/>
          <w:lang w:val="es-ES" w:eastAsia="es-ES"/>
        </w:rPr>
        <w:t>También se presentan, en caso de corresponder, los incumplimientos legales constatados por el Tribunal de Cuentas en el curso de la auditoría efectuada.</w:t>
      </w:r>
    </w:p>
    <w:p w:rsidR="00D86D93" w:rsidRPr="00411414" w:rsidRDefault="00D86D93" w:rsidP="00411414">
      <w:pPr>
        <w:widowControl w:val="0"/>
        <w:spacing w:after="0" w:line="360" w:lineRule="auto"/>
        <w:jc w:val="both"/>
        <w:rPr>
          <w:rFonts w:ascii="Arial" w:eastAsia="Times New Roman" w:hAnsi="Arial" w:cs="Arial"/>
          <w:kern w:val="18"/>
          <w:sz w:val="24"/>
          <w:szCs w:val="24"/>
          <w:lang w:val="es-ES" w:eastAsia="es-ES"/>
        </w:rPr>
      </w:pPr>
    </w:p>
    <w:p w:rsidR="00D86D93" w:rsidRPr="00411414" w:rsidRDefault="00D86D93" w:rsidP="00411414">
      <w:pPr>
        <w:widowControl w:val="0"/>
        <w:spacing w:after="0" w:line="360" w:lineRule="auto"/>
        <w:jc w:val="both"/>
        <w:rPr>
          <w:rFonts w:ascii="Arial" w:eastAsia="Times New Roman" w:hAnsi="Arial" w:cs="Arial"/>
          <w:b/>
          <w:bCs/>
          <w:kern w:val="18"/>
          <w:sz w:val="24"/>
          <w:szCs w:val="24"/>
          <w:lang w:val="es-ES" w:eastAsia="es-ES"/>
        </w:rPr>
      </w:pPr>
      <w:r w:rsidRPr="00411414">
        <w:rPr>
          <w:rFonts w:ascii="Arial" w:eastAsia="Times New Roman" w:hAnsi="Arial" w:cs="Arial"/>
          <w:b/>
          <w:bCs/>
          <w:kern w:val="18"/>
          <w:sz w:val="24"/>
          <w:szCs w:val="24"/>
          <w:lang w:val="es-ES" w:eastAsia="es-ES"/>
        </w:rPr>
        <w:t>Responsabilidad de la Junta Departamental</w:t>
      </w:r>
    </w:p>
    <w:p w:rsidR="00D86D93" w:rsidRPr="00411414" w:rsidRDefault="00D86D93" w:rsidP="00411414">
      <w:pPr>
        <w:widowControl w:val="0"/>
        <w:spacing w:after="0" w:line="360" w:lineRule="auto"/>
        <w:jc w:val="both"/>
        <w:rPr>
          <w:rFonts w:ascii="Arial" w:eastAsia="Times New Roman" w:hAnsi="Arial" w:cs="Arial"/>
          <w:kern w:val="18"/>
          <w:sz w:val="24"/>
          <w:szCs w:val="24"/>
          <w:lang w:val="es-ES" w:eastAsia="es-ES"/>
        </w:rPr>
      </w:pPr>
      <w:r w:rsidRPr="00411414">
        <w:rPr>
          <w:rFonts w:ascii="Arial" w:eastAsia="Times New Roman" w:hAnsi="Arial" w:cs="Arial"/>
          <w:kern w:val="18"/>
          <w:sz w:val="24"/>
          <w:szCs w:val="24"/>
          <w:lang w:val="es-ES" w:eastAsia="es-ES"/>
        </w:rPr>
        <w:t>La Junta Departamental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los estados mencionados que estén libres de errores significativos, ya sea debido a fraude o error, seleccionar y aplicar políticas contables apropiadas.</w:t>
      </w:r>
    </w:p>
    <w:p w:rsidR="00D86D93" w:rsidRPr="00411414" w:rsidRDefault="00D86D93" w:rsidP="00411414">
      <w:pPr>
        <w:widowControl w:val="0"/>
        <w:spacing w:after="0" w:line="360" w:lineRule="auto"/>
        <w:jc w:val="both"/>
        <w:rPr>
          <w:rFonts w:ascii="Arial" w:eastAsia="Times New Roman" w:hAnsi="Arial" w:cs="Arial"/>
          <w:kern w:val="18"/>
          <w:sz w:val="24"/>
          <w:szCs w:val="24"/>
          <w:lang w:val="es-ES" w:eastAsia="es-ES"/>
        </w:rPr>
      </w:pPr>
    </w:p>
    <w:p w:rsidR="00D86D93" w:rsidRPr="00411414" w:rsidRDefault="00D86D93" w:rsidP="00411414">
      <w:pPr>
        <w:widowControl w:val="0"/>
        <w:spacing w:after="0" w:line="360" w:lineRule="auto"/>
        <w:jc w:val="both"/>
        <w:rPr>
          <w:rFonts w:ascii="Arial" w:eastAsia="Times New Roman" w:hAnsi="Arial" w:cs="Arial"/>
          <w:b/>
          <w:bCs/>
          <w:kern w:val="18"/>
          <w:sz w:val="24"/>
          <w:szCs w:val="24"/>
          <w:lang w:val="es-ES" w:eastAsia="es-ES"/>
        </w:rPr>
      </w:pPr>
      <w:r w:rsidRPr="00411414">
        <w:rPr>
          <w:rFonts w:ascii="Arial" w:eastAsia="Times New Roman" w:hAnsi="Arial" w:cs="Arial"/>
          <w:b/>
          <w:bCs/>
          <w:kern w:val="18"/>
          <w:sz w:val="24"/>
          <w:szCs w:val="24"/>
          <w:lang w:val="es-ES" w:eastAsia="es-ES"/>
        </w:rPr>
        <w:t>Responsabilidad del auditor</w:t>
      </w:r>
    </w:p>
    <w:p w:rsidR="00D86D93" w:rsidRPr="00411414" w:rsidRDefault="00D86D93" w:rsidP="00411414">
      <w:pPr>
        <w:spacing w:after="0" w:line="360" w:lineRule="auto"/>
        <w:jc w:val="both"/>
        <w:rPr>
          <w:rFonts w:ascii="Arial" w:eastAsia="Times New Roman" w:hAnsi="Arial" w:cs="Arial"/>
          <w:kern w:val="1"/>
          <w:sz w:val="24"/>
          <w:szCs w:val="24"/>
          <w:lang w:val="es-ES" w:eastAsia="ar-SA"/>
        </w:rPr>
      </w:pPr>
      <w:r w:rsidRPr="00411414">
        <w:rPr>
          <w:rFonts w:ascii="Arial" w:eastAsia="Times New Roman" w:hAnsi="Arial" w:cs="Arial"/>
          <w:kern w:val="1"/>
          <w:sz w:val="24"/>
          <w:szCs w:val="24"/>
          <w:lang w:val="es-ES" w:eastAsia="ar-SA"/>
        </w:rPr>
        <w:t>La responsabilidad del Tribunal de Cuentas es expresar una opinión sobre dichos estados de ejecución presupuestal basada en la auditoría realizada. Esta auditoria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mencionados estén li</w:t>
      </w:r>
      <w:r w:rsidR="002207BE">
        <w:rPr>
          <w:rFonts w:ascii="Arial" w:eastAsia="Times New Roman" w:hAnsi="Arial" w:cs="Arial"/>
          <w:kern w:val="1"/>
          <w:sz w:val="24"/>
          <w:szCs w:val="24"/>
          <w:lang w:val="es-ES" w:eastAsia="ar-SA"/>
        </w:rPr>
        <w:t>bres de errores significativos.</w:t>
      </w:r>
    </w:p>
    <w:p w:rsidR="00D86D93" w:rsidRDefault="00D86D93" w:rsidP="00411414">
      <w:pPr>
        <w:widowControl w:val="0"/>
        <w:spacing w:after="0" w:line="360" w:lineRule="auto"/>
        <w:jc w:val="both"/>
        <w:rPr>
          <w:rFonts w:ascii="Arial" w:eastAsia="Times New Roman" w:hAnsi="Arial" w:cs="Arial"/>
          <w:kern w:val="18"/>
          <w:sz w:val="24"/>
          <w:szCs w:val="24"/>
          <w:lang w:val="es-ES" w:eastAsia="es-ES"/>
        </w:rPr>
      </w:pPr>
    </w:p>
    <w:p w:rsidR="002207BE" w:rsidRPr="00411414" w:rsidRDefault="002207BE" w:rsidP="00411414">
      <w:pPr>
        <w:widowControl w:val="0"/>
        <w:spacing w:after="0" w:line="360" w:lineRule="auto"/>
        <w:jc w:val="both"/>
        <w:rPr>
          <w:rFonts w:ascii="Arial" w:eastAsia="Times New Roman" w:hAnsi="Arial" w:cs="Arial"/>
          <w:kern w:val="18"/>
          <w:sz w:val="24"/>
          <w:szCs w:val="24"/>
          <w:lang w:val="es-ES" w:eastAsia="es-ES"/>
        </w:rPr>
      </w:pPr>
    </w:p>
    <w:p w:rsidR="00D86D93" w:rsidRPr="00411414" w:rsidRDefault="00D86D93" w:rsidP="00411414">
      <w:pPr>
        <w:widowControl w:val="0"/>
        <w:spacing w:after="0" w:line="360" w:lineRule="auto"/>
        <w:jc w:val="both"/>
        <w:rPr>
          <w:rFonts w:ascii="Arial" w:eastAsia="Times New Roman" w:hAnsi="Arial" w:cs="Arial"/>
          <w:kern w:val="18"/>
          <w:sz w:val="24"/>
          <w:szCs w:val="24"/>
          <w:lang w:val="es-ES" w:eastAsia="es-ES"/>
        </w:rPr>
      </w:pPr>
      <w:r w:rsidRPr="00411414">
        <w:rPr>
          <w:rFonts w:ascii="Arial" w:eastAsia="Times New Roman" w:hAnsi="Arial" w:cs="Arial"/>
          <w:kern w:val="18"/>
          <w:sz w:val="24"/>
          <w:szCs w:val="24"/>
          <w:lang w:val="es-ES" w:eastAsia="es-ES"/>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de ejecución presupuestal,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de ejecución presupuestal.</w:t>
      </w:r>
    </w:p>
    <w:p w:rsidR="00D86D93" w:rsidRPr="00411414" w:rsidRDefault="00D86D93" w:rsidP="00411414">
      <w:pPr>
        <w:widowControl w:val="0"/>
        <w:spacing w:after="0" w:line="360" w:lineRule="auto"/>
        <w:jc w:val="both"/>
        <w:rPr>
          <w:rFonts w:ascii="Arial" w:eastAsia="Times New Roman" w:hAnsi="Arial" w:cs="Arial"/>
          <w:kern w:val="18"/>
          <w:sz w:val="24"/>
          <w:szCs w:val="24"/>
          <w:lang w:val="es-ES" w:eastAsia="es-ES"/>
        </w:rPr>
      </w:pPr>
      <w:r w:rsidRPr="00411414">
        <w:rPr>
          <w:rFonts w:ascii="Arial" w:eastAsia="Times New Roman" w:hAnsi="Arial" w:cs="Arial"/>
          <w:kern w:val="18"/>
          <w:sz w:val="24"/>
          <w:szCs w:val="24"/>
          <w:lang w:val="es-ES" w:eastAsia="es-ES"/>
        </w:rPr>
        <w:t>Se considera que la evidencia de auditoría obtenida brinda una base suficiente y apropiada para sustentar la opinión.</w:t>
      </w:r>
    </w:p>
    <w:p w:rsidR="00D86D93" w:rsidRPr="00411414" w:rsidRDefault="00D86D93" w:rsidP="00411414">
      <w:pPr>
        <w:widowControl w:val="0"/>
        <w:spacing w:after="0" w:line="360" w:lineRule="auto"/>
        <w:jc w:val="both"/>
        <w:rPr>
          <w:rFonts w:ascii="Arial" w:eastAsia="Times New Roman" w:hAnsi="Arial" w:cs="Arial"/>
          <w:kern w:val="18"/>
          <w:sz w:val="24"/>
          <w:szCs w:val="24"/>
          <w:lang w:val="es-ES" w:eastAsia="es-ES"/>
        </w:rPr>
      </w:pPr>
    </w:p>
    <w:p w:rsidR="00D86D93" w:rsidRPr="00411414" w:rsidRDefault="00D86D93" w:rsidP="00411414">
      <w:pPr>
        <w:widowControl w:val="0"/>
        <w:spacing w:after="0" w:line="360" w:lineRule="auto"/>
        <w:jc w:val="both"/>
        <w:rPr>
          <w:rFonts w:ascii="Arial" w:eastAsia="Times New Roman" w:hAnsi="Arial" w:cs="Arial"/>
          <w:b/>
          <w:bCs/>
          <w:sz w:val="24"/>
          <w:szCs w:val="24"/>
          <w:lang w:val="es-ES" w:eastAsia="es-ES"/>
        </w:rPr>
      </w:pPr>
      <w:r w:rsidRPr="00411414">
        <w:rPr>
          <w:rFonts w:ascii="Arial" w:eastAsia="Times New Roman" w:hAnsi="Arial" w:cs="Arial"/>
          <w:b/>
          <w:bCs/>
          <w:sz w:val="24"/>
          <w:szCs w:val="24"/>
          <w:lang w:val="es-ES" w:eastAsia="es-ES"/>
        </w:rPr>
        <w:t>Opinión</w:t>
      </w:r>
    </w:p>
    <w:p w:rsidR="00D86D93" w:rsidRPr="00411414" w:rsidRDefault="00D86D93" w:rsidP="00411414">
      <w:pPr>
        <w:widowControl w:val="0"/>
        <w:spacing w:after="0" w:line="360" w:lineRule="auto"/>
        <w:jc w:val="both"/>
        <w:rPr>
          <w:rFonts w:ascii="Arial" w:eastAsia="Times New Roman" w:hAnsi="Arial" w:cs="Arial"/>
          <w:sz w:val="24"/>
          <w:szCs w:val="24"/>
          <w:lang w:val="es-ES" w:eastAsia="es-ES"/>
        </w:rPr>
      </w:pPr>
      <w:r w:rsidRPr="00411414">
        <w:rPr>
          <w:rFonts w:ascii="Arial" w:eastAsia="Times New Roman" w:hAnsi="Arial" w:cs="Arial"/>
          <w:sz w:val="24"/>
          <w:szCs w:val="24"/>
          <w:lang w:val="es-ES" w:eastAsia="es-ES"/>
        </w:rPr>
        <w:t>En opinión del Tribunal de Cuentas, el Balance de Ejecución Presupuestal mencionado presenta razonablemente, en todos sus aspectos importantes, la ejecución presupuestal de la Junta Departamental de Durazno correspondiente al ejercicio 2014, de acuerdo con las normas establecidas en el TOCAF y a la Resolución de este Tribunal de fecha 28/01/04.</w:t>
      </w:r>
    </w:p>
    <w:p w:rsidR="00D86D93" w:rsidRPr="00411414" w:rsidRDefault="00D86D93" w:rsidP="00411414">
      <w:pPr>
        <w:widowControl w:val="0"/>
        <w:spacing w:after="0" w:line="360" w:lineRule="auto"/>
        <w:jc w:val="both"/>
        <w:rPr>
          <w:rFonts w:ascii="Arial" w:eastAsia="Times New Roman" w:hAnsi="Arial" w:cs="Arial"/>
          <w:sz w:val="24"/>
          <w:szCs w:val="24"/>
          <w:lang w:val="es-ES" w:eastAsia="es-ES"/>
        </w:rPr>
      </w:pPr>
      <w:r w:rsidRPr="00411414">
        <w:rPr>
          <w:rFonts w:ascii="Arial" w:eastAsia="Times New Roman" w:hAnsi="Arial" w:cs="Arial"/>
          <w:sz w:val="24"/>
          <w:szCs w:val="24"/>
          <w:lang w:val="es-ES" w:eastAsia="es-ES"/>
        </w:rPr>
        <w:t>Con relación a la normativa vigente, en el curso de la auditoría realizada se han constatado los siguientes incumplimientos:</w:t>
      </w:r>
    </w:p>
    <w:p w:rsidR="00D86D93" w:rsidRPr="00411414" w:rsidRDefault="00D86D93" w:rsidP="00411414">
      <w:pPr>
        <w:widowControl w:val="0"/>
        <w:spacing w:after="0" w:line="360" w:lineRule="auto"/>
        <w:jc w:val="both"/>
        <w:rPr>
          <w:rFonts w:ascii="Arial" w:eastAsia="Times New Roman" w:hAnsi="Arial" w:cs="Arial"/>
          <w:b/>
          <w:sz w:val="24"/>
          <w:szCs w:val="24"/>
          <w:lang w:val="es-ES" w:eastAsia="es-ES"/>
        </w:rPr>
      </w:pPr>
    </w:p>
    <w:p w:rsidR="00D86D93" w:rsidRDefault="00D86D93" w:rsidP="00411414">
      <w:pPr>
        <w:widowControl w:val="0"/>
        <w:spacing w:after="0" w:line="360" w:lineRule="auto"/>
        <w:jc w:val="both"/>
        <w:rPr>
          <w:rFonts w:ascii="Arial" w:eastAsia="Times New Roman" w:hAnsi="Arial" w:cs="Arial"/>
          <w:sz w:val="24"/>
          <w:szCs w:val="24"/>
          <w:lang w:val="es-ES" w:eastAsia="es-ES"/>
        </w:rPr>
      </w:pPr>
      <w:r w:rsidRPr="00411414">
        <w:rPr>
          <w:rFonts w:ascii="Arial" w:eastAsia="Times New Roman" w:hAnsi="Arial" w:cs="Arial"/>
          <w:b/>
          <w:sz w:val="24"/>
          <w:szCs w:val="24"/>
          <w:lang w:val="es-ES" w:eastAsia="es-ES"/>
        </w:rPr>
        <w:t xml:space="preserve">Artículo 295 de la Constitución de la República y Resolución del Tribunal de 22/12/10: </w:t>
      </w:r>
      <w:r w:rsidRPr="00411414">
        <w:rPr>
          <w:rFonts w:ascii="Arial" w:eastAsia="Times New Roman" w:hAnsi="Arial" w:cs="Arial"/>
          <w:sz w:val="24"/>
          <w:szCs w:val="24"/>
          <w:lang w:val="es-ES" w:eastAsia="es-ES"/>
        </w:rPr>
        <w:t>Se otorgan órdenes de telefonía y pasajes mensuales a los                Sres. Ediles en empresas de transporte de pasajeros, con independencia de los viáticos y de la realización de viajes en misión oficial, contraviniendo el carácter honorario de la función de Edil.</w:t>
      </w:r>
    </w:p>
    <w:p w:rsidR="002207BE" w:rsidRPr="00411414" w:rsidRDefault="002207BE" w:rsidP="00411414">
      <w:pPr>
        <w:widowControl w:val="0"/>
        <w:spacing w:after="0" w:line="360" w:lineRule="auto"/>
        <w:jc w:val="both"/>
        <w:rPr>
          <w:rFonts w:ascii="Arial" w:eastAsia="Times New Roman" w:hAnsi="Arial" w:cs="Arial"/>
          <w:sz w:val="24"/>
          <w:szCs w:val="24"/>
          <w:lang w:val="es-ES" w:eastAsia="es-ES"/>
        </w:rPr>
      </w:pPr>
    </w:p>
    <w:p w:rsidR="00D86D93" w:rsidRPr="00411414" w:rsidRDefault="00D86D93" w:rsidP="00411414">
      <w:pPr>
        <w:widowControl w:val="0"/>
        <w:spacing w:after="0" w:line="360" w:lineRule="auto"/>
        <w:jc w:val="both"/>
        <w:rPr>
          <w:rFonts w:ascii="Arial" w:eastAsia="Times New Roman" w:hAnsi="Arial" w:cs="Arial"/>
          <w:color w:val="000000"/>
          <w:sz w:val="24"/>
          <w:szCs w:val="24"/>
          <w:lang w:val="es-ES" w:eastAsia="es-ES"/>
        </w:rPr>
      </w:pPr>
      <w:r w:rsidRPr="00411414">
        <w:rPr>
          <w:rFonts w:ascii="Arial" w:eastAsia="Times New Roman" w:hAnsi="Arial" w:cs="Arial"/>
          <w:sz w:val="24"/>
          <w:szCs w:val="24"/>
          <w:lang w:val="es-ES" w:eastAsia="es-ES"/>
        </w:rPr>
        <w:t>En oportunidad de emitir su Dictamen referente a la Modificación Presupuestal de la Junta Departamental para el período 2014-2015, este Tribunal observó dicha situación en los párrafos 3.2 y 3.3 del mencionado dictamen.</w:t>
      </w:r>
      <w:r w:rsidRPr="00411414">
        <w:rPr>
          <w:rFonts w:ascii="Arial" w:eastAsia="Times New Roman" w:hAnsi="Arial" w:cs="Arial"/>
          <w:spacing w:val="-3"/>
          <w:sz w:val="24"/>
          <w:szCs w:val="24"/>
          <w:lang w:val="es-ES" w:eastAsia="es-ES"/>
        </w:rPr>
        <w:t xml:space="preserve"> Dicha observación no fue aceptada por la Junta en esa oportunidad, remitiéndose los antecedentes a la Asamblea General a los efectos previstos en el Artículo 225 de la Constitución de la República.</w:t>
      </w:r>
      <w:r w:rsidRPr="00411414">
        <w:rPr>
          <w:rFonts w:ascii="Arial" w:eastAsia="Times New Roman" w:hAnsi="Arial" w:cs="Arial"/>
          <w:sz w:val="24"/>
          <w:szCs w:val="24"/>
          <w:lang w:val="es-ES" w:eastAsia="es-ES"/>
        </w:rPr>
        <w:t xml:space="preserve"> En sesión de 23/04/2014 el Tribunal de Cuentas dio por sancionado el Presupuesto, en razón de que la Asamblea General no resolvió las discrepancias dentro del plazo constitucional.</w:t>
      </w:r>
      <w:r w:rsidRPr="00411414">
        <w:rPr>
          <w:rFonts w:ascii="Arial" w:eastAsia="Times New Roman" w:hAnsi="Arial" w:cs="Arial"/>
          <w:spacing w:val="-3"/>
          <w:sz w:val="24"/>
          <w:szCs w:val="24"/>
          <w:lang w:val="es-ES" w:eastAsia="es-ES"/>
        </w:rPr>
        <w:t xml:space="preserve"> Durante el ejercicio 2014 se ejecutaron las partidas antes mencionadas, incumpliéndose </w:t>
      </w:r>
      <w:r w:rsidRPr="00411414">
        <w:rPr>
          <w:rFonts w:ascii="Arial" w:eastAsia="Times New Roman" w:hAnsi="Arial" w:cs="Arial"/>
          <w:color w:val="000000"/>
          <w:sz w:val="24"/>
          <w:szCs w:val="24"/>
          <w:lang w:val="es-ES" w:eastAsia="es-ES"/>
        </w:rPr>
        <w:t>lo establecido por el Artículo 295 de la Constitución de la República.</w:t>
      </w:r>
    </w:p>
    <w:p w:rsidR="00D86D93" w:rsidRPr="00411414" w:rsidRDefault="00D86D93" w:rsidP="00411414">
      <w:pPr>
        <w:widowControl w:val="0"/>
        <w:spacing w:after="0" w:line="360" w:lineRule="auto"/>
        <w:jc w:val="both"/>
        <w:rPr>
          <w:rFonts w:ascii="Arial" w:eastAsia="Times New Roman" w:hAnsi="Arial" w:cs="Arial"/>
          <w:b/>
          <w:bCs/>
          <w:sz w:val="24"/>
          <w:szCs w:val="24"/>
          <w:lang w:val="es-ES" w:eastAsia="es-ES"/>
        </w:rPr>
      </w:pPr>
      <w:r w:rsidRPr="00411414">
        <w:rPr>
          <w:rFonts w:ascii="Arial" w:eastAsia="Times New Roman" w:hAnsi="Arial" w:cs="Arial"/>
          <w:b/>
          <w:color w:val="000000"/>
          <w:sz w:val="24"/>
          <w:szCs w:val="24"/>
          <w:lang w:val="es-ES" w:eastAsia="es-ES"/>
        </w:rPr>
        <w:t xml:space="preserve">Artículo 16 del TOCAF. </w:t>
      </w:r>
      <w:r w:rsidRPr="00411414">
        <w:rPr>
          <w:rFonts w:ascii="Arial" w:eastAsia="Times New Roman" w:hAnsi="Arial" w:cs="Arial"/>
          <w:color w:val="000000"/>
          <w:sz w:val="24"/>
          <w:szCs w:val="24"/>
          <w:lang w:val="es-ES" w:eastAsia="es-ES"/>
        </w:rPr>
        <w:t>Se realizaron imputaciones de gastos a objetos distintos a los que hubiera correspondido.</w:t>
      </w:r>
    </w:p>
    <w:p w:rsidR="00D86D93" w:rsidRPr="00411414" w:rsidRDefault="00D86D93" w:rsidP="00411414">
      <w:pPr>
        <w:widowControl w:val="0"/>
        <w:spacing w:after="0" w:line="360" w:lineRule="auto"/>
        <w:jc w:val="both"/>
        <w:rPr>
          <w:rFonts w:ascii="Arial" w:eastAsia="Times New Roman" w:hAnsi="Arial" w:cs="Arial"/>
          <w:sz w:val="24"/>
          <w:szCs w:val="24"/>
          <w:lang w:val="es-ES" w:eastAsia="es-ES"/>
        </w:rPr>
      </w:pPr>
      <w:r w:rsidRPr="00411414">
        <w:rPr>
          <w:rFonts w:ascii="Arial" w:eastAsia="Times New Roman" w:hAnsi="Arial" w:cs="Arial"/>
          <w:b/>
          <w:bCs/>
          <w:sz w:val="24"/>
          <w:szCs w:val="24"/>
          <w:lang w:val="es-ES" w:eastAsia="es-ES"/>
        </w:rPr>
        <w:t>Artículo 94 del TOCAF y</w:t>
      </w:r>
      <w:r w:rsidRPr="00411414">
        <w:rPr>
          <w:rFonts w:ascii="Arial" w:eastAsia="Times New Roman" w:hAnsi="Arial" w:cs="Arial"/>
          <w:sz w:val="24"/>
          <w:szCs w:val="24"/>
          <w:lang w:val="es-ES" w:eastAsia="es-ES"/>
        </w:rPr>
        <w:t xml:space="preserve"> </w:t>
      </w:r>
      <w:r w:rsidRPr="00411414">
        <w:rPr>
          <w:rFonts w:ascii="Arial" w:eastAsia="Times New Roman" w:hAnsi="Arial" w:cs="Arial"/>
          <w:b/>
          <w:bCs/>
          <w:sz w:val="24"/>
          <w:szCs w:val="24"/>
          <w:lang w:val="es-ES" w:eastAsia="es-ES"/>
        </w:rPr>
        <w:t xml:space="preserve">Ordenanza N° 81 del Tribunal de Cuentas. </w:t>
      </w:r>
      <w:r w:rsidRPr="00411414">
        <w:rPr>
          <w:rFonts w:ascii="Arial" w:eastAsia="Times New Roman" w:hAnsi="Arial" w:cs="Arial"/>
          <w:sz w:val="24"/>
          <w:szCs w:val="24"/>
          <w:lang w:val="es-ES" w:eastAsia="es-ES"/>
        </w:rPr>
        <w:t>La Junta Departamental no cuenta con un sistema de contabilidad patrimonial que le permita cumplir co</w:t>
      </w:r>
      <w:r w:rsidR="002207BE">
        <w:rPr>
          <w:rFonts w:ascii="Arial" w:eastAsia="Times New Roman" w:hAnsi="Arial" w:cs="Arial"/>
          <w:sz w:val="24"/>
          <w:szCs w:val="24"/>
          <w:lang w:val="es-ES" w:eastAsia="es-ES"/>
        </w:rPr>
        <w:t>n lo dispuesto en estas normas.</w:t>
      </w:r>
    </w:p>
    <w:p w:rsidR="00D86D93" w:rsidRPr="00411414" w:rsidRDefault="00D86D93" w:rsidP="00411414">
      <w:pPr>
        <w:tabs>
          <w:tab w:val="left" w:pos="360"/>
          <w:tab w:val="center" w:pos="4252"/>
          <w:tab w:val="right" w:pos="8504"/>
        </w:tabs>
        <w:spacing w:after="0" w:line="360" w:lineRule="auto"/>
        <w:jc w:val="both"/>
        <w:rPr>
          <w:rFonts w:ascii="Arial" w:eastAsia="Times New Roman" w:hAnsi="Arial" w:cs="Arial"/>
          <w:sz w:val="24"/>
          <w:szCs w:val="24"/>
          <w:lang w:val="es-ES" w:eastAsia="es-ES"/>
        </w:rPr>
      </w:pPr>
      <w:r w:rsidRPr="00411414">
        <w:rPr>
          <w:rFonts w:ascii="Arial" w:eastAsia="Times New Roman" w:hAnsi="Arial" w:cs="Arial"/>
          <w:b/>
          <w:bCs/>
          <w:sz w:val="24"/>
          <w:szCs w:val="24"/>
          <w:lang w:val="es-ES" w:eastAsia="es-ES"/>
        </w:rPr>
        <w:t xml:space="preserve">Artículo 132 del TOCAF y Artículo 416 de la Ley 17.930: </w:t>
      </w:r>
      <w:r w:rsidRPr="00411414">
        <w:rPr>
          <w:rFonts w:ascii="Arial" w:eastAsia="Times New Roman" w:hAnsi="Arial" w:cs="Arial"/>
          <w:sz w:val="24"/>
          <w:szCs w:val="24"/>
          <w:lang w:val="es-ES" w:eastAsia="es-ES"/>
        </w:rPr>
        <w:t>Se adelantaron fondos que no fueron rendidos en el plazo establecido por la citada norma. Asimismo, la Contaduría dio trámite a solicitudes de anticipos a Ediles que tenían pendiente la rendición de partidas anteri</w:t>
      </w:r>
      <w:r w:rsidR="002207BE">
        <w:rPr>
          <w:rFonts w:ascii="Arial" w:eastAsia="Times New Roman" w:hAnsi="Arial" w:cs="Arial"/>
          <w:sz w:val="24"/>
          <w:szCs w:val="24"/>
          <w:lang w:val="es-ES" w:eastAsia="es-ES"/>
        </w:rPr>
        <w:t>ores.</w:t>
      </w:r>
    </w:p>
    <w:p w:rsidR="00D86D93" w:rsidRPr="00411414" w:rsidRDefault="00D86D93" w:rsidP="00411414">
      <w:pPr>
        <w:widowControl w:val="0"/>
        <w:spacing w:after="0" w:line="360" w:lineRule="auto"/>
        <w:jc w:val="both"/>
        <w:rPr>
          <w:rFonts w:ascii="Arial" w:eastAsia="Times New Roman" w:hAnsi="Arial" w:cs="Arial"/>
          <w:bCs/>
          <w:sz w:val="24"/>
          <w:szCs w:val="24"/>
          <w:lang w:val="es-ES" w:eastAsia="es-ES"/>
        </w:rPr>
      </w:pPr>
      <w:r w:rsidRPr="00411414">
        <w:rPr>
          <w:rFonts w:ascii="Arial" w:eastAsia="Times New Roman" w:hAnsi="Arial" w:cs="Arial"/>
          <w:b/>
          <w:bCs/>
          <w:sz w:val="24"/>
          <w:szCs w:val="24"/>
          <w:lang w:val="es-ES" w:eastAsia="es-ES"/>
        </w:rPr>
        <w:t>Artículo 13 del Decreto Nº 2263.</w:t>
      </w:r>
      <w:r w:rsidRPr="00411414">
        <w:rPr>
          <w:rFonts w:ascii="Arial" w:eastAsia="Times New Roman" w:hAnsi="Arial" w:cs="Arial"/>
          <w:bCs/>
          <w:sz w:val="24"/>
          <w:szCs w:val="24"/>
          <w:lang w:val="es-ES" w:eastAsia="es-ES"/>
        </w:rPr>
        <w:t xml:space="preserve"> Se incumplió el procedimiento establecido en este decreto para el otorgamiento de compensaciones especiales, lo cual fue observado por el Contador Delegado.</w:t>
      </w:r>
    </w:p>
    <w:p w:rsidR="00D86D93" w:rsidRPr="00411414" w:rsidRDefault="00D86D93" w:rsidP="00411414">
      <w:pPr>
        <w:widowControl w:val="0"/>
        <w:spacing w:after="0" w:line="360" w:lineRule="auto"/>
        <w:jc w:val="both"/>
        <w:rPr>
          <w:rFonts w:ascii="Arial" w:eastAsia="Times New Roman" w:hAnsi="Arial" w:cs="Arial"/>
          <w:bCs/>
          <w:sz w:val="24"/>
          <w:szCs w:val="24"/>
          <w:highlight w:val="yellow"/>
          <w:lang w:val="es-ES" w:eastAsia="es-ES"/>
        </w:rPr>
      </w:pPr>
    </w:p>
    <w:p w:rsidR="00D86D93" w:rsidRPr="00411414" w:rsidRDefault="00D86D93" w:rsidP="00411414">
      <w:pPr>
        <w:widowControl w:val="0"/>
        <w:tabs>
          <w:tab w:val="left" w:pos="360"/>
          <w:tab w:val="center" w:pos="4252"/>
          <w:tab w:val="right" w:pos="8504"/>
        </w:tabs>
        <w:spacing w:after="0" w:line="360" w:lineRule="auto"/>
        <w:jc w:val="both"/>
        <w:rPr>
          <w:rFonts w:ascii="Arial" w:eastAsia="Times New Roman" w:hAnsi="Arial" w:cs="Arial"/>
          <w:sz w:val="24"/>
          <w:szCs w:val="24"/>
          <w:lang w:val="es-ES" w:eastAsia="es-ES"/>
        </w:rPr>
      </w:pPr>
      <w:r w:rsidRPr="00411414">
        <w:rPr>
          <w:rFonts w:ascii="Arial" w:eastAsia="Times New Roman" w:hAnsi="Arial" w:cs="Arial"/>
          <w:sz w:val="24"/>
          <w:szCs w:val="24"/>
          <w:lang w:val="es-ES" w:eastAsia="es-ES"/>
        </w:rPr>
        <w:t xml:space="preserve">Asimismo, durante el presente ejercicio el Contador Delegado observó gastos por  incumplimiento del </w:t>
      </w:r>
      <w:r w:rsidRPr="00411414">
        <w:rPr>
          <w:rFonts w:ascii="Arial" w:eastAsia="Times New Roman" w:hAnsi="Arial" w:cs="Arial"/>
          <w:b/>
          <w:sz w:val="24"/>
          <w:szCs w:val="24"/>
          <w:lang w:val="es-ES" w:eastAsia="es-ES"/>
        </w:rPr>
        <w:t>Artículo 15 del TOCAF y Ley 9.515</w:t>
      </w:r>
      <w:r w:rsidRPr="00411414">
        <w:rPr>
          <w:rFonts w:ascii="Arial" w:eastAsia="Times New Roman" w:hAnsi="Arial" w:cs="Arial"/>
          <w:sz w:val="24"/>
          <w:szCs w:val="24"/>
          <w:lang w:val="es-ES" w:eastAsia="es-ES"/>
        </w:rPr>
        <w:t>, los que fueron reiterado</w:t>
      </w:r>
      <w:r w:rsidR="002207BE">
        <w:rPr>
          <w:rFonts w:ascii="Arial" w:eastAsia="Times New Roman" w:hAnsi="Arial" w:cs="Arial"/>
          <w:sz w:val="24"/>
          <w:szCs w:val="24"/>
          <w:lang w:val="es-ES" w:eastAsia="es-ES"/>
        </w:rPr>
        <w:t>s por el Ordenador competente.</w:t>
      </w:r>
    </w:p>
    <w:p w:rsidR="00D86D93" w:rsidRDefault="00D86D93" w:rsidP="002207BE">
      <w:pPr>
        <w:widowControl w:val="0"/>
        <w:spacing w:after="0" w:line="360" w:lineRule="auto"/>
        <w:jc w:val="right"/>
        <w:rPr>
          <w:rFonts w:ascii="Arial" w:eastAsia="Times New Roman" w:hAnsi="Arial" w:cs="Arial"/>
          <w:bCs/>
          <w:sz w:val="24"/>
          <w:szCs w:val="24"/>
          <w:lang w:val="es-ES" w:eastAsia="es-ES"/>
        </w:rPr>
      </w:pPr>
      <w:r w:rsidRPr="00411414">
        <w:rPr>
          <w:rFonts w:ascii="Arial" w:eastAsia="Times New Roman" w:hAnsi="Arial" w:cs="Arial"/>
          <w:bCs/>
          <w:sz w:val="24"/>
          <w:szCs w:val="24"/>
          <w:lang w:val="es-ES" w:eastAsia="es-ES"/>
        </w:rPr>
        <w:t>Montevideo, 18 de agosto de 2015</w:t>
      </w:r>
    </w:p>
    <w:p w:rsidR="00935D8D" w:rsidRDefault="00935D8D" w:rsidP="002207BE">
      <w:pPr>
        <w:widowControl w:val="0"/>
        <w:spacing w:after="0" w:line="360" w:lineRule="auto"/>
        <w:jc w:val="right"/>
        <w:rPr>
          <w:rFonts w:ascii="Arial" w:eastAsia="Times New Roman" w:hAnsi="Arial" w:cs="Arial"/>
          <w:bCs/>
          <w:sz w:val="24"/>
          <w:szCs w:val="24"/>
          <w:lang w:val="es-ES" w:eastAsia="es-ES"/>
        </w:rPr>
      </w:pPr>
    </w:p>
    <w:p w:rsidR="00935D8D" w:rsidRDefault="00935D8D" w:rsidP="002207BE">
      <w:pPr>
        <w:widowControl w:val="0"/>
        <w:spacing w:after="0" w:line="360" w:lineRule="auto"/>
        <w:jc w:val="right"/>
        <w:rPr>
          <w:rFonts w:ascii="Arial" w:eastAsia="Times New Roman" w:hAnsi="Arial" w:cs="Arial"/>
          <w:bCs/>
          <w:sz w:val="24"/>
          <w:szCs w:val="24"/>
          <w:lang w:val="es-ES" w:eastAsia="es-ES"/>
        </w:rPr>
      </w:pPr>
    </w:p>
    <w:p w:rsidR="00D86D93" w:rsidRPr="00411414" w:rsidRDefault="00D86D93" w:rsidP="00411414">
      <w:pPr>
        <w:pStyle w:val="Ttulo1"/>
        <w:spacing w:before="0" w:line="360" w:lineRule="auto"/>
        <w:jc w:val="center"/>
        <w:rPr>
          <w:rFonts w:ascii="Arial" w:eastAsia="Times New Roman" w:hAnsi="Arial" w:cs="Arial"/>
          <w:color w:val="auto"/>
          <w:sz w:val="24"/>
          <w:szCs w:val="24"/>
          <w:lang w:val="es-ES" w:eastAsia="es-ES"/>
        </w:rPr>
      </w:pPr>
      <w:bookmarkStart w:id="9" w:name="_Toc360717260"/>
      <w:bookmarkStart w:id="10" w:name="_Toc395536864"/>
      <w:bookmarkStart w:id="11" w:name="_Toc425952235"/>
      <w:bookmarkEnd w:id="7"/>
      <w:bookmarkEnd w:id="8"/>
      <w:r w:rsidRPr="00411414">
        <w:rPr>
          <w:rFonts w:ascii="Arial" w:eastAsia="Times New Roman" w:hAnsi="Arial" w:cs="Arial"/>
          <w:color w:val="auto"/>
          <w:sz w:val="24"/>
          <w:szCs w:val="24"/>
          <w:lang w:val="es-ES" w:eastAsia="es-ES"/>
        </w:rPr>
        <w:t>INFORME A LA ADMINISTRACIÓN</w:t>
      </w:r>
      <w:bookmarkEnd w:id="9"/>
      <w:bookmarkEnd w:id="10"/>
      <w:bookmarkEnd w:id="11"/>
    </w:p>
    <w:p w:rsidR="00D86D93" w:rsidRPr="00411414" w:rsidRDefault="00D86D93" w:rsidP="00411414">
      <w:pPr>
        <w:widowControl w:val="0"/>
        <w:spacing w:after="0" w:line="360" w:lineRule="auto"/>
        <w:rPr>
          <w:rFonts w:ascii="Arial" w:eastAsia="Times New Roman" w:hAnsi="Arial" w:cs="Arial"/>
          <w:sz w:val="24"/>
          <w:szCs w:val="24"/>
          <w:lang w:val="es-ES" w:eastAsia="es-ES"/>
        </w:rPr>
      </w:pPr>
    </w:p>
    <w:p w:rsidR="00D86D93" w:rsidRPr="00411414" w:rsidRDefault="00D86D93" w:rsidP="00411414">
      <w:pPr>
        <w:widowControl w:val="0"/>
        <w:spacing w:after="0" w:line="360" w:lineRule="auto"/>
        <w:jc w:val="both"/>
        <w:rPr>
          <w:rFonts w:ascii="Arial" w:eastAsia="Times New Roman" w:hAnsi="Arial" w:cs="Arial"/>
          <w:kern w:val="18"/>
          <w:sz w:val="24"/>
          <w:szCs w:val="24"/>
          <w:lang w:val="es-ES_tradnl" w:eastAsia="es-ES"/>
        </w:rPr>
      </w:pPr>
      <w:r w:rsidRPr="00411414">
        <w:rPr>
          <w:rFonts w:ascii="Arial" w:eastAsia="Times New Roman" w:hAnsi="Arial" w:cs="Arial"/>
          <w:kern w:val="18"/>
          <w:sz w:val="24"/>
          <w:szCs w:val="24"/>
          <w:lang w:val="es-ES_tradnl" w:eastAsia="es-ES"/>
        </w:rPr>
        <w:t>El Tribunal de Cuentas ha examinado la Rendición de Cuentas y Balance de Ejecución Presupuestal correspondiente al Ejercicio 2014 y ha emitido su correspondiente Dictamen.</w:t>
      </w:r>
    </w:p>
    <w:p w:rsidR="00D86D93" w:rsidRPr="00411414" w:rsidRDefault="00D86D93" w:rsidP="00411414">
      <w:pPr>
        <w:widowControl w:val="0"/>
        <w:spacing w:after="0" w:line="360" w:lineRule="auto"/>
        <w:jc w:val="both"/>
        <w:rPr>
          <w:rFonts w:ascii="Arial" w:eastAsia="Times New Roman" w:hAnsi="Arial" w:cs="Arial"/>
          <w:kern w:val="18"/>
          <w:sz w:val="24"/>
          <w:szCs w:val="24"/>
          <w:lang w:val="es-ES_tradnl" w:eastAsia="es-ES"/>
        </w:rPr>
      </w:pPr>
      <w:bookmarkStart w:id="12" w:name="_Toc110845509"/>
      <w:r w:rsidRPr="00411414">
        <w:rPr>
          <w:rFonts w:ascii="Arial" w:eastAsia="Times New Roman" w:hAnsi="Arial" w:cs="Arial"/>
          <w:kern w:val="18"/>
          <w:sz w:val="24"/>
          <w:szCs w:val="24"/>
          <w:lang w:val="es-ES_tradnl" w:eastAsia="es-ES"/>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del cumplimiento de las recomendaciones presentadas en el informe de auditoría correspondiente al ejercicio anterior</w:t>
      </w:r>
      <w:bookmarkEnd w:id="12"/>
      <w:r w:rsidRPr="00411414">
        <w:rPr>
          <w:rFonts w:ascii="Arial" w:eastAsia="Times New Roman" w:hAnsi="Arial" w:cs="Arial"/>
          <w:kern w:val="18"/>
          <w:sz w:val="24"/>
          <w:szCs w:val="24"/>
          <w:lang w:val="es-ES_tradnl" w:eastAsia="es-ES"/>
        </w:rPr>
        <w:t>.</w:t>
      </w:r>
    </w:p>
    <w:p w:rsidR="00D86D93" w:rsidRPr="00411414" w:rsidRDefault="00D86D93" w:rsidP="00411414">
      <w:pPr>
        <w:widowControl w:val="0"/>
        <w:spacing w:after="0" w:line="360" w:lineRule="auto"/>
        <w:jc w:val="both"/>
        <w:rPr>
          <w:rFonts w:ascii="Arial" w:eastAsia="Times New Roman" w:hAnsi="Arial" w:cs="Arial"/>
          <w:kern w:val="18"/>
          <w:sz w:val="24"/>
          <w:szCs w:val="24"/>
          <w:lang w:val="es-ES_tradnl" w:eastAsia="es-ES"/>
        </w:rPr>
      </w:pPr>
    </w:p>
    <w:p w:rsidR="00D86D93" w:rsidRPr="00411414" w:rsidRDefault="00D86D93" w:rsidP="00411414">
      <w:pPr>
        <w:pStyle w:val="Ttulo2"/>
        <w:spacing w:before="0" w:line="360" w:lineRule="auto"/>
        <w:rPr>
          <w:rFonts w:ascii="Arial" w:eastAsia="Times New Roman" w:hAnsi="Arial" w:cs="Arial"/>
          <w:color w:val="auto"/>
          <w:sz w:val="24"/>
          <w:szCs w:val="24"/>
          <w:lang w:val="es-ES" w:eastAsia="es-ES"/>
        </w:rPr>
      </w:pPr>
      <w:bookmarkStart w:id="13" w:name="_Toc168908153"/>
      <w:bookmarkStart w:id="14" w:name="_Toc360717261"/>
      <w:bookmarkStart w:id="15" w:name="_Toc395536865"/>
      <w:bookmarkStart w:id="16" w:name="_Toc425952236"/>
      <w:r w:rsidRPr="00411414">
        <w:rPr>
          <w:rFonts w:ascii="Arial" w:eastAsia="Times New Roman" w:hAnsi="Arial" w:cs="Arial"/>
          <w:color w:val="auto"/>
          <w:sz w:val="24"/>
          <w:szCs w:val="24"/>
          <w:lang w:val="es-ES" w:eastAsia="es-ES"/>
        </w:rPr>
        <w:t>2.1 Situación en Materia de Fondos</w:t>
      </w:r>
      <w:bookmarkEnd w:id="13"/>
      <w:bookmarkEnd w:id="14"/>
      <w:bookmarkEnd w:id="15"/>
      <w:bookmarkEnd w:id="16"/>
    </w:p>
    <w:p w:rsidR="00D86D93" w:rsidRPr="00411414" w:rsidRDefault="00D86D93" w:rsidP="00411414">
      <w:pPr>
        <w:widowControl w:val="0"/>
        <w:spacing w:after="0" w:line="360" w:lineRule="auto"/>
        <w:jc w:val="both"/>
        <w:rPr>
          <w:rFonts w:ascii="Arial" w:eastAsia="Times New Roman" w:hAnsi="Arial" w:cs="Arial"/>
          <w:sz w:val="24"/>
          <w:szCs w:val="24"/>
          <w:lang w:val="es-ES" w:eastAsia="es-ES"/>
        </w:rPr>
      </w:pPr>
      <w:bookmarkStart w:id="17" w:name="_Toc37740559"/>
      <w:bookmarkStart w:id="18" w:name="_Toc37740811"/>
      <w:bookmarkStart w:id="19" w:name="_Toc43280747"/>
      <w:bookmarkStart w:id="20" w:name="_Toc49942672"/>
      <w:r w:rsidRPr="00411414">
        <w:rPr>
          <w:rFonts w:ascii="Arial" w:eastAsia="Times New Roman" w:hAnsi="Arial" w:cs="Arial"/>
          <w:sz w:val="24"/>
          <w:szCs w:val="24"/>
          <w:lang w:val="es-ES" w:eastAsia="es-ES"/>
        </w:rPr>
        <w:t>En base a los estados incluidos en la Rendición de Cuentas, se elaboró un resumen de la situación en materia de fondos de la Junta Departamental con relación a la Intendencia al 31/12/14 (en pesos uruguayos):</w:t>
      </w:r>
    </w:p>
    <w:p w:rsidR="00D86D93" w:rsidRPr="00411414" w:rsidRDefault="00D86D93" w:rsidP="00411414">
      <w:pPr>
        <w:widowControl w:val="0"/>
        <w:spacing w:after="0" w:line="360" w:lineRule="auto"/>
        <w:jc w:val="both"/>
        <w:outlineLvl w:val="1"/>
        <w:rPr>
          <w:rFonts w:ascii="Arial" w:eastAsia="Times New Roman" w:hAnsi="Arial" w:cs="Arial"/>
          <w:b/>
          <w:kern w:val="18"/>
          <w:sz w:val="24"/>
          <w:szCs w:val="24"/>
          <w:lang w:val="es-ES" w:eastAsia="es-ES"/>
        </w:rPr>
      </w:pPr>
    </w:p>
    <w:p w:rsidR="00D86D93" w:rsidRPr="00411414" w:rsidRDefault="00D86D93" w:rsidP="00411414">
      <w:pPr>
        <w:spacing w:after="0" w:line="360" w:lineRule="auto"/>
        <w:rPr>
          <w:rFonts w:ascii="Arial" w:eastAsia="Times New Roman" w:hAnsi="Arial" w:cs="Arial"/>
          <w:kern w:val="18"/>
          <w:sz w:val="24"/>
          <w:szCs w:val="24"/>
          <w:lang w:val="es-ES" w:eastAsia="es-ES"/>
        </w:rPr>
      </w:pPr>
      <w:r w:rsidRPr="00411414">
        <w:rPr>
          <w:rFonts w:ascii="Arial" w:eastAsia="Times New Roman" w:hAnsi="Arial" w:cs="Arial"/>
          <w:kern w:val="18"/>
          <w:sz w:val="24"/>
          <w:szCs w:val="24"/>
          <w:lang w:val="es-ES" w:eastAsia="es-ES"/>
        </w:rPr>
        <w:t>Disponibilidades                                                                                    3:766.319</w:t>
      </w:r>
    </w:p>
    <w:p w:rsidR="00D86D93" w:rsidRPr="00411414" w:rsidRDefault="00D86D93" w:rsidP="00411414">
      <w:pPr>
        <w:spacing w:after="0" w:line="360" w:lineRule="auto"/>
        <w:rPr>
          <w:rFonts w:ascii="Arial" w:eastAsia="Times New Roman" w:hAnsi="Arial" w:cs="Arial"/>
          <w:kern w:val="18"/>
          <w:sz w:val="24"/>
          <w:szCs w:val="24"/>
          <w:lang w:val="es-ES" w:eastAsia="es-ES"/>
        </w:rPr>
      </w:pPr>
      <w:r w:rsidRPr="00411414">
        <w:rPr>
          <w:rFonts w:ascii="Arial" w:eastAsia="Times New Roman" w:hAnsi="Arial" w:cs="Arial"/>
          <w:kern w:val="18"/>
          <w:sz w:val="24"/>
          <w:szCs w:val="24"/>
          <w:lang w:val="es-ES" w:eastAsia="es-ES"/>
        </w:rPr>
        <w:t>Menos:</w:t>
      </w:r>
    </w:p>
    <w:p w:rsidR="00D86D93" w:rsidRPr="00411414" w:rsidRDefault="00D86D93" w:rsidP="00411414">
      <w:pPr>
        <w:spacing w:after="0" w:line="360" w:lineRule="auto"/>
        <w:rPr>
          <w:rFonts w:ascii="Arial" w:eastAsia="Times New Roman" w:hAnsi="Arial" w:cs="Arial"/>
          <w:kern w:val="18"/>
          <w:sz w:val="24"/>
          <w:szCs w:val="24"/>
          <w:lang w:val="es-ES" w:eastAsia="es-ES"/>
        </w:rPr>
      </w:pPr>
      <w:r w:rsidRPr="00411414">
        <w:rPr>
          <w:rFonts w:ascii="Arial" w:eastAsia="Times New Roman" w:hAnsi="Arial" w:cs="Arial"/>
          <w:kern w:val="18"/>
          <w:sz w:val="24"/>
          <w:szCs w:val="24"/>
          <w:lang w:val="es-ES" w:eastAsia="es-ES"/>
        </w:rPr>
        <w:t>Obligaciones Presupuestales Impagas               851.438</w:t>
      </w:r>
    </w:p>
    <w:p w:rsidR="00D86D93" w:rsidRPr="00411414" w:rsidRDefault="00D86D93" w:rsidP="00411414">
      <w:pPr>
        <w:spacing w:after="0" w:line="360" w:lineRule="auto"/>
        <w:rPr>
          <w:rFonts w:ascii="Arial" w:eastAsia="Times New Roman" w:hAnsi="Arial" w:cs="Arial"/>
          <w:kern w:val="18"/>
          <w:sz w:val="24"/>
          <w:szCs w:val="24"/>
          <w:u w:val="single"/>
          <w:lang w:val="es-ES" w:eastAsia="es-ES"/>
        </w:rPr>
      </w:pPr>
      <w:r w:rsidRPr="00411414">
        <w:rPr>
          <w:rFonts w:ascii="Arial" w:eastAsia="Times New Roman" w:hAnsi="Arial" w:cs="Arial"/>
          <w:kern w:val="18"/>
          <w:sz w:val="24"/>
          <w:szCs w:val="24"/>
          <w:lang w:val="es-ES" w:eastAsia="es-ES"/>
        </w:rPr>
        <w:t xml:space="preserve">Fondos Indisponibles                                        1.134.115     </w:t>
      </w:r>
      <w:r w:rsidRPr="00B62A66">
        <w:rPr>
          <w:rFonts w:ascii="Arial" w:eastAsia="Times New Roman" w:hAnsi="Arial" w:cs="Arial"/>
          <w:kern w:val="18"/>
          <w:sz w:val="24"/>
          <w:szCs w:val="24"/>
          <w:lang w:val="es-ES" w:eastAsia="es-ES"/>
        </w:rPr>
        <w:t xml:space="preserve">            </w:t>
      </w:r>
      <w:r w:rsidRPr="00411414">
        <w:rPr>
          <w:rFonts w:ascii="Arial" w:eastAsia="Times New Roman" w:hAnsi="Arial" w:cs="Arial"/>
          <w:kern w:val="18"/>
          <w:sz w:val="24"/>
          <w:szCs w:val="24"/>
          <w:u w:val="single"/>
          <w:lang w:val="es-ES" w:eastAsia="es-ES"/>
        </w:rPr>
        <w:t xml:space="preserve">  (1.985.553)        </w:t>
      </w:r>
    </w:p>
    <w:p w:rsidR="00D86D93" w:rsidRPr="00411414" w:rsidRDefault="00D86D93" w:rsidP="00411414">
      <w:pPr>
        <w:spacing w:after="0" w:line="360" w:lineRule="auto"/>
        <w:rPr>
          <w:rFonts w:ascii="Arial" w:eastAsia="Times New Roman" w:hAnsi="Arial" w:cs="Arial"/>
          <w:kern w:val="18"/>
          <w:sz w:val="24"/>
          <w:szCs w:val="24"/>
          <w:lang w:val="es-ES" w:eastAsia="es-ES"/>
        </w:rPr>
      </w:pPr>
      <w:r w:rsidRPr="00411414">
        <w:rPr>
          <w:rFonts w:ascii="Arial" w:eastAsia="Times New Roman" w:hAnsi="Arial" w:cs="Arial"/>
          <w:kern w:val="18"/>
          <w:sz w:val="24"/>
          <w:szCs w:val="24"/>
          <w:lang w:val="es-ES" w:eastAsia="es-ES"/>
        </w:rPr>
        <w:t xml:space="preserve">Saldo adeudado por la Junta a la Intendencia                                     1.780.766 </w:t>
      </w:r>
    </w:p>
    <w:p w:rsidR="00D86D93" w:rsidRPr="00411414" w:rsidRDefault="00D86D93" w:rsidP="00411414">
      <w:pPr>
        <w:spacing w:after="0" w:line="360" w:lineRule="auto"/>
        <w:jc w:val="both"/>
        <w:rPr>
          <w:rFonts w:ascii="Arial" w:eastAsia="Times New Roman" w:hAnsi="Arial" w:cs="Arial"/>
          <w:kern w:val="18"/>
          <w:sz w:val="24"/>
          <w:szCs w:val="24"/>
          <w:lang w:val="es-ES" w:eastAsia="es-ES"/>
        </w:rPr>
      </w:pPr>
    </w:p>
    <w:p w:rsidR="00D86D93" w:rsidRPr="00411414" w:rsidRDefault="00D86D93" w:rsidP="00411414">
      <w:pPr>
        <w:pStyle w:val="Ttulo2"/>
        <w:spacing w:before="0" w:line="360" w:lineRule="auto"/>
        <w:rPr>
          <w:rFonts w:ascii="Arial" w:eastAsia="Times New Roman" w:hAnsi="Arial" w:cs="Arial"/>
          <w:color w:val="auto"/>
          <w:sz w:val="24"/>
          <w:szCs w:val="24"/>
          <w:lang w:val="es-ES" w:eastAsia="es-ES"/>
        </w:rPr>
      </w:pPr>
      <w:bookmarkStart w:id="21" w:name="_Toc360717262"/>
      <w:bookmarkStart w:id="22" w:name="_Toc395536866"/>
      <w:bookmarkStart w:id="23" w:name="_Toc425952237"/>
      <w:r w:rsidRPr="00411414">
        <w:rPr>
          <w:rFonts w:ascii="Arial" w:eastAsia="Times New Roman" w:hAnsi="Arial" w:cs="Arial"/>
          <w:color w:val="auto"/>
          <w:sz w:val="24"/>
          <w:szCs w:val="24"/>
          <w:lang w:val="es-ES" w:eastAsia="es-ES"/>
        </w:rPr>
        <w:t>2.2 Incumplimiento de normas legales</w:t>
      </w:r>
      <w:bookmarkEnd w:id="21"/>
      <w:bookmarkEnd w:id="22"/>
      <w:bookmarkEnd w:id="23"/>
    </w:p>
    <w:p w:rsidR="00D86D93" w:rsidRPr="00411414" w:rsidRDefault="00D86D93" w:rsidP="00411414">
      <w:pPr>
        <w:widowControl w:val="0"/>
        <w:spacing w:after="0" w:line="360" w:lineRule="auto"/>
        <w:jc w:val="both"/>
        <w:rPr>
          <w:rFonts w:ascii="Arial" w:eastAsia="Times New Roman" w:hAnsi="Arial" w:cs="Arial"/>
          <w:kern w:val="18"/>
          <w:sz w:val="24"/>
          <w:szCs w:val="24"/>
          <w:lang w:val="es-ES" w:eastAsia="es-ES"/>
        </w:rPr>
      </w:pPr>
      <w:r w:rsidRPr="00411414">
        <w:rPr>
          <w:rFonts w:ascii="Arial" w:eastAsia="Times New Roman" w:hAnsi="Arial" w:cs="Arial"/>
          <w:kern w:val="18"/>
          <w:sz w:val="24"/>
          <w:szCs w:val="24"/>
          <w:lang w:val="es-ES" w:eastAsia="es-ES"/>
        </w:rPr>
        <w:t>Con relación al incumplimiento de normas legales, corresponde destacar lo siguiente:</w:t>
      </w:r>
    </w:p>
    <w:p w:rsidR="00D86D93" w:rsidRDefault="00D86D93" w:rsidP="00411414">
      <w:pPr>
        <w:widowControl w:val="0"/>
        <w:spacing w:after="0" w:line="360" w:lineRule="auto"/>
        <w:jc w:val="both"/>
        <w:rPr>
          <w:rFonts w:ascii="Arial" w:eastAsia="Times New Roman" w:hAnsi="Arial" w:cs="Arial"/>
          <w:kern w:val="18"/>
          <w:sz w:val="24"/>
          <w:szCs w:val="24"/>
          <w:lang w:val="es-ES" w:eastAsia="es-ES"/>
        </w:rPr>
      </w:pPr>
      <w:r w:rsidRPr="00411414">
        <w:rPr>
          <w:rFonts w:ascii="Arial" w:eastAsia="Times New Roman" w:hAnsi="Arial" w:cs="Arial"/>
          <w:kern w:val="18"/>
          <w:sz w:val="24"/>
          <w:szCs w:val="24"/>
          <w:lang w:val="es-ES" w:eastAsia="es-ES"/>
        </w:rPr>
        <w:t xml:space="preserve"> </w:t>
      </w:r>
    </w:p>
    <w:p w:rsidR="00935D8D" w:rsidRPr="00411414" w:rsidRDefault="00935D8D" w:rsidP="00411414">
      <w:pPr>
        <w:widowControl w:val="0"/>
        <w:spacing w:after="0" w:line="360" w:lineRule="auto"/>
        <w:jc w:val="both"/>
        <w:rPr>
          <w:rFonts w:ascii="Arial" w:eastAsia="Times New Roman" w:hAnsi="Arial" w:cs="Arial"/>
          <w:kern w:val="18"/>
          <w:sz w:val="24"/>
          <w:szCs w:val="24"/>
          <w:lang w:val="es-ES" w:eastAsia="es-ES"/>
        </w:rPr>
      </w:pPr>
    </w:p>
    <w:p w:rsidR="00D86D93" w:rsidRPr="00411414" w:rsidRDefault="00D86D93" w:rsidP="00411414">
      <w:pPr>
        <w:pStyle w:val="Ttulo2"/>
        <w:spacing w:before="0" w:line="360" w:lineRule="auto"/>
        <w:rPr>
          <w:rFonts w:ascii="Arial" w:eastAsia="Times New Roman" w:hAnsi="Arial" w:cs="Arial"/>
          <w:color w:val="auto"/>
          <w:sz w:val="24"/>
          <w:szCs w:val="24"/>
          <w:lang w:val="es-ES" w:eastAsia="es-ES"/>
        </w:rPr>
      </w:pPr>
      <w:bookmarkStart w:id="24" w:name="_Toc395536867"/>
      <w:bookmarkStart w:id="25" w:name="_Toc425952238"/>
      <w:r w:rsidRPr="00411414">
        <w:rPr>
          <w:rFonts w:ascii="Arial" w:eastAsia="Times New Roman" w:hAnsi="Arial" w:cs="Arial"/>
          <w:color w:val="auto"/>
          <w:sz w:val="24"/>
          <w:szCs w:val="24"/>
          <w:lang w:val="es-ES" w:eastAsia="es-ES"/>
        </w:rPr>
        <w:t>Compensaciones especiales</w:t>
      </w:r>
      <w:bookmarkEnd w:id="24"/>
      <w:bookmarkEnd w:id="25"/>
    </w:p>
    <w:p w:rsidR="00D86D93" w:rsidRPr="00411414" w:rsidRDefault="00D86D93" w:rsidP="00411414">
      <w:pPr>
        <w:widowControl w:val="0"/>
        <w:spacing w:after="0" w:line="360" w:lineRule="auto"/>
        <w:jc w:val="both"/>
        <w:rPr>
          <w:rFonts w:ascii="Arial" w:eastAsia="Times New Roman" w:hAnsi="Arial" w:cs="Arial"/>
          <w:sz w:val="24"/>
          <w:szCs w:val="24"/>
          <w:lang w:val="es-ES" w:eastAsia="es-ES"/>
        </w:rPr>
      </w:pPr>
      <w:r w:rsidRPr="00411414">
        <w:rPr>
          <w:rFonts w:ascii="Arial" w:eastAsia="Times New Roman" w:hAnsi="Arial" w:cs="Arial"/>
          <w:sz w:val="24"/>
          <w:szCs w:val="24"/>
          <w:lang w:val="es-ES" w:eastAsia="es-ES"/>
        </w:rPr>
        <w:t xml:space="preserve">Se otorgaron compensaciones sin el aval requerido de dos tercios de la Comisión de Hacienda, Presupuesto y Cuentas, tal como lo establece el </w:t>
      </w:r>
      <w:r>
        <w:rPr>
          <w:rFonts w:ascii="Arial" w:eastAsia="Times New Roman" w:hAnsi="Arial" w:cs="Arial"/>
          <w:sz w:val="24"/>
          <w:szCs w:val="24"/>
          <w:lang w:val="es-ES" w:eastAsia="es-ES"/>
        </w:rPr>
        <w:t>A</w:t>
      </w:r>
      <w:r w:rsidRPr="00411414">
        <w:rPr>
          <w:rFonts w:ascii="Arial" w:eastAsia="Times New Roman" w:hAnsi="Arial" w:cs="Arial"/>
          <w:sz w:val="24"/>
          <w:szCs w:val="24"/>
          <w:lang w:val="es-ES" w:eastAsia="es-ES"/>
        </w:rPr>
        <w:t>rtículo 13 del Decreto Nº 2263. Esta situación ocurrió hasta el mes de junio.</w:t>
      </w:r>
    </w:p>
    <w:p w:rsidR="00D86D93" w:rsidRPr="00411414" w:rsidRDefault="00D86D93" w:rsidP="00411414">
      <w:pPr>
        <w:widowControl w:val="0"/>
        <w:spacing w:after="0" w:line="360" w:lineRule="auto"/>
        <w:jc w:val="both"/>
        <w:rPr>
          <w:rFonts w:ascii="Arial" w:eastAsia="Times New Roman" w:hAnsi="Arial" w:cs="Arial"/>
          <w:sz w:val="24"/>
          <w:szCs w:val="24"/>
          <w:lang w:val="es-ES" w:eastAsia="es-ES"/>
        </w:rPr>
      </w:pPr>
    </w:p>
    <w:p w:rsidR="00D86D93" w:rsidRPr="00411414" w:rsidRDefault="00D86D93" w:rsidP="00411414">
      <w:pPr>
        <w:pStyle w:val="Ttulo2"/>
        <w:spacing w:before="0" w:line="360" w:lineRule="auto"/>
        <w:rPr>
          <w:rFonts w:ascii="Arial" w:eastAsia="Times New Roman" w:hAnsi="Arial" w:cs="Arial"/>
          <w:color w:val="auto"/>
          <w:sz w:val="24"/>
          <w:szCs w:val="24"/>
          <w:lang w:val="es-ES" w:eastAsia="es-ES"/>
        </w:rPr>
      </w:pPr>
      <w:bookmarkStart w:id="26" w:name="_Toc360717264"/>
      <w:bookmarkStart w:id="27" w:name="_Toc395536870"/>
      <w:bookmarkStart w:id="28" w:name="_Toc425952241"/>
      <w:bookmarkEnd w:id="17"/>
      <w:bookmarkEnd w:id="18"/>
      <w:bookmarkEnd w:id="19"/>
      <w:bookmarkEnd w:id="20"/>
      <w:r w:rsidRPr="00411414">
        <w:rPr>
          <w:rFonts w:ascii="Arial" w:eastAsia="Times New Roman" w:hAnsi="Arial" w:cs="Arial"/>
          <w:color w:val="auto"/>
          <w:sz w:val="24"/>
          <w:szCs w:val="24"/>
          <w:lang w:val="es-ES" w:eastAsia="es-ES"/>
        </w:rPr>
        <w:t xml:space="preserve">2.3 </w:t>
      </w:r>
      <w:bookmarkStart w:id="29" w:name="_Toc168908154"/>
      <w:r w:rsidRPr="00411414">
        <w:rPr>
          <w:rFonts w:ascii="Arial" w:eastAsia="Times New Roman" w:hAnsi="Arial" w:cs="Arial"/>
          <w:color w:val="auto"/>
          <w:sz w:val="24"/>
          <w:szCs w:val="24"/>
          <w:lang w:val="es-ES" w:eastAsia="es-ES"/>
        </w:rPr>
        <w:t>Recomendaciones</w:t>
      </w:r>
      <w:bookmarkEnd w:id="26"/>
      <w:bookmarkEnd w:id="27"/>
      <w:bookmarkEnd w:id="28"/>
      <w:bookmarkEnd w:id="29"/>
    </w:p>
    <w:p w:rsidR="00D86D93" w:rsidRPr="00411414" w:rsidRDefault="00D86D93" w:rsidP="00411414">
      <w:pPr>
        <w:spacing w:after="0" w:line="360" w:lineRule="auto"/>
        <w:rPr>
          <w:rFonts w:ascii="Arial" w:hAnsi="Arial" w:cs="Arial"/>
          <w:b/>
          <w:sz w:val="24"/>
          <w:szCs w:val="24"/>
          <w:lang w:val="es-ES" w:eastAsia="es-ES"/>
        </w:rPr>
      </w:pPr>
    </w:p>
    <w:p w:rsidR="00D86D93" w:rsidRPr="00411414" w:rsidRDefault="00D86D93" w:rsidP="00411414">
      <w:pPr>
        <w:spacing w:after="0" w:line="360" w:lineRule="auto"/>
        <w:rPr>
          <w:rFonts w:ascii="Arial" w:hAnsi="Arial" w:cs="Arial"/>
          <w:b/>
          <w:sz w:val="24"/>
          <w:szCs w:val="24"/>
          <w:lang w:val="es-ES" w:eastAsia="es-ES"/>
        </w:rPr>
      </w:pPr>
      <w:r w:rsidRPr="00411414">
        <w:rPr>
          <w:rFonts w:ascii="Arial" w:hAnsi="Arial" w:cs="Arial"/>
          <w:b/>
          <w:sz w:val="24"/>
          <w:szCs w:val="24"/>
          <w:lang w:val="es-ES" w:eastAsia="es-ES"/>
        </w:rPr>
        <w:t>2.3.1 Recomendaciones del ejercicio anterior cumplidas</w:t>
      </w:r>
    </w:p>
    <w:p w:rsidR="00D86D93" w:rsidRPr="00411414" w:rsidRDefault="00D86D93" w:rsidP="00411414">
      <w:pPr>
        <w:pStyle w:val="Ttulo2"/>
        <w:spacing w:before="0" w:line="360" w:lineRule="auto"/>
        <w:rPr>
          <w:rFonts w:ascii="Arial" w:eastAsia="Calibri" w:hAnsi="Arial" w:cs="Arial"/>
          <w:color w:val="auto"/>
          <w:sz w:val="24"/>
          <w:szCs w:val="24"/>
          <w:lang w:val="es-ES" w:eastAsia="es-ES"/>
        </w:rPr>
      </w:pPr>
      <w:bookmarkStart w:id="30" w:name="_Toc395536878"/>
      <w:bookmarkStart w:id="31" w:name="_Toc425952246"/>
    </w:p>
    <w:p w:rsidR="00D86D93" w:rsidRPr="00411414" w:rsidRDefault="00D86D93" w:rsidP="00411414">
      <w:pPr>
        <w:pStyle w:val="Ttulo2"/>
        <w:spacing w:before="0" w:line="360" w:lineRule="auto"/>
        <w:rPr>
          <w:rFonts w:ascii="Arial" w:eastAsia="Calibri" w:hAnsi="Arial" w:cs="Arial"/>
          <w:color w:val="auto"/>
          <w:sz w:val="24"/>
          <w:szCs w:val="24"/>
          <w:lang w:val="es-ES_tradnl" w:eastAsia="es-ES"/>
        </w:rPr>
      </w:pPr>
      <w:r w:rsidRPr="00411414">
        <w:rPr>
          <w:rFonts w:ascii="Arial" w:eastAsia="Calibri" w:hAnsi="Arial" w:cs="Arial"/>
          <w:color w:val="auto"/>
          <w:sz w:val="24"/>
          <w:szCs w:val="24"/>
          <w:lang w:val="es-ES_tradnl" w:eastAsia="es-ES"/>
        </w:rPr>
        <w:t>Verificación de vigencia de los certificados de DGI y BPS</w:t>
      </w:r>
      <w:bookmarkEnd w:id="30"/>
      <w:bookmarkEnd w:id="31"/>
    </w:p>
    <w:p w:rsidR="00D86D93" w:rsidRPr="00411414" w:rsidRDefault="00D86D93" w:rsidP="00411414">
      <w:pPr>
        <w:widowControl w:val="0"/>
        <w:spacing w:after="0" w:line="360" w:lineRule="auto"/>
        <w:jc w:val="both"/>
        <w:rPr>
          <w:rFonts w:ascii="Arial" w:eastAsia="Calibri" w:hAnsi="Arial" w:cs="Arial"/>
          <w:sz w:val="24"/>
          <w:szCs w:val="24"/>
          <w:lang w:val="es-ES_tradnl" w:eastAsia="es-ES"/>
        </w:rPr>
      </w:pPr>
      <w:r w:rsidRPr="00411414">
        <w:rPr>
          <w:rFonts w:ascii="Arial" w:eastAsia="Times New Roman" w:hAnsi="Arial" w:cs="Arial"/>
          <w:kern w:val="18"/>
          <w:sz w:val="24"/>
          <w:szCs w:val="24"/>
          <w:lang w:val="es-ES_tradnl" w:eastAsia="es-ES"/>
        </w:rPr>
        <w:t>Se verificó</w:t>
      </w:r>
      <w:r w:rsidRPr="00411414">
        <w:rPr>
          <w:rFonts w:ascii="Arial" w:eastAsia="Times New Roman" w:hAnsi="Arial" w:cs="Arial"/>
          <w:kern w:val="18"/>
          <w:sz w:val="24"/>
          <w:szCs w:val="24"/>
          <w:lang w:val="es-ES" w:eastAsia="es-ES"/>
        </w:rPr>
        <w:t xml:space="preserve"> el cumplimiento de lo establecido en el Decreto Nº 342/992, que reglamenta lo dispuesto por el </w:t>
      </w:r>
      <w:r>
        <w:rPr>
          <w:rFonts w:ascii="Arial" w:eastAsia="Times New Roman" w:hAnsi="Arial" w:cs="Arial"/>
          <w:kern w:val="18"/>
          <w:sz w:val="24"/>
          <w:szCs w:val="24"/>
          <w:lang w:val="es-ES" w:eastAsia="es-ES"/>
        </w:rPr>
        <w:t>A</w:t>
      </w:r>
      <w:r w:rsidRPr="00411414">
        <w:rPr>
          <w:rFonts w:ascii="Arial" w:eastAsia="Times New Roman" w:hAnsi="Arial" w:cs="Arial"/>
          <w:kern w:val="18"/>
          <w:sz w:val="24"/>
          <w:szCs w:val="24"/>
          <w:lang w:val="es-ES" w:eastAsia="es-ES"/>
        </w:rPr>
        <w:t xml:space="preserve">rtículo 7 de la Ley Nº 13.142 de 04/07/1963 y el </w:t>
      </w:r>
      <w:r>
        <w:rPr>
          <w:rFonts w:ascii="Arial" w:eastAsia="Times New Roman" w:hAnsi="Arial" w:cs="Arial"/>
          <w:kern w:val="18"/>
          <w:sz w:val="24"/>
          <w:szCs w:val="24"/>
          <w:lang w:val="es-ES" w:eastAsia="es-ES"/>
        </w:rPr>
        <w:t>A</w:t>
      </w:r>
      <w:r w:rsidRPr="00411414">
        <w:rPr>
          <w:rFonts w:ascii="Arial" w:eastAsia="Times New Roman" w:hAnsi="Arial" w:cs="Arial"/>
          <w:kern w:val="18"/>
          <w:sz w:val="24"/>
          <w:szCs w:val="24"/>
          <w:lang w:val="es-ES" w:eastAsia="es-ES"/>
        </w:rPr>
        <w:t>rtículo 1 del Decreto Ley Nº 14.632 de 24/03/1977, en cuanto a la presentación por parte de los proveedores de los certificados que acrediten que se encuentran al día con el pago de sus obligaciones correspondientes a DGI y BPS, quedando constancia de dicha verificación en el respectivo expediente.</w:t>
      </w:r>
      <w:bookmarkStart w:id="32" w:name="_Toc360717274"/>
    </w:p>
    <w:bookmarkEnd w:id="32"/>
    <w:p w:rsidR="00D86D93" w:rsidRPr="00411414" w:rsidRDefault="00D86D93" w:rsidP="00411414">
      <w:pPr>
        <w:spacing w:after="0" w:line="360" w:lineRule="auto"/>
        <w:rPr>
          <w:rFonts w:ascii="Arial" w:hAnsi="Arial" w:cs="Arial"/>
          <w:b/>
          <w:sz w:val="24"/>
          <w:szCs w:val="24"/>
          <w:lang w:val="es-ES_tradnl" w:eastAsia="es-ES"/>
        </w:rPr>
      </w:pPr>
    </w:p>
    <w:p w:rsidR="00D86D93" w:rsidRDefault="00D86D93" w:rsidP="00411414">
      <w:pPr>
        <w:pStyle w:val="Ttulo2"/>
        <w:spacing w:before="0" w:line="360" w:lineRule="auto"/>
        <w:rPr>
          <w:rFonts w:ascii="Arial" w:eastAsia="Times New Roman" w:hAnsi="Arial" w:cs="Arial"/>
          <w:color w:val="auto"/>
          <w:sz w:val="24"/>
          <w:szCs w:val="24"/>
          <w:lang w:val="es-ES" w:eastAsia="es-ES"/>
        </w:rPr>
      </w:pPr>
      <w:bookmarkStart w:id="33" w:name="_Toc168908155"/>
      <w:bookmarkStart w:id="34" w:name="_Toc360717268"/>
      <w:bookmarkStart w:id="35" w:name="_Toc395536873"/>
      <w:bookmarkStart w:id="36" w:name="_Toc425952242"/>
      <w:r w:rsidRPr="00411414">
        <w:rPr>
          <w:rFonts w:ascii="Arial" w:eastAsia="Times New Roman" w:hAnsi="Arial" w:cs="Arial"/>
          <w:color w:val="auto"/>
          <w:sz w:val="24"/>
          <w:szCs w:val="24"/>
          <w:lang w:val="es-ES" w:eastAsia="es-ES"/>
        </w:rPr>
        <w:t>2.3.2</w:t>
      </w:r>
      <w:r w:rsidRPr="00411414">
        <w:rPr>
          <w:rFonts w:ascii="Arial" w:eastAsia="Times New Roman" w:hAnsi="Arial" w:cs="Arial"/>
          <w:color w:val="auto"/>
          <w:sz w:val="24"/>
          <w:szCs w:val="24"/>
          <w:lang w:val="es-ES" w:eastAsia="es-ES"/>
        </w:rPr>
        <w:tab/>
        <w:t>Recomendaciones del ejercicio anterior</w:t>
      </w:r>
      <w:bookmarkEnd w:id="33"/>
      <w:r w:rsidRPr="00411414">
        <w:rPr>
          <w:rFonts w:ascii="Arial" w:eastAsia="Times New Roman" w:hAnsi="Arial" w:cs="Arial"/>
          <w:color w:val="auto"/>
          <w:sz w:val="24"/>
          <w:szCs w:val="24"/>
          <w:lang w:val="es-ES" w:eastAsia="es-ES"/>
        </w:rPr>
        <w:t xml:space="preserve"> no cumplidas</w:t>
      </w:r>
      <w:bookmarkEnd w:id="34"/>
      <w:bookmarkEnd w:id="35"/>
      <w:bookmarkEnd w:id="36"/>
    </w:p>
    <w:p w:rsidR="00D86D93" w:rsidRPr="00590E22" w:rsidRDefault="00D86D93" w:rsidP="00590E22">
      <w:pPr>
        <w:rPr>
          <w:lang w:val="es-ES" w:eastAsia="es-ES"/>
        </w:rPr>
      </w:pPr>
    </w:p>
    <w:p w:rsidR="00D86D93" w:rsidRPr="00411414" w:rsidRDefault="00D86D93" w:rsidP="00411414">
      <w:pPr>
        <w:pStyle w:val="Ttulo2"/>
        <w:spacing w:before="0" w:line="360" w:lineRule="auto"/>
        <w:rPr>
          <w:rFonts w:ascii="Arial" w:eastAsia="Times New Roman" w:hAnsi="Arial" w:cs="Arial"/>
          <w:color w:val="auto"/>
          <w:sz w:val="24"/>
          <w:szCs w:val="24"/>
          <w:lang w:val="es-ES" w:eastAsia="es-ES"/>
        </w:rPr>
      </w:pPr>
      <w:bookmarkStart w:id="37" w:name="_Toc395536874"/>
      <w:bookmarkStart w:id="38" w:name="_Toc425952243"/>
      <w:r w:rsidRPr="00411414">
        <w:rPr>
          <w:rFonts w:ascii="Arial" w:eastAsia="Times New Roman" w:hAnsi="Arial" w:cs="Arial"/>
          <w:color w:val="auto"/>
          <w:sz w:val="24"/>
          <w:szCs w:val="24"/>
          <w:lang w:val="es-ES" w:eastAsia="es-ES"/>
        </w:rPr>
        <w:t>2.3.2.1 Inventario de Bienes de Uso</w:t>
      </w:r>
      <w:bookmarkEnd w:id="37"/>
      <w:bookmarkEnd w:id="38"/>
    </w:p>
    <w:p w:rsidR="00D86D93" w:rsidRDefault="00D86D93" w:rsidP="00411414">
      <w:pPr>
        <w:spacing w:after="0" w:line="360" w:lineRule="auto"/>
        <w:jc w:val="both"/>
        <w:rPr>
          <w:rFonts w:ascii="Arial" w:eastAsia="Calibri" w:hAnsi="Arial" w:cs="Arial"/>
          <w:sz w:val="24"/>
          <w:szCs w:val="24"/>
          <w:lang w:val="es-ES" w:eastAsia="es-ES"/>
        </w:rPr>
      </w:pPr>
      <w:r w:rsidRPr="00411414">
        <w:rPr>
          <w:rFonts w:ascii="Arial" w:eastAsia="Calibri" w:hAnsi="Arial" w:cs="Arial"/>
          <w:sz w:val="24"/>
          <w:szCs w:val="24"/>
          <w:lang w:val="es-ES" w:eastAsia="es-ES"/>
        </w:rPr>
        <w:t>De acuerdo a lo dispuesto por el Artículo 97 del TOCAF, la Junta deberá implementar los procedimientos contables que permitan verificar la existencia de bienes de uso, los movimientos de los mismos y todos los registros necesarios para presenten la información exigida por la Ordenanza Nº 81.</w:t>
      </w:r>
    </w:p>
    <w:p w:rsidR="00D86D93" w:rsidRPr="00411414" w:rsidRDefault="00D86D93" w:rsidP="00411414">
      <w:pPr>
        <w:spacing w:after="0" w:line="360" w:lineRule="auto"/>
        <w:jc w:val="both"/>
        <w:rPr>
          <w:rFonts w:ascii="Arial" w:eastAsia="Calibri" w:hAnsi="Arial" w:cs="Arial"/>
          <w:sz w:val="24"/>
          <w:szCs w:val="24"/>
          <w:lang w:val="es-ES" w:eastAsia="es-ES"/>
        </w:rPr>
      </w:pPr>
    </w:p>
    <w:p w:rsidR="00D86D93" w:rsidRPr="00411414" w:rsidRDefault="00D86D93" w:rsidP="00411414">
      <w:pPr>
        <w:pStyle w:val="Ttulo2"/>
        <w:spacing w:before="0" w:line="360" w:lineRule="auto"/>
        <w:rPr>
          <w:rFonts w:ascii="Arial" w:eastAsia="Times New Roman" w:hAnsi="Arial" w:cs="Arial"/>
          <w:i/>
          <w:color w:val="auto"/>
          <w:kern w:val="18"/>
          <w:sz w:val="24"/>
          <w:szCs w:val="24"/>
          <w:lang w:val="es-ES" w:eastAsia="es-ES"/>
        </w:rPr>
      </w:pPr>
      <w:bookmarkStart w:id="39" w:name="_Toc360717270"/>
      <w:bookmarkStart w:id="40" w:name="_Toc395536875"/>
      <w:bookmarkStart w:id="41" w:name="_Toc425952244"/>
      <w:r w:rsidRPr="00411414">
        <w:rPr>
          <w:rFonts w:ascii="Arial" w:eastAsia="Times New Roman" w:hAnsi="Arial" w:cs="Arial"/>
          <w:color w:val="auto"/>
          <w:sz w:val="24"/>
          <w:szCs w:val="24"/>
          <w:lang w:val="es-ES" w:eastAsia="es-ES"/>
        </w:rPr>
        <w:t>2.3.2.2 Utilización de pasajes o pases libres por parte de los Sres. Ediles</w:t>
      </w:r>
      <w:bookmarkEnd w:id="39"/>
      <w:bookmarkEnd w:id="40"/>
      <w:bookmarkEnd w:id="41"/>
      <w:r w:rsidRPr="00411414">
        <w:rPr>
          <w:rFonts w:ascii="Arial" w:eastAsia="Times New Roman" w:hAnsi="Arial" w:cs="Arial"/>
          <w:color w:val="auto"/>
          <w:sz w:val="24"/>
          <w:szCs w:val="24"/>
          <w:lang w:val="es-ES" w:eastAsia="es-ES"/>
        </w:rPr>
        <w:t xml:space="preserve">  </w:t>
      </w:r>
    </w:p>
    <w:p w:rsidR="00D86D93" w:rsidRPr="00411414" w:rsidRDefault="00D86D93" w:rsidP="00411414">
      <w:pPr>
        <w:widowControl w:val="0"/>
        <w:spacing w:after="0" w:line="360" w:lineRule="auto"/>
        <w:jc w:val="both"/>
        <w:rPr>
          <w:rFonts w:ascii="Arial" w:eastAsia="Times New Roman" w:hAnsi="Arial" w:cs="Arial"/>
          <w:kern w:val="18"/>
          <w:sz w:val="24"/>
          <w:szCs w:val="24"/>
          <w:lang w:val="es-ES" w:eastAsia="es-ES"/>
        </w:rPr>
      </w:pPr>
      <w:r w:rsidRPr="00411414">
        <w:rPr>
          <w:rFonts w:ascii="Arial" w:eastAsia="Times New Roman" w:hAnsi="Arial" w:cs="Arial"/>
          <w:kern w:val="18"/>
          <w:sz w:val="24"/>
          <w:szCs w:val="24"/>
          <w:lang w:val="es-ES" w:eastAsia="es-ES"/>
        </w:rPr>
        <w:t>A efectos de dar cumplimiento a lo preceptuado por el Artículo 295 de la Constitución de la República, en cuanto al carácter honorario del cargo de Edil, la Junta Departamental deberá ajustarse a lo dispuesto por la Resolución de est</w:t>
      </w:r>
      <w:r w:rsidR="00935D8D">
        <w:rPr>
          <w:rFonts w:ascii="Arial" w:eastAsia="Times New Roman" w:hAnsi="Arial" w:cs="Arial"/>
          <w:kern w:val="18"/>
          <w:sz w:val="24"/>
          <w:szCs w:val="24"/>
          <w:lang w:val="es-ES" w:eastAsia="es-ES"/>
        </w:rPr>
        <w:t>e Tribunal de fecha 22/12/2010.</w:t>
      </w:r>
    </w:p>
    <w:p w:rsidR="00D86D93" w:rsidRPr="00411414" w:rsidRDefault="00D86D93" w:rsidP="00411414">
      <w:pPr>
        <w:pStyle w:val="Ttulo2"/>
        <w:spacing w:before="0" w:line="360" w:lineRule="auto"/>
        <w:jc w:val="both"/>
        <w:rPr>
          <w:rFonts w:ascii="Arial" w:eastAsia="Times New Roman" w:hAnsi="Arial" w:cs="Arial"/>
          <w:color w:val="auto"/>
          <w:sz w:val="24"/>
          <w:szCs w:val="24"/>
          <w:lang w:val="es-ES" w:eastAsia="es-ES"/>
        </w:rPr>
      </w:pPr>
      <w:bookmarkStart w:id="42" w:name="_Toc360717271"/>
      <w:bookmarkStart w:id="43" w:name="_Toc395536876"/>
      <w:bookmarkStart w:id="44" w:name="_Toc425952245"/>
      <w:r w:rsidRPr="00411414">
        <w:rPr>
          <w:rFonts w:ascii="Arial" w:eastAsia="Times New Roman" w:hAnsi="Arial" w:cs="Arial"/>
          <w:color w:val="auto"/>
          <w:sz w:val="24"/>
          <w:szCs w:val="24"/>
          <w:lang w:val="es-ES" w:eastAsia="es-ES"/>
        </w:rPr>
        <w:t>2.3.2.3 Artículo 94 del TOCAF 2012 y Ordenanza Nº 81 del Tribunal de Cuentas</w:t>
      </w:r>
      <w:bookmarkEnd w:id="42"/>
      <w:bookmarkEnd w:id="43"/>
      <w:bookmarkEnd w:id="44"/>
    </w:p>
    <w:p w:rsidR="00D86D93" w:rsidRPr="00411414" w:rsidRDefault="00D86D93" w:rsidP="00411414">
      <w:pPr>
        <w:widowControl w:val="0"/>
        <w:spacing w:after="0" w:line="360" w:lineRule="auto"/>
        <w:jc w:val="both"/>
        <w:rPr>
          <w:rFonts w:ascii="Arial" w:eastAsia="Times New Roman" w:hAnsi="Arial" w:cs="Arial"/>
          <w:kern w:val="18"/>
          <w:sz w:val="24"/>
          <w:szCs w:val="24"/>
          <w:lang w:val="es-ES" w:eastAsia="es-ES"/>
        </w:rPr>
      </w:pPr>
      <w:r w:rsidRPr="00411414">
        <w:rPr>
          <w:rFonts w:ascii="Arial" w:eastAsia="Times New Roman" w:hAnsi="Arial" w:cs="Arial"/>
          <w:kern w:val="18"/>
          <w:sz w:val="24"/>
          <w:szCs w:val="24"/>
          <w:lang w:val="es-ES" w:eastAsia="es-ES"/>
        </w:rPr>
        <w:t>Se deben presentar por parte de la Junta Departamental, los estados contables previstos por la citada Ordenanza.</w:t>
      </w:r>
    </w:p>
    <w:p w:rsidR="00D86D93" w:rsidRPr="00411414" w:rsidRDefault="00D86D93" w:rsidP="00411414">
      <w:pPr>
        <w:widowControl w:val="0"/>
        <w:spacing w:after="0" w:line="360" w:lineRule="auto"/>
        <w:jc w:val="both"/>
        <w:rPr>
          <w:rFonts w:ascii="Arial" w:eastAsia="Times New Roman" w:hAnsi="Arial" w:cs="Arial"/>
          <w:kern w:val="18"/>
          <w:sz w:val="24"/>
          <w:szCs w:val="24"/>
          <w:lang w:val="es-ES" w:eastAsia="es-ES"/>
        </w:rPr>
      </w:pPr>
    </w:p>
    <w:p w:rsidR="00D86D93" w:rsidRPr="00411414" w:rsidRDefault="00D86D93" w:rsidP="00411414">
      <w:pPr>
        <w:widowControl w:val="0"/>
        <w:spacing w:after="0" w:line="360" w:lineRule="auto"/>
        <w:jc w:val="both"/>
        <w:rPr>
          <w:rFonts w:ascii="Arial" w:eastAsia="Times New Roman" w:hAnsi="Arial" w:cs="Arial"/>
          <w:b/>
          <w:kern w:val="18"/>
          <w:sz w:val="24"/>
          <w:szCs w:val="24"/>
          <w:lang w:val="es-ES" w:eastAsia="es-ES"/>
        </w:rPr>
      </w:pPr>
      <w:r w:rsidRPr="00411414">
        <w:rPr>
          <w:rFonts w:ascii="Arial" w:eastAsia="Times New Roman" w:hAnsi="Arial" w:cs="Arial"/>
          <w:b/>
          <w:kern w:val="18"/>
          <w:sz w:val="24"/>
          <w:szCs w:val="24"/>
          <w:lang w:val="es-ES" w:eastAsia="es-ES"/>
        </w:rPr>
        <w:t>2.3.2.4 Compensaciones</w:t>
      </w:r>
    </w:p>
    <w:p w:rsidR="00D86D93" w:rsidRPr="00411414" w:rsidRDefault="00D86D93" w:rsidP="00411414">
      <w:pPr>
        <w:widowControl w:val="0"/>
        <w:spacing w:after="0" w:line="360" w:lineRule="auto"/>
        <w:jc w:val="both"/>
        <w:rPr>
          <w:rFonts w:ascii="Arial" w:eastAsia="Times New Roman" w:hAnsi="Arial" w:cs="Arial"/>
          <w:kern w:val="18"/>
          <w:sz w:val="24"/>
          <w:szCs w:val="24"/>
          <w:lang w:val="es-ES" w:eastAsia="es-ES"/>
        </w:rPr>
      </w:pPr>
      <w:r w:rsidRPr="00411414">
        <w:rPr>
          <w:rFonts w:ascii="Arial" w:eastAsia="Times New Roman" w:hAnsi="Arial" w:cs="Arial"/>
          <w:kern w:val="18"/>
          <w:sz w:val="24"/>
          <w:szCs w:val="24"/>
          <w:lang w:val="es-ES" w:eastAsia="es-ES"/>
        </w:rPr>
        <w:t xml:space="preserve">La Junta Departamental debe otorgar las compensaciones especiales, de acuerdo con el procedimiento establecido en el </w:t>
      </w:r>
      <w:r>
        <w:rPr>
          <w:rFonts w:ascii="Arial" w:eastAsia="Times New Roman" w:hAnsi="Arial" w:cs="Arial"/>
          <w:kern w:val="18"/>
          <w:sz w:val="24"/>
          <w:szCs w:val="24"/>
          <w:lang w:val="es-ES" w:eastAsia="es-ES"/>
        </w:rPr>
        <w:t>A</w:t>
      </w:r>
      <w:r w:rsidR="008617D6">
        <w:rPr>
          <w:rFonts w:ascii="Arial" w:eastAsia="Times New Roman" w:hAnsi="Arial" w:cs="Arial"/>
          <w:kern w:val="18"/>
          <w:sz w:val="24"/>
          <w:szCs w:val="24"/>
          <w:lang w:val="es-ES" w:eastAsia="es-ES"/>
        </w:rPr>
        <w:t>rtículo 13 del Decreto Nº</w:t>
      </w:r>
      <w:r w:rsidRPr="00411414">
        <w:rPr>
          <w:rFonts w:ascii="Arial" w:eastAsia="Times New Roman" w:hAnsi="Arial" w:cs="Arial"/>
          <w:kern w:val="18"/>
          <w:sz w:val="24"/>
          <w:szCs w:val="24"/>
          <w:lang w:val="es-ES" w:eastAsia="es-ES"/>
        </w:rPr>
        <w:t>2263</w:t>
      </w:r>
      <w:r w:rsidR="008617D6">
        <w:rPr>
          <w:rFonts w:ascii="Arial" w:eastAsia="Times New Roman" w:hAnsi="Arial" w:cs="Arial"/>
          <w:kern w:val="18"/>
          <w:sz w:val="24"/>
          <w:szCs w:val="24"/>
          <w:lang w:val="es-ES" w:eastAsia="es-ES"/>
        </w:rPr>
        <w:t>.</w:t>
      </w:r>
    </w:p>
    <w:p w:rsidR="00D86D93" w:rsidRDefault="00D86D93" w:rsidP="00411414">
      <w:pPr>
        <w:widowControl w:val="0"/>
        <w:spacing w:after="0" w:line="360" w:lineRule="auto"/>
        <w:jc w:val="both"/>
        <w:rPr>
          <w:rFonts w:ascii="Arial" w:eastAsia="Times New Roman" w:hAnsi="Arial" w:cs="Arial"/>
          <w:bCs/>
          <w:sz w:val="24"/>
          <w:szCs w:val="24"/>
          <w:lang w:val="es-MX" w:eastAsia="es-ES"/>
        </w:rPr>
      </w:pPr>
      <w:r w:rsidRPr="00411414">
        <w:rPr>
          <w:rFonts w:ascii="Arial" w:eastAsia="Times New Roman" w:hAnsi="Arial" w:cs="Arial"/>
          <w:sz w:val="24"/>
          <w:szCs w:val="24"/>
          <w:lang w:val="es-ES_tradnl" w:eastAsia="es-ES"/>
        </w:rPr>
        <w:t xml:space="preserve">           </w:t>
      </w:r>
      <w:r w:rsidRPr="00411414">
        <w:rPr>
          <w:rFonts w:ascii="Arial" w:eastAsia="Times New Roman" w:hAnsi="Arial" w:cs="Arial"/>
          <w:bCs/>
          <w:sz w:val="24"/>
          <w:szCs w:val="24"/>
          <w:lang w:val="es-MX" w:eastAsia="es-ES"/>
        </w:rPr>
        <w:t xml:space="preserve">                                                             Montevideo, 18 de agosto de 2015</w:t>
      </w:r>
    </w:p>
    <w:p w:rsidR="00D86D93" w:rsidRPr="00411414" w:rsidRDefault="00D86D93" w:rsidP="00411414">
      <w:pPr>
        <w:widowControl w:val="0"/>
        <w:spacing w:after="0" w:line="360" w:lineRule="auto"/>
        <w:jc w:val="both"/>
        <w:rPr>
          <w:rFonts w:ascii="Arial" w:eastAsia="Times New Roman" w:hAnsi="Arial" w:cs="Arial"/>
          <w:bCs/>
          <w:sz w:val="24"/>
          <w:szCs w:val="24"/>
          <w:lang w:val="es-MX" w:eastAsia="es-ES"/>
        </w:rPr>
      </w:pPr>
      <w:proofErr w:type="spellStart"/>
      <w:proofErr w:type="gramStart"/>
      <w:r>
        <w:rPr>
          <w:rFonts w:ascii="Arial" w:eastAsia="Times New Roman" w:hAnsi="Arial" w:cs="Arial"/>
          <w:bCs/>
          <w:sz w:val="24"/>
          <w:szCs w:val="24"/>
          <w:lang w:val="es-MX" w:eastAsia="es-ES"/>
        </w:rPr>
        <w:t>ag</w:t>
      </w:r>
      <w:proofErr w:type="spellEnd"/>
      <w:proofErr w:type="gramEnd"/>
    </w:p>
    <w:sectPr w:rsidR="00D86D93" w:rsidRPr="00411414" w:rsidSect="00020E65">
      <w:headerReference w:type="default" r:id="rId8"/>
      <w:footerReference w:type="even" r:id="rId9"/>
      <w:footerReference w:type="default" r:id="rId10"/>
      <w:pgSz w:w="11906" w:h="16838" w:code="9"/>
      <w:pgMar w:top="3062" w:right="1701" w:bottom="1134" w:left="1701" w:header="0" w:footer="0" w:gutter="0"/>
      <w:paperSrc w:first="4" w:other="4"/>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AA1" w:rsidRDefault="00A03AA1">
      <w:pPr>
        <w:spacing w:after="0" w:line="240" w:lineRule="auto"/>
      </w:pPr>
      <w:r>
        <w:separator/>
      </w:r>
    </w:p>
  </w:endnote>
  <w:endnote w:type="continuationSeparator" w:id="0">
    <w:p w:rsidR="00A03AA1" w:rsidRDefault="00A0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6C" w:rsidRDefault="003C15FF">
    <w:pPr>
      <w:framePr w:wrap="around" w:vAnchor="text" w:hAnchor="margin" w:xAlign="center" w:y="1"/>
    </w:pPr>
    <w:r>
      <w:fldChar w:fldCharType="begin"/>
    </w:r>
    <w:r>
      <w:instrText xml:space="preserve">PAGE  </w:instrText>
    </w:r>
    <w:r>
      <w:fldChar w:fldCharType="separate"/>
    </w:r>
    <w:r>
      <w:rPr>
        <w:noProof/>
      </w:rPr>
      <w:t>1</w:t>
    </w:r>
    <w:r>
      <w:fldChar w:fldCharType="end"/>
    </w:r>
  </w:p>
  <w:p w:rsidR="004B066C" w:rsidRDefault="008617D6">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6C" w:rsidRDefault="008617D6">
    <w:pPr>
      <w:pStyle w:val="Piedepgina"/>
      <w:framePr w:wrap="around" w:vAnchor="text" w:hAnchor="margin" w:xAlign="center" w:y="1"/>
      <w:rPr>
        <w:rStyle w:val="Nmerodepgina"/>
      </w:rPr>
    </w:pPr>
  </w:p>
  <w:p w:rsidR="004B066C" w:rsidRDefault="008617D6">
    <w:pPr>
      <w:framePr w:wrap="around" w:vAnchor="text" w:hAnchor="margin" w:xAlign="right" w:y="1"/>
    </w:pPr>
  </w:p>
  <w:p w:rsidR="004B066C" w:rsidRDefault="003C15FF">
    <w:pPr>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AA1" w:rsidRDefault="00A03AA1">
      <w:pPr>
        <w:spacing w:after="0" w:line="240" w:lineRule="auto"/>
      </w:pPr>
      <w:r>
        <w:separator/>
      </w:r>
    </w:p>
  </w:footnote>
  <w:footnote w:type="continuationSeparator" w:id="0">
    <w:p w:rsidR="00A03AA1" w:rsidRDefault="00A03A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6C" w:rsidRDefault="003C15FF">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DAD6E9B6"/>
    <w:name w:val="WW8Num2"/>
    <w:lvl w:ilvl="0">
      <w:start w:val="1"/>
      <w:numFmt w:val="decimal"/>
      <w:lvlText w:val="%1)"/>
      <w:lvlJc w:val="left"/>
      <w:pPr>
        <w:tabs>
          <w:tab w:val="num" w:pos="360"/>
        </w:tabs>
        <w:ind w:left="360" w:hanging="360"/>
      </w:pPr>
      <w:rPr>
        <w:rFonts w:ascii="Arial" w:hAnsi="Arial" w:cs="Arial" w:hint="default"/>
        <w:b/>
      </w:rPr>
    </w:lvl>
  </w:abstractNum>
  <w:abstractNum w:abstractNumId="1">
    <w:nsid w:val="1F2A4E2A"/>
    <w:multiLevelType w:val="hybridMultilevel"/>
    <w:tmpl w:val="843C7654"/>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418A1A43"/>
    <w:multiLevelType w:val="hybridMultilevel"/>
    <w:tmpl w:val="FB42977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5FF"/>
    <w:rsid w:val="00020E65"/>
    <w:rsid w:val="0004413A"/>
    <w:rsid w:val="0007098E"/>
    <w:rsid w:val="000C0CA3"/>
    <w:rsid w:val="00121B75"/>
    <w:rsid w:val="00142E99"/>
    <w:rsid w:val="00173303"/>
    <w:rsid w:val="001867F3"/>
    <w:rsid w:val="001A2107"/>
    <w:rsid w:val="001C55CB"/>
    <w:rsid w:val="001D1581"/>
    <w:rsid w:val="001D505F"/>
    <w:rsid w:val="002207BE"/>
    <w:rsid w:val="00246F74"/>
    <w:rsid w:val="0025791F"/>
    <w:rsid w:val="00271DBD"/>
    <w:rsid w:val="002C50F9"/>
    <w:rsid w:val="002E01A7"/>
    <w:rsid w:val="002E0C8C"/>
    <w:rsid w:val="0030561D"/>
    <w:rsid w:val="0035247A"/>
    <w:rsid w:val="003624F8"/>
    <w:rsid w:val="003A72E1"/>
    <w:rsid w:val="003A7AC1"/>
    <w:rsid w:val="003B38C8"/>
    <w:rsid w:val="003B55C2"/>
    <w:rsid w:val="003C15FF"/>
    <w:rsid w:val="003C7890"/>
    <w:rsid w:val="003C79FB"/>
    <w:rsid w:val="00411414"/>
    <w:rsid w:val="00425B9C"/>
    <w:rsid w:val="00440B3A"/>
    <w:rsid w:val="00443E28"/>
    <w:rsid w:val="00492DC5"/>
    <w:rsid w:val="004A7742"/>
    <w:rsid w:val="004C1495"/>
    <w:rsid w:val="00546D7B"/>
    <w:rsid w:val="00574C5C"/>
    <w:rsid w:val="00584006"/>
    <w:rsid w:val="00590E22"/>
    <w:rsid w:val="005E610C"/>
    <w:rsid w:val="006A0B64"/>
    <w:rsid w:val="00711F9A"/>
    <w:rsid w:val="007371F3"/>
    <w:rsid w:val="00750EB1"/>
    <w:rsid w:val="00760F1F"/>
    <w:rsid w:val="00785F79"/>
    <w:rsid w:val="0079136A"/>
    <w:rsid w:val="007C326C"/>
    <w:rsid w:val="007E497E"/>
    <w:rsid w:val="00822994"/>
    <w:rsid w:val="00845035"/>
    <w:rsid w:val="008617D6"/>
    <w:rsid w:val="008A2C71"/>
    <w:rsid w:val="008E21FB"/>
    <w:rsid w:val="008E4404"/>
    <w:rsid w:val="00935D8D"/>
    <w:rsid w:val="00955EC2"/>
    <w:rsid w:val="009722D4"/>
    <w:rsid w:val="00994DE2"/>
    <w:rsid w:val="009B1BEA"/>
    <w:rsid w:val="00A03AA1"/>
    <w:rsid w:val="00A92B73"/>
    <w:rsid w:val="00AD56B4"/>
    <w:rsid w:val="00B22859"/>
    <w:rsid w:val="00B62A66"/>
    <w:rsid w:val="00B8068A"/>
    <w:rsid w:val="00BF4F69"/>
    <w:rsid w:val="00C7234B"/>
    <w:rsid w:val="00C82732"/>
    <w:rsid w:val="00D03290"/>
    <w:rsid w:val="00D45840"/>
    <w:rsid w:val="00D473F4"/>
    <w:rsid w:val="00D736C1"/>
    <w:rsid w:val="00D86D93"/>
    <w:rsid w:val="00D87AA2"/>
    <w:rsid w:val="00DB69B0"/>
    <w:rsid w:val="00DE359D"/>
    <w:rsid w:val="00DF6207"/>
    <w:rsid w:val="00E263D6"/>
    <w:rsid w:val="00E56627"/>
    <w:rsid w:val="00FB361D"/>
    <w:rsid w:val="00FB61FB"/>
    <w:rsid w:val="00FF3D7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7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624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3C15FF"/>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semiHidden/>
    <w:rsid w:val="003C15FF"/>
    <w:rPr>
      <w:rFonts w:ascii="Calibri" w:eastAsia="Calibri" w:hAnsi="Calibri" w:cs="Times New Roman"/>
    </w:rPr>
  </w:style>
  <w:style w:type="character" w:styleId="Nmerodepgina">
    <w:name w:val="page number"/>
    <w:semiHidden/>
    <w:rsid w:val="003C15FF"/>
  </w:style>
  <w:style w:type="paragraph" w:styleId="TDC1">
    <w:name w:val="toc 1"/>
    <w:basedOn w:val="Normal"/>
    <w:next w:val="Normal"/>
    <w:autoRedefine/>
    <w:uiPriority w:val="39"/>
    <w:unhideWhenUsed/>
    <w:rsid w:val="003C15FF"/>
    <w:pPr>
      <w:spacing w:after="100"/>
    </w:pPr>
    <w:rPr>
      <w:rFonts w:ascii="Calibri" w:eastAsia="Calibri" w:hAnsi="Calibri" w:cs="Times New Roman"/>
    </w:rPr>
  </w:style>
  <w:style w:type="character" w:styleId="Hipervnculo">
    <w:name w:val="Hyperlink"/>
    <w:uiPriority w:val="99"/>
    <w:unhideWhenUsed/>
    <w:rsid w:val="003C15FF"/>
    <w:rPr>
      <w:color w:val="0000FF"/>
      <w:u w:val="single"/>
    </w:rPr>
  </w:style>
  <w:style w:type="paragraph" w:styleId="TDC2">
    <w:name w:val="toc 2"/>
    <w:basedOn w:val="Normal"/>
    <w:next w:val="Normal"/>
    <w:autoRedefine/>
    <w:uiPriority w:val="39"/>
    <w:unhideWhenUsed/>
    <w:rsid w:val="00822994"/>
    <w:pPr>
      <w:spacing w:after="100"/>
      <w:ind w:left="220"/>
    </w:pPr>
  </w:style>
  <w:style w:type="character" w:customStyle="1" w:styleId="Ttulo1Car">
    <w:name w:val="Título 1 Car"/>
    <w:basedOn w:val="Fuentedeprrafopredeter"/>
    <w:link w:val="Ttulo1"/>
    <w:uiPriority w:val="9"/>
    <w:rsid w:val="003C7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3624F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7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624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3C15FF"/>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semiHidden/>
    <w:rsid w:val="003C15FF"/>
    <w:rPr>
      <w:rFonts w:ascii="Calibri" w:eastAsia="Calibri" w:hAnsi="Calibri" w:cs="Times New Roman"/>
    </w:rPr>
  </w:style>
  <w:style w:type="character" w:styleId="Nmerodepgina">
    <w:name w:val="page number"/>
    <w:semiHidden/>
    <w:rsid w:val="003C15FF"/>
  </w:style>
  <w:style w:type="paragraph" w:styleId="TDC1">
    <w:name w:val="toc 1"/>
    <w:basedOn w:val="Normal"/>
    <w:next w:val="Normal"/>
    <w:autoRedefine/>
    <w:uiPriority w:val="39"/>
    <w:unhideWhenUsed/>
    <w:rsid w:val="003C15FF"/>
    <w:pPr>
      <w:spacing w:after="100"/>
    </w:pPr>
    <w:rPr>
      <w:rFonts w:ascii="Calibri" w:eastAsia="Calibri" w:hAnsi="Calibri" w:cs="Times New Roman"/>
    </w:rPr>
  </w:style>
  <w:style w:type="character" w:styleId="Hipervnculo">
    <w:name w:val="Hyperlink"/>
    <w:uiPriority w:val="99"/>
    <w:unhideWhenUsed/>
    <w:rsid w:val="003C15FF"/>
    <w:rPr>
      <w:color w:val="0000FF"/>
      <w:u w:val="single"/>
    </w:rPr>
  </w:style>
  <w:style w:type="paragraph" w:styleId="TDC2">
    <w:name w:val="toc 2"/>
    <w:basedOn w:val="Normal"/>
    <w:next w:val="Normal"/>
    <w:autoRedefine/>
    <w:uiPriority w:val="39"/>
    <w:unhideWhenUsed/>
    <w:rsid w:val="00822994"/>
    <w:pPr>
      <w:spacing w:after="100"/>
      <w:ind w:left="220"/>
    </w:pPr>
  </w:style>
  <w:style w:type="character" w:customStyle="1" w:styleId="Ttulo1Car">
    <w:name w:val="Título 1 Car"/>
    <w:basedOn w:val="Fuentedeprrafopredeter"/>
    <w:link w:val="Ttulo1"/>
    <w:uiPriority w:val="9"/>
    <w:rsid w:val="003C7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3624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1555</Words>
  <Characters>8557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Savecky</dc:creator>
  <cp:keywords/>
  <dc:description/>
  <cp:lastModifiedBy> </cp:lastModifiedBy>
  <cp:revision>6</cp:revision>
  <cp:lastPrinted>2015-09-18T15:09:00Z</cp:lastPrinted>
  <dcterms:created xsi:type="dcterms:W3CDTF">2015-09-18T15:09:00Z</dcterms:created>
  <dcterms:modified xsi:type="dcterms:W3CDTF">2015-10-08T20:36:00Z</dcterms:modified>
</cp:coreProperties>
</file>