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F0" w:rsidRPr="0066615E" w:rsidRDefault="002B6DF0">
      <w:pPr>
        <w:tabs>
          <w:tab w:val="center" w:pos="4253"/>
        </w:tabs>
        <w:jc w:val="center"/>
        <w:rPr>
          <w:rFonts w:ascii="Arial" w:hAnsi="Arial" w:cs="Arial"/>
          <w:b/>
          <w:lang w:val="es-ES_tradnl"/>
        </w:rPr>
      </w:pPr>
      <w:bookmarkStart w:id="0" w:name="_GoBack"/>
      <w:bookmarkEnd w:id="0"/>
      <w:r w:rsidRPr="0066615E">
        <w:rPr>
          <w:rFonts w:ascii="Arial" w:hAnsi="Arial" w:cs="Arial"/>
          <w:b/>
          <w:lang w:val="es-ES_tradnl"/>
        </w:rPr>
        <w:t>RESOLUCION ADOPTADA POR EL</w:t>
      </w:r>
    </w:p>
    <w:p w:rsidR="002B6DF0" w:rsidRPr="0066615E" w:rsidRDefault="002B6DF0">
      <w:pPr>
        <w:tabs>
          <w:tab w:val="left" w:pos="-720"/>
        </w:tabs>
        <w:jc w:val="center"/>
        <w:rPr>
          <w:rFonts w:ascii="Arial" w:hAnsi="Arial" w:cs="Arial"/>
          <w:b/>
          <w:lang w:val="es-ES_tradnl"/>
        </w:rPr>
      </w:pPr>
    </w:p>
    <w:p w:rsidR="002B6DF0" w:rsidRPr="0066615E" w:rsidRDefault="002B6DF0">
      <w:pPr>
        <w:tabs>
          <w:tab w:val="center" w:pos="4253"/>
        </w:tabs>
        <w:jc w:val="center"/>
        <w:rPr>
          <w:rFonts w:ascii="Arial" w:hAnsi="Arial" w:cs="Arial"/>
          <w:b/>
          <w:lang w:val="es-ES_tradnl"/>
        </w:rPr>
      </w:pPr>
      <w:r w:rsidRPr="0066615E">
        <w:rPr>
          <w:rFonts w:ascii="Arial" w:hAnsi="Arial" w:cs="Arial"/>
          <w:b/>
          <w:lang w:val="es-ES_tradnl"/>
        </w:rPr>
        <w:t>TRIBUNAL DE CUENTAS</w:t>
      </w:r>
    </w:p>
    <w:p w:rsidR="002B6DF0" w:rsidRPr="0066615E" w:rsidRDefault="002B6DF0">
      <w:pPr>
        <w:tabs>
          <w:tab w:val="left" w:pos="-720"/>
        </w:tabs>
        <w:jc w:val="center"/>
        <w:rPr>
          <w:rFonts w:ascii="Arial" w:hAnsi="Arial" w:cs="Arial"/>
          <w:b/>
          <w:lang w:val="es-ES_tradnl"/>
        </w:rPr>
      </w:pPr>
    </w:p>
    <w:p w:rsidR="002B6DF0" w:rsidRPr="0066615E" w:rsidRDefault="002B6DF0">
      <w:pPr>
        <w:tabs>
          <w:tab w:val="center" w:pos="4253"/>
        </w:tabs>
        <w:jc w:val="center"/>
        <w:rPr>
          <w:rFonts w:ascii="Arial" w:hAnsi="Arial" w:cs="Arial"/>
          <w:b/>
          <w:lang w:val="es-ES_tradnl"/>
        </w:rPr>
      </w:pPr>
      <w:r w:rsidRPr="0066615E">
        <w:rPr>
          <w:rFonts w:ascii="Arial" w:hAnsi="Arial" w:cs="Arial"/>
          <w:b/>
          <w:lang w:val="es-ES_tradnl"/>
        </w:rPr>
        <w:t>EN SESION DE FECHA 9 DE SETIEMBRE DE 2015</w:t>
      </w:r>
    </w:p>
    <w:p w:rsidR="002B6DF0" w:rsidRPr="0066615E" w:rsidRDefault="002B6DF0">
      <w:pPr>
        <w:tabs>
          <w:tab w:val="center" w:pos="4253"/>
        </w:tabs>
        <w:jc w:val="center"/>
        <w:rPr>
          <w:rFonts w:ascii="Arial" w:hAnsi="Arial" w:cs="Arial"/>
          <w:b/>
          <w:lang w:val="es-ES_tradnl"/>
        </w:rPr>
      </w:pPr>
    </w:p>
    <w:p w:rsidR="002B6DF0" w:rsidRPr="0066615E" w:rsidRDefault="002B6DF0">
      <w:pPr>
        <w:tabs>
          <w:tab w:val="center" w:pos="4253"/>
        </w:tabs>
        <w:jc w:val="center"/>
        <w:rPr>
          <w:rFonts w:ascii="Arial" w:hAnsi="Arial" w:cs="Arial"/>
          <w:b/>
          <w:lang w:val="es-AR"/>
        </w:rPr>
      </w:pPr>
      <w:r w:rsidRPr="0066615E">
        <w:rPr>
          <w:rFonts w:ascii="Arial" w:hAnsi="Arial" w:cs="Arial"/>
          <w:b/>
          <w:lang w:val="es-AR"/>
        </w:rPr>
        <w:t>(E. E. Nº</w:t>
      </w:r>
      <w:r w:rsidR="00FB3786" w:rsidRPr="0066615E">
        <w:rPr>
          <w:rFonts w:ascii="Arial" w:hAnsi="Arial" w:cs="Arial"/>
          <w:b/>
          <w:lang w:val="es-AR"/>
        </w:rPr>
        <w:t xml:space="preserve"> 2015-17-1-0004451, </w:t>
      </w:r>
      <w:proofErr w:type="spellStart"/>
      <w:r w:rsidR="00FB3786" w:rsidRPr="0066615E">
        <w:rPr>
          <w:rFonts w:ascii="Arial" w:hAnsi="Arial" w:cs="Arial"/>
          <w:b/>
          <w:lang w:val="es-AR"/>
        </w:rPr>
        <w:t>Ent</w:t>
      </w:r>
      <w:proofErr w:type="spellEnd"/>
      <w:r w:rsidR="00FB3786" w:rsidRPr="0066615E">
        <w:rPr>
          <w:rFonts w:ascii="Arial" w:hAnsi="Arial" w:cs="Arial"/>
          <w:b/>
          <w:lang w:val="es-AR"/>
        </w:rPr>
        <w:t>. N° 3637</w:t>
      </w:r>
      <w:r w:rsidRPr="0066615E">
        <w:rPr>
          <w:rFonts w:ascii="Arial" w:hAnsi="Arial" w:cs="Arial"/>
          <w:b/>
          <w:lang w:val="es-AR"/>
        </w:rPr>
        <w:t>/15)</w:t>
      </w:r>
    </w:p>
    <w:p w:rsidR="002B6DF0" w:rsidRPr="002B6DF0" w:rsidRDefault="002B6DF0">
      <w:pPr>
        <w:tabs>
          <w:tab w:val="center" w:pos="4253"/>
        </w:tabs>
        <w:jc w:val="center"/>
        <w:rPr>
          <w:rFonts w:ascii="Arial" w:hAnsi="Arial"/>
          <w:spacing w:val="-3"/>
          <w:lang w:val="es-AR"/>
        </w:rPr>
      </w:pPr>
    </w:p>
    <w:p w:rsidR="002B6DF0" w:rsidRPr="002B6DF0" w:rsidRDefault="002B6DF0">
      <w:pPr>
        <w:tabs>
          <w:tab w:val="center" w:pos="4253"/>
        </w:tabs>
        <w:rPr>
          <w:rFonts w:ascii="Arial" w:hAnsi="Arial"/>
          <w:spacing w:val="-3"/>
          <w:lang w:val="es-AR"/>
        </w:rPr>
      </w:pPr>
    </w:p>
    <w:p w:rsidR="002B6DF0" w:rsidRDefault="002B6DF0" w:rsidP="002B6DF0">
      <w:pPr>
        <w:spacing w:line="360" w:lineRule="auto"/>
        <w:ind w:firstLine="851"/>
        <w:jc w:val="both"/>
        <w:rPr>
          <w:rFonts w:ascii="Arial" w:eastAsia="Calibri" w:hAnsi="Arial" w:cs="Arial"/>
        </w:rPr>
      </w:pPr>
      <w:r>
        <w:rPr>
          <w:rFonts w:ascii="Arial" w:eastAsia="Calibri" w:hAnsi="Arial" w:cs="Arial"/>
          <w:b/>
        </w:rPr>
        <w:t>V</w:t>
      </w:r>
      <w:r w:rsidRPr="005F5B77">
        <w:rPr>
          <w:rFonts w:ascii="Arial" w:eastAsia="Calibri" w:hAnsi="Arial" w:cs="Arial"/>
          <w:b/>
        </w:rPr>
        <w:t>ISTO:</w:t>
      </w:r>
      <w:r w:rsidRPr="005F5B77">
        <w:rPr>
          <w:rFonts w:ascii="Arial" w:eastAsia="Calibri" w:hAnsi="Arial" w:cs="Arial"/>
        </w:rPr>
        <w:t xml:space="preserve"> la Rendición de Cuentas y Balance de Ejecución Presupuestal de la Junta Departamental</w:t>
      </w:r>
      <w:r>
        <w:rPr>
          <w:rFonts w:ascii="Arial" w:eastAsia="Calibri" w:hAnsi="Arial" w:cs="Arial"/>
        </w:rPr>
        <w:t xml:space="preserve"> de Colonia correspondiente al E</w:t>
      </w:r>
      <w:r w:rsidRPr="005F5B77">
        <w:rPr>
          <w:rFonts w:ascii="Arial" w:eastAsia="Calibri" w:hAnsi="Arial" w:cs="Arial"/>
        </w:rPr>
        <w:t>jercicio 201</w:t>
      </w:r>
      <w:r>
        <w:rPr>
          <w:rFonts w:ascii="Arial" w:eastAsia="Calibri" w:hAnsi="Arial" w:cs="Arial"/>
        </w:rPr>
        <w:t>4</w:t>
      </w:r>
      <w:r w:rsidRPr="005F5B77">
        <w:rPr>
          <w:rFonts w:ascii="Arial" w:eastAsia="Calibri" w:hAnsi="Arial" w:cs="Arial"/>
        </w:rPr>
        <w:t>;</w:t>
      </w:r>
    </w:p>
    <w:p w:rsidR="002B6DF0" w:rsidRDefault="002B6DF0" w:rsidP="002B6DF0">
      <w:pPr>
        <w:spacing w:line="360" w:lineRule="auto"/>
        <w:ind w:firstLine="851"/>
        <w:jc w:val="both"/>
        <w:rPr>
          <w:rFonts w:ascii="Arial" w:eastAsia="Calibri" w:hAnsi="Arial"/>
          <w:lang w:eastAsia="es-ES"/>
        </w:rPr>
      </w:pPr>
      <w:r w:rsidRPr="005F5B77">
        <w:rPr>
          <w:rFonts w:ascii="Arial" w:eastAsia="Calibri" w:hAnsi="Arial" w:cs="Arial"/>
          <w:b/>
        </w:rPr>
        <w:t xml:space="preserve">RESULTANDO: </w:t>
      </w:r>
      <w:r w:rsidRPr="005F5B77">
        <w:rPr>
          <w:rFonts w:ascii="Arial" w:eastAsia="Calibri" w:hAnsi="Arial"/>
          <w:lang w:eastAsia="es-ES"/>
        </w:rPr>
        <w:t>que el examen se efectuó de acuerdo con los Principios Fundamentales de Auditoría (ISSAI 100</w:t>
      </w:r>
      <w:r>
        <w:rPr>
          <w:rFonts w:ascii="Arial" w:eastAsia="Calibri" w:hAnsi="Arial"/>
          <w:lang w:eastAsia="es-ES"/>
        </w:rPr>
        <w:t xml:space="preserve"> y </w:t>
      </w:r>
      <w:r w:rsidRPr="005F5B77">
        <w:rPr>
          <w:rFonts w:ascii="Arial" w:eastAsia="Calibri" w:hAnsi="Arial"/>
          <w:lang w:eastAsia="es-ES"/>
        </w:rPr>
        <w:t xml:space="preserve">200) y las Directrices de Auditoría Financiera (ISSAI 1000 a </w:t>
      </w:r>
      <w:r>
        <w:rPr>
          <w:rFonts w:ascii="Arial" w:eastAsia="Calibri" w:hAnsi="Arial"/>
          <w:lang w:eastAsia="es-ES"/>
        </w:rPr>
        <w:t>1810</w:t>
      </w:r>
      <w:r w:rsidRPr="005F5B77">
        <w:rPr>
          <w:rFonts w:ascii="Arial" w:eastAsia="Calibri" w:hAnsi="Arial"/>
          <w:lang w:eastAsia="es-ES"/>
        </w:rPr>
        <w:t>) de la Organización Internacional de Entidades Fiscalizadoras Superiores (INTOSAI), habiéndose llevado a cabo los procedimientos considerados necesarios en las circunstancias;</w:t>
      </w:r>
    </w:p>
    <w:p w:rsidR="002B6DF0" w:rsidRDefault="002B6DF0" w:rsidP="002B6DF0">
      <w:pPr>
        <w:spacing w:line="360" w:lineRule="auto"/>
        <w:ind w:firstLine="851"/>
        <w:jc w:val="both"/>
        <w:rPr>
          <w:rFonts w:ascii="Arial" w:eastAsia="Calibri" w:hAnsi="Arial" w:cs="Arial"/>
        </w:rPr>
      </w:pPr>
      <w:r w:rsidRPr="005F5B77">
        <w:rPr>
          <w:rFonts w:ascii="Arial" w:eastAsia="Calibri" w:hAnsi="Arial" w:cs="Arial"/>
          <w:b/>
        </w:rPr>
        <w:t xml:space="preserve">CONSIDERANDO: </w:t>
      </w:r>
      <w:r w:rsidRPr="005F5B77">
        <w:rPr>
          <w:rFonts w:ascii="Arial" w:eastAsia="Calibri" w:hAnsi="Arial" w:cs="Arial"/>
        </w:rPr>
        <w:t>que las conclusiones y evidencias obtenidas son las que se expresan en el Informe de Auditoría, que incluye Dictamen e Informe a la Administración;</w:t>
      </w:r>
    </w:p>
    <w:p w:rsidR="002B6DF0" w:rsidRPr="005F5B77" w:rsidRDefault="002B6DF0" w:rsidP="002B6DF0">
      <w:pPr>
        <w:spacing w:line="360" w:lineRule="auto"/>
        <w:ind w:firstLine="851"/>
        <w:jc w:val="both"/>
        <w:rPr>
          <w:rFonts w:ascii="Arial" w:eastAsia="Calibri" w:hAnsi="Arial" w:cs="Arial"/>
        </w:rPr>
      </w:pPr>
      <w:r w:rsidRPr="005F5B77">
        <w:rPr>
          <w:rFonts w:ascii="Arial" w:eastAsia="Calibri" w:hAnsi="Arial" w:cs="Arial"/>
          <w:b/>
        </w:rPr>
        <w:t xml:space="preserve">ATENTO: </w:t>
      </w:r>
      <w:r>
        <w:rPr>
          <w:rFonts w:ascii="Arial" w:eastAsia="Calibri" w:hAnsi="Arial" w:cs="Arial"/>
        </w:rPr>
        <w:t>a lo dispuesto por el Artículo 211 Literal</w:t>
      </w:r>
      <w:r w:rsidRPr="005F5B77">
        <w:rPr>
          <w:rFonts w:ascii="Arial" w:eastAsia="Calibri" w:hAnsi="Arial" w:cs="Arial"/>
        </w:rPr>
        <w:t xml:space="preserve"> C) de la Constitución de la República;</w:t>
      </w:r>
    </w:p>
    <w:p w:rsidR="002B6DF0" w:rsidRPr="005F5B77" w:rsidRDefault="002B6DF0" w:rsidP="002B6DF0">
      <w:pPr>
        <w:spacing w:line="360" w:lineRule="auto"/>
        <w:jc w:val="center"/>
        <w:rPr>
          <w:rFonts w:ascii="Arial" w:hAnsi="Arial"/>
          <w:b/>
          <w:bCs/>
          <w:kern w:val="2"/>
          <w:szCs w:val="20"/>
          <w:lang w:val="es-ES_tradnl"/>
        </w:rPr>
      </w:pPr>
      <w:r w:rsidRPr="005F5B77">
        <w:rPr>
          <w:rFonts w:ascii="Arial" w:hAnsi="Arial"/>
          <w:b/>
          <w:bCs/>
          <w:kern w:val="2"/>
          <w:szCs w:val="20"/>
          <w:lang w:val="es-ES_tradnl"/>
        </w:rPr>
        <w:t>EL TRIBUNAL ACUERDA</w:t>
      </w:r>
    </w:p>
    <w:p w:rsidR="002B6DF0" w:rsidRPr="002B6DF0" w:rsidRDefault="002B6DF0" w:rsidP="002B6DF0">
      <w:pPr>
        <w:pStyle w:val="Prrafodelista"/>
        <w:numPr>
          <w:ilvl w:val="0"/>
          <w:numId w:val="1"/>
        </w:numPr>
        <w:tabs>
          <w:tab w:val="clear" w:pos="720"/>
        </w:tabs>
        <w:spacing w:line="360" w:lineRule="auto"/>
        <w:ind w:left="426" w:hanging="426"/>
        <w:jc w:val="both"/>
        <w:rPr>
          <w:rFonts w:ascii="Arial" w:eastAsia="Calibri" w:hAnsi="Arial" w:cs="Arial"/>
        </w:rPr>
      </w:pPr>
      <w:r w:rsidRPr="002B6DF0">
        <w:rPr>
          <w:rFonts w:ascii="Arial" w:eastAsia="Calibri" w:hAnsi="Arial" w:cs="Arial"/>
        </w:rPr>
        <w:t>Expedirse respecto de la Rendición de Cuentas y Balance de Ejecución P</w:t>
      </w:r>
      <w:r>
        <w:rPr>
          <w:rFonts w:ascii="Arial" w:eastAsia="Calibri" w:hAnsi="Arial" w:cs="Arial"/>
        </w:rPr>
        <w:t>resupuestal correspondiente al E</w:t>
      </w:r>
      <w:r w:rsidRPr="002B6DF0">
        <w:rPr>
          <w:rFonts w:ascii="Arial" w:eastAsia="Calibri" w:hAnsi="Arial" w:cs="Arial"/>
        </w:rPr>
        <w:t>jercicio 2014 de la Junta Departamental de Colonia, en los términos del Info</w:t>
      </w:r>
      <w:r>
        <w:rPr>
          <w:rFonts w:ascii="Arial" w:eastAsia="Calibri" w:hAnsi="Arial" w:cs="Arial"/>
        </w:rPr>
        <w:t>rme de Auditoría que se adjunta;</w:t>
      </w:r>
    </w:p>
    <w:p w:rsidR="002B6DF0" w:rsidRPr="005F5B77" w:rsidRDefault="002B6DF0" w:rsidP="002B6DF0">
      <w:pPr>
        <w:numPr>
          <w:ilvl w:val="0"/>
          <w:numId w:val="1"/>
        </w:numPr>
        <w:tabs>
          <w:tab w:val="clear" w:pos="720"/>
          <w:tab w:val="num" w:pos="360"/>
        </w:tabs>
        <w:spacing w:line="360" w:lineRule="auto"/>
        <w:ind w:left="360"/>
        <w:jc w:val="both"/>
        <w:rPr>
          <w:rFonts w:ascii="Arial" w:eastAsia="Calibri" w:hAnsi="Arial" w:cs="Arial"/>
        </w:rPr>
      </w:pPr>
      <w:r w:rsidRPr="005F5B77">
        <w:rPr>
          <w:rFonts w:ascii="Arial" w:eastAsia="Calibri" w:hAnsi="Arial" w:cs="Arial"/>
        </w:rPr>
        <w:t>Comunicar la presente Resol</w:t>
      </w:r>
      <w:r>
        <w:rPr>
          <w:rFonts w:ascii="Arial" w:eastAsia="Calibri" w:hAnsi="Arial" w:cs="Arial"/>
        </w:rPr>
        <w:t>ución a la</w:t>
      </w:r>
      <w:r w:rsidRPr="005F5B77">
        <w:rPr>
          <w:rFonts w:ascii="Arial" w:eastAsia="Calibri" w:hAnsi="Arial" w:cs="Arial"/>
        </w:rPr>
        <w:t xml:space="preserve"> Intendencia de Colonia y a la Contadora Delegada en la Junta Departamental</w:t>
      </w:r>
      <w:r>
        <w:rPr>
          <w:rFonts w:ascii="Arial" w:eastAsia="Calibri" w:hAnsi="Arial" w:cs="Arial"/>
        </w:rPr>
        <w:t>;</w:t>
      </w:r>
    </w:p>
    <w:p w:rsidR="002B6DF0" w:rsidRDefault="002B6DF0" w:rsidP="002B6DF0">
      <w:pPr>
        <w:numPr>
          <w:ilvl w:val="0"/>
          <w:numId w:val="1"/>
        </w:numPr>
        <w:tabs>
          <w:tab w:val="clear" w:pos="720"/>
          <w:tab w:val="num" w:pos="360"/>
        </w:tabs>
        <w:spacing w:line="360" w:lineRule="auto"/>
        <w:ind w:left="360"/>
        <w:jc w:val="both"/>
        <w:rPr>
          <w:rFonts w:ascii="Arial" w:eastAsia="Calibri" w:hAnsi="Arial" w:cs="Arial"/>
        </w:rPr>
      </w:pPr>
      <w:r w:rsidRPr="005F5B77">
        <w:rPr>
          <w:rFonts w:ascii="Arial" w:eastAsia="Calibri" w:hAnsi="Arial" w:cs="Arial"/>
        </w:rPr>
        <w:t>D</w:t>
      </w:r>
      <w:r>
        <w:rPr>
          <w:rFonts w:ascii="Arial" w:eastAsia="Calibri" w:hAnsi="Arial" w:cs="Arial"/>
        </w:rPr>
        <w:t>ar cuenta a la Asamblea General;</w:t>
      </w:r>
    </w:p>
    <w:p w:rsidR="002B6DF0" w:rsidRPr="002B6DF0" w:rsidRDefault="002B6DF0" w:rsidP="002B6DF0">
      <w:pPr>
        <w:numPr>
          <w:ilvl w:val="0"/>
          <w:numId w:val="1"/>
        </w:numPr>
        <w:tabs>
          <w:tab w:val="clear" w:pos="720"/>
          <w:tab w:val="num" w:pos="360"/>
        </w:tabs>
        <w:spacing w:line="360" w:lineRule="auto"/>
        <w:ind w:left="360"/>
        <w:jc w:val="both"/>
      </w:pPr>
      <w:r>
        <w:rPr>
          <w:rFonts w:ascii="Arial" w:eastAsia="Calibri" w:hAnsi="Arial" w:cs="Arial"/>
        </w:rPr>
        <w:t>Devolver los antecedentes.</w:t>
      </w:r>
    </w:p>
    <w:p w:rsidR="002B6DF0" w:rsidRDefault="002B6DF0" w:rsidP="002B6DF0">
      <w:pPr>
        <w:spacing w:line="360" w:lineRule="auto"/>
        <w:jc w:val="both"/>
        <w:rPr>
          <w:rFonts w:ascii="Arial" w:eastAsia="Calibri" w:hAnsi="Arial" w:cs="Arial"/>
        </w:rPr>
      </w:pPr>
    </w:p>
    <w:p w:rsidR="0066615E" w:rsidRDefault="0066615E" w:rsidP="002B6DF0">
      <w:pPr>
        <w:spacing w:line="360" w:lineRule="auto"/>
        <w:ind w:hanging="426"/>
        <w:jc w:val="both"/>
        <w:rPr>
          <w:rFonts w:ascii="Arial" w:eastAsia="Calibri" w:hAnsi="Arial" w:cs="Arial"/>
        </w:rPr>
      </w:pPr>
    </w:p>
    <w:p w:rsidR="0066615E" w:rsidRDefault="0066615E" w:rsidP="0066615E">
      <w:pPr>
        <w:pStyle w:val="Ttulo1"/>
        <w:numPr>
          <w:ilvl w:val="0"/>
          <w:numId w:val="2"/>
        </w:numPr>
        <w:jc w:val="center"/>
      </w:pPr>
      <w:bookmarkStart w:id="1" w:name="_Toc426380155"/>
      <w:r>
        <w:t>DICTAMEN</w:t>
      </w:r>
      <w:bookmarkEnd w:id="1"/>
    </w:p>
    <w:p w:rsidR="0066615E" w:rsidRDefault="0066615E">
      <w:pPr>
        <w:spacing w:line="360" w:lineRule="auto"/>
        <w:jc w:val="both"/>
        <w:rPr>
          <w:rFonts w:ascii="Arial" w:hAnsi="Arial" w:cs="Arial"/>
          <w:lang w:val="es-MX"/>
        </w:rPr>
      </w:pPr>
      <w:r>
        <w:rPr>
          <w:rFonts w:ascii="Arial" w:hAnsi="Arial" w:cs="Arial"/>
          <w:lang w:val="es-MX"/>
        </w:rPr>
        <w:t>El Tribunal de Cuentas ha examinado la Rendición de Cuentas y el Balance de Ejecución Presupuestal de la Junta Departamental de Colonia correspondiente al Ejercicio 2014, que incluye los siguientes estados: de ejecución presupuestal con relación a los créditos, de la evolución de las obligaciones presupuestales impagas y de los fondos indisponibles, así como otros estados complementarios.</w:t>
      </w:r>
    </w:p>
    <w:p w:rsidR="0066615E" w:rsidRDefault="0066615E" w:rsidP="0066615E">
      <w:pPr>
        <w:pStyle w:val="Subttulo"/>
        <w:rPr>
          <w:rFonts w:ascii="Arial" w:hAnsi="Arial"/>
          <w:b w:val="0"/>
        </w:rPr>
      </w:pPr>
      <w:r>
        <w:rPr>
          <w:rFonts w:ascii="Arial" w:hAnsi="Arial"/>
          <w:b w:val="0"/>
        </w:rPr>
        <w:t>También se presentan, en caso de corresponder, los incumplimientos legales constatados por el Tribunal de Cuentas en el curso de la auditoría efectuada.</w:t>
      </w:r>
    </w:p>
    <w:p w:rsidR="0066615E" w:rsidRDefault="0066615E">
      <w:pPr>
        <w:pStyle w:val="Subttulo"/>
        <w:rPr>
          <w:rFonts w:ascii="Arial" w:hAnsi="Arial"/>
          <w:bCs/>
        </w:rPr>
      </w:pPr>
    </w:p>
    <w:p w:rsidR="0066615E" w:rsidRDefault="0066615E">
      <w:pPr>
        <w:pStyle w:val="Subttulo"/>
        <w:rPr>
          <w:rFonts w:ascii="Arial" w:hAnsi="Arial"/>
          <w:bCs/>
        </w:rPr>
      </w:pPr>
      <w:r>
        <w:rPr>
          <w:rFonts w:ascii="Arial" w:hAnsi="Arial"/>
          <w:bCs/>
        </w:rPr>
        <w:t>Responsabilidad de la Junta Departamental</w:t>
      </w:r>
    </w:p>
    <w:p w:rsidR="0066615E" w:rsidRDefault="0066615E">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66615E" w:rsidRDefault="0066615E">
      <w:pPr>
        <w:pStyle w:val="Subttulo"/>
        <w:rPr>
          <w:rFonts w:ascii="Arial" w:hAnsi="Arial"/>
          <w:b w:val="0"/>
        </w:rPr>
      </w:pPr>
    </w:p>
    <w:p w:rsidR="0066615E" w:rsidRDefault="0066615E">
      <w:pPr>
        <w:pStyle w:val="Subttulo"/>
        <w:rPr>
          <w:rFonts w:ascii="Arial" w:hAnsi="Arial"/>
          <w:bCs/>
        </w:rPr>
      </w:pPr>
      <w:r>
        <w:rPr>
          <w:rFonts w:ascii="Arial" w:hAnsi="Arial"/>
          <w:bCs/>
        </w:rPr>
        <w:t>Responsabilidad del auditor</w:t>
      </w:r>
    </w:p>
    <w:p w:rsidR="0066615E" w:rsidRDefault="0066615E">
      <w:pPr>
        <w:suppressAutoHyphens w:val="0"/>
        <w:spacing w:line="360" w:lineRule="auto"/>
        <w:jc w:val="both"/>
        <w:rPr>
          <w:rFonts w:ascii="Arial" w:hAnsi="Arial"/>
          <w:kern w:val="1"/>
          <w:szCs w:val="20"/>
        </w:rPr>
      </w:pPr>
      <w:r>
        <w:rPr>
          <w:rFonts w:ascii="Arial" w:hAnsi="Arial"/>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Pr>
          <w:rFonts w:ascii="Arial" w:hAnsi="Arial"/>
          <w:kern w:val="1"/>
        </w:rPr>
        <w:t>(ISSAI 100 y 200)</w:t>
      </w:r>
      <w:r>
        <w:rPr>
          <w:rFonts w:ascii="Arial" w:hAnsi="Arial"/>
          <w:kern w:val="1"/>
          <w:szCs w:val="20"/>
        </w:rPr>
        <w:t xml:space="preserve"> y las Directrices de Auditoria Financiera </w:t>
      </w:r>
      <w:r>
        <w:rPr>
          <w:rFonts w:ascii="Arial" w:hAnsi="Arial"/>
          <w:kern w:val="1"/>
        </w:rPr>
        <w:t xml:space="preserve">(ISSAI 1000 a 1810) </w:t>
      </w:r>
      <w:r>
        <w:rPr>
          <w:rFonts w:ascii="Arial" w:hAnsi="Arial"/>
          <w:kern w:val="1"/>
          <w:szCs w:val="20"/>
        </w:rPr>
        <w:t>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66615E" w:rsidRDefault="0066615E">
      <w:pPr>
        <w:widowControl w:val="0"/>
        <w:suppressAutoHyphens w:val="0"/>
        <w:spacing w:line="360" w:lineRule="auto"/>
        <w:jc w:val="both"/>
        <w:rPr>
          <w:rFonts w:ascii="Arial" w:hAnsi="Arial"/>
          <w:kern w:val="1"/>
          <w:szCs w:val="20"/>
        </w:rPr>
      </w:pPr>
      <w:r>
        <w:rPr>
          <w:rFonts w:ascii="Arial" w:hAnsi="Arial"/>
          <w:kern w:val="1"/>
          <w:szCs w:val="20"/>
        </w:rPr>
        <w:t xml:space="preserve">Una auditoría implica realizar procedimientos para obtener evidencia acerca de </w:t>
      </w:r>
      <w:proofErr w:type="gramStart"/>
      <w:r>
        <w:rPr>
          <w:rFonts w:ascii="Arial" w:hAnsi="Arial"/>
          <w:kern w:val="1"/>
          <w:szCs w:val="20"/>
        </w:rPr>
        <w:t>los</w:t>
      </w:r>
      <w:proofErr w:type="gramEnd"/>
      <w:r>
        <w:rPr>
          <w:rFonts w:ascii="Arial" w:hAnsi="Arial"/>
          <w:kern w:val="1"/>
          <w:szCs w:val="20"/>
        </w:rPr>
        <w:t xml:space="preserve">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66615E" w:rsidRDefault="0066615E">
      <w:pPr>
        <w:widowControl w:val="0"/>
        <w:suppressAutoHyphens w:val="0"/>
        <w:spacing w:line="360" w:lineRule="auto"/>
        <w:jc w:val="both"/>
        <w:rPr>
          <w:rFonts w:ascii="Arial" w:hAnsi="Arial"/>
          <w:kern w:val="1"/>
          <w:szCs w:val="20"/>
        </w:rPr>
      </w:pPr>
      <w:r>
        <w:rPr>
          <w:rFonts w:ascii="Arial" w:hAnsi="Arial"/>
          <w:kern w:val="1"/>
          <w:szCs w:val="20"/>
        </w:rPr>
        <w:t>Se considera que la evidencia de auditoría obtenida brinda una base suficiente y apropiada para sustentar la opinión.</w:t>
      </w:r>
    </w:p>
    <w:p w:rsidR="0066615E" w:rsidRDefault="0066615E">
      <w:pPr>
        <w:pStyle w:val="Textoindependiente"/>
        <w:rPr>
          <w:lang w:val="es-ES"/>
        </w:rPr>
      </w:pPr>
    </w:p>
    <w:p w:rsidR="0066615E" w:rsidRDefault="0066615E">
      <w:pPr>
        <w:pStyle w:val="Textoindependiente"/>
        <w:spacing w:after="0" w:line="360" w:lineRule="auto"/>
        <w:rPr>
          <w:b/>
          <w:bCs/>
          <w:szCs w:val="24"/>
          <w:lang w:val="es-ES"/>
        </w:rPr>
      </w:pPr>
      <w:r>
        <w:rPr>
          <w:b/>
          <w:bCs/>
          <w:szCs w:val="24"/>
          <w:lang w:val="es-ES"/>
        </w:rPr>
        <w:t>Opinión</w:t>
      </w:r>
    </w:p>
    <w:p w:rsidR="0066615E" w:rsidRDefault="0066615E">
      <w:pPr>
        <w:pStyle w:val="Textoindependiente"/>
        <w:spacing w:after="0" w:line="360" w:lineRule="auto"/>
        <w:rPr>
          <w:szCs w:val="24"/>
          <w:lang w:val="es-ES"/>
        </w:rPr>
      </w:pPr>
      <w:r>
        <w:rPr>
          <w:szCs w:val="24"/>
          <w:lang w:val="es-ES"/>
        </w:rPr>
        <w:t>En opinión del Tribunal de Cuentas, los estados mencionados presentan razonablemente, en todos sus aspectos importantes, la ejecución presupuestal del Ejercicio 2014, la evolución de las obligaciones presupuestales impagas y los fondos indisponibles, de acuerdo a las normas establecidas en el TOCAF y la Resolución de este Tribunal de fecha 28/01/04.</w:t>
      </w:r>
    </w:p>
    <w:p w:rsidR="0066615E" w:rsidRDefault="0066615E">
      <w:pPr>
        <w:pStyle w:val="Subttulo"/>
        <w:rPr>
          <w:rFonts w:ascii="Arial" w:hAnsi="Arial" w:cs="Arial"/>
          <w:b w:val="0"/>
          <w:bCs/>
        </w:rPr>
      </w:pPr>
      <w:r>
        <w:rPr>
          <w:rFonts w:ascii="Arial" w:hAnsi="Arial" w:cs="Arial"/>
          <w:b w:val="0"/>
          <w:bCs/>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66615E" w:rsidRDefault="0066615E">
      <w:pPr>
        <w:spacing w:line="360" w:lineRule="auto"/>
        <w:jc w:val="both"/>
        <w:rPr>
          <w:rFonts w:ascii="Arial" w:hAnsi="Arial" w:cs="Arial"/>
        </w:rPr>
      </w:pPr>
      <w:r>
        <w:rPr>
          <w:rFonts w:ascii="Arial" w:hAnsi="Arial" w:cs="Arial"/>
          <w:b/>
          <w:bCs/>
        </w:rPr>
        <w:t>-Artículo 16 del TOCAF:</w:t>
      </w:r>
      <w:r>
        <w:rPr>
          <w:rFonts w:ascii="Arial" w:hAnsi="Arial" w:cs="Arial"/>
        </w:rPr>
        <w:t xml:space="preserve"> Durante el Ejercicio 2014 se realizaron imputaciones de gastos a objetos distintos a</w:t>
      </w:r>
      <w:r w:rsidR="0038099B">
        <w:rPr>
          <w:rFonts w:ascii="Arial" w:hAnsi="Arial" w:cs="Arial"/>
        </w:rPr>
        <w:t xml:space="preserve"> los que hubiera correspondido.</w:t>
      </w:r>
    </w:p>
    <w:p w:rsidR="0066615E" w:rsidRPr="00D73BE4" w:rsidRDefault="0066615E">
      <w:pPr>
        <w:spacing w:line="360" w:lineRule="auto"/>
        <w:jc w:val="both"/>
        <w:rPr>
          <w:rFonts w:ascii="Arial" w:hAnsi="Arial" w:cs="Arial"/>
          <w:bCs/>
        </w:rPr>
      </w:pPr>
      <w:r>
        <w:rPr>
          <w:rFonts w:ascii="Arial" w:hAnsi="Arial" w:cs="Arial"/>
          <w:b/>
          <w:bCs/>
        </w:rPr>
        <w:t>-</w:t>
      </w:r>
      <w:r w:rsidRPr="00D73BE4">
        <w:rPr>
          <w:rFonts w:ascii="Arial" w:hAnsi="Arial" w:cs="Arial"/>
          <w:b/>
          <w:bCs/>
        </w:rPr>
        <w:t xml:space="preserve">Artículo 21 del TOCAF: </w:t>
      </w:r>
      <w:r w:rsidRPr="00D73BE4">
        <w:rPr>
          <w:rFonts w:ascii="Arial" w:hAnsi="Arial" w:cs="Arial"/>
          <w:bCs/>
        </w:rPr>
        <w:t>Se realizaron pagos a provee</w:t>
      </w:r>
      <w:r>
        <w:rPr>
          <w:rFonts w:ascii="Arial" w:hAnsi="Arial" w:cs="Arial"/>
          <w:bCs/>
        </w:rPr>
        <w:t>dores de servicios</w:t>
      </w:r>
      <w:r w:rsidRPr="00D73BE4">
        <w:rPr>
          <w:rFonts w:ascii="Arial" w:hAnsi="Arial" w:cs="Arial"/>
          <w:bCs/>
        </w:rPr>
        <w:t xml:space="preserve">, los </w:t>
      </w:r>
      <w:proofErr w:type="gramStart"/>
      <w:r w:rsidRPr="00D73BE4">
        <w:rPr>
          <w:rFonts w:ascii="Arial" w:hAnsi="Arial" w:cs="Arial"/>
          <w:bCs/>
        </w:rPr>
        <w:t>cuales</w:t>
      </w:r>
      <w:proofErr w:type="gramEnd"/>
      <w:r w:rsidRPr="00D73BE4">
        <w:rPr>
          <w:rFonts w:ascii="Arial" w:hAnsi="Arial" w:cs="Arial"/>
          <w:bCs/>
        </w:rPr>
        <w:t xml:space="preserve"> carecían de contrato vigente</w:t>
      </w:r>
      <w:r>
        <w:rPr>
          <w:rFonts w:ascii="Arial" w:hAnsi="Arial" w:cs="Arial"/>
          <w:bCs/>
        </w:rPr>
        <w:t>, los cuales fueron observados por la Contadora Delegada.</w:t>
      </w:r>
    </w:p>
    <w:p w:rsidR="0066615E" w:rsidRDefault="0066615E">
      <w:pPr>
        <w:pStyle w:val="Nombredireccin"/>
        <w:spacing w:before="0" w:line="360" w:lineRule="auto"/>
        <w:rPr>
          <w:rFonts w:cs="Arial"/>
        </w:rPr>
      </w:pPr>
      <w:r>
        <w:rPr>
          <w:rFonts w:cs="Arial"/>
          <w:b/>
          <w:bCs/>
        </w:rPr>
        <w:t>-Artículo 102 del TOCAF:</w:t>
      </w:r>
      <w:r>
        <w:rPr>
          <w:rFonts w:cs="Arial"/>
        </w:rPr>
        <w:t xml:space="preserve"> Al momento de comprometerse los gastos no se realiza la afectación previa d</w:t>
      </w:r>
      <w:r w:rsidR="0038099B">
        <w:rPr>
          <w:rFonts w:cs="Arial"/>
        </w:rPr>
        <w:t>e los objetos correspondientes.</w:t>
      </w:r>
    </w:p>
    <w:p w:rsidR="0066615E" w:rsidRDefault="0066615E">
      <w:pPr>
        <w:spacing w:line="360" w:lineRule="auto"/>
        <w:jc w:val="both"/>
        <w:rPr>
          <w:rFonts w:ascii="Arial" w:hAnsi="Arial" w:cs="Arial"/>
        </w:rPr>
      </w:pPr>
      <w:r>
        <w:rPr>
          <w:rFonts w:ascii="Arial" w:hAnsi="Arial" w:cs="Arial"/>
          <w:b/>
        </w:rPr>
        <w:t>-</w:t>
      </w:r>
      <w:r w:rsidRPr="00A800AC">
        <w:rPr>
          <w:rFonts w:ascii="Arial" w:hAnsi="Arial" w:cs="Arial"/>
          <w:b/>
        </w:rPr>
        <w:t>Resolución del Tribunal de Cuentas de 22/12/10:</w:t>
      </w:r>
      <w:r w:rsidRPr="00A800AC">
        <w:rPr>
          <w:rFonts w:ascii="Arial" w:hAnsi="Arial" w:cs="Arial"/>
          <w:bCs/>
        </w:rPr>
        <w:t xml:space="preserve"> E</w:t>
      </w:r>
      <w:r w:rsidRPr="00A800AC">
        <w:rPr>
          <w:rFonts w:ascii="Arial" w:hAnsi="Arial" w:cs="Arial"/>
          <w:spacing w:val="-3"/>
        </w:rPr>
        <w:t>n el Dictamen de est</w:t>
      </w:r>
      <w:r>
        <w:rPr>
          <w:rFonts w:ascii="Arial" w:hAnsi="Arial" w:cs="Arial"/>
          <w:spacing w:val="-3"/>
        </w:rPr>
        <w:t>e Tribunal</w:t>
      </w:r>
      <w:r w:rsidRPr="00A800AC">
        <w:rPr>
          <w:rFonts w:ascii="Arial" w:hAnsi="Arial" w:cs="Arial"/>
          <w:spacing w:val="-3"/>
        </w:rPr>
        <w:t xml:space="preserve"> relativo a la Modificación Presupuestal 2014-2015 de la Junta</w:t>
      </w:r>
      <w:r>
        <w:rPr>
          <w:rFonts w:ascii="Arial" w:hAnsi="Arial" w:cs="Arial"/>
          <w:spacing w:val="-3"/>
        </w:rPr>
        <w:t xml:space="preserve"> Departamental de Colonia,</w:t>
      </w:r>
      <w:r>
        <w:rPr>
          <w:rFonts w:ascii="Arial" w:hAnsi="Arial" w:cs="Arial"/>
          <w:b/>
          <w:bCs/>
          <w:spacing w:val="-3"/>
        </w:rPr>
        <w:t xml:space="preserve"> </w:t>
      </w:r>
      <w:r>
        <w:rPr>
          <w:rFonts w:ascii="Arial" w:hAnsi="Arial" w:cs="Arial"/>
          <w:spacing w:val="-3"/>
        </w:rPr>
        <w:t>se observó el régimen de partidas que perciben los Sres. Ediles por concepto de resarcimiento de gastos de combustible. Asimismo, se observó por la no reglamentación de los gastos de pasajes y viáticos dentro del país para los mismos, siendo en ambos casos el motivo de las  observaciones el apartarse de lo dispuesto en la Resolución de este Tribunal de 22/12/10. Esta Resolución establece los extremos que deben controlarse en oportunidad de la intervención de partidas de los Sres. Ediles, a los efectos del control de lo dispuesto por el Artículo 295 de la Constitución de la República en cuanto preceptúa que “los cargos de miembros de Juntas Departamentales y Juntas Locales serán honorarios”. Dicha observaciones no fueron aceptadas por la Junta en esa oportunidad, remitiéndose los antecedentes a la Asamblea General a los efectos previstos en el Artículo 225 de la Constitución de la República</w:t>
      </w:r>
      <w:r>
        <w:rPr>
          <w:rFonts w:ascii="Arial" w:hAnsi="Arial" w:cs="Arial"/>
        </w:rPr>
        <w:t>.</w:t>
      </w:r>
      <w:r>
        <w:rPr>
          <w:rFonts w:ascii="Arial" w:hAnsi="Arial" w:cs="Arial"/>
          <w:spacing w:val="-3"/>
        </w:rPr>
        <w:t xml:space="preserve"> Posteriormente, se comunica la sanción del presupuesto, en razón de que la Asamblea General no resolvió las discrepancias dentro de los plazos constitucionales. Durante el Ejercicio 2014 se ejecutaron las partidas antes mencionadas</w:t>
      </w:r>
      <w:r>
        <w:rPr>
          <w:rFonts w:ascii="Arial" w:hAnsi="Arial" w:cs="Arial"/>
        </w:rPr>
        <w:t>.</w:t>
      </w:r>
    </w:p>
    <w:p w:rsidR="0066615E" w:rsidRPr="000E4006" w:rsidRDefault="0066615E">
      <w:pPr>
        <w:pStyle w:val="Encabezado1"/>
        <w:tabs>
          <w:tab w:val="left" w:pos="360"/>
        </w:tabs>
        <w:spacing w:line="360" w:lineRule="auto"/>
        <w:jc w:val="both"/>
        <w:rPr>
          <w:rFonts w:ascii="Arial" w:hAnsi="Arial" w:cs="Arial"/>
        </w:rPr>
      </w:pPr>
      <w:r>
        <w:rPr>
          <w:rFonts w:ascii="Arial" w:hAnsi="Arial" w:cs="Arial"/>
        </w:rPr>
        <w:t>Asimismo, durante el E</w:t>
      </w:r>
      <w:r w:rsidRPr="000E4006">
        <w:rPr>
          <w:rFonts w:ascii="Arial" w:hAnsi="Arial" w:cs="Arial"/>
        </w:rPr>
        <w:t xml:space="preserve">jercicio la Contadora Delegada observó gastos por incumplir con el </w:t>
      </w:r>
      <w:r>
        <w:rPr>
          <w:rFonts w:ascii="Arial" w:hAnsi="Arial" w:cs="Arial"/>
        </w:rPr>
        <w:t>A</w:t>
      </w:r>
      <w:r w:rsidRPr="000E4006">
        <w:rPr>
          <w:rFonts w:ascii="Arial" w:hAnsi="Arial" w:cs="Arial"/>
        </w:rPr>
        <w:t xml:space="preserve">rtículo 86 de la Constitución de la República y </w:t>
      </w:r>
      <w:r>
        <w:rPr>
          <w:rFonts w:ascii="Arial" w:hAnsi="Arial" w:cs="Arial"/>
        </w:rPr>
        <w:t>A</w:t>
      </w:r>
      <w:r w:rsidRPr="000E4006">
        <w:rPr>
          <w:rFonts w:ascii="Arial" w:hAnsi="Arial" w:cs="Arial"/>
        </w:rPr>
        <w:t>rtículos 15 y 21 del TOCAF, los que fueron reiterados por el Ordenador competente.</w:t>
      </w:r>
    </w:p>
    <w:p w:rsidR="0066615E" w:rsidRDefault="0066615E" w:rsidP="0066615E">
      <w:pPr>
        <w:pStyle w:val="Nombredireccin"/>
        <w:spacing w:before="0" w:line="360" w:lineRule="auto"/>
        <w:jc w:val="right"/>
        <w:rPr>
          <w:rFonts w:cs="Arial"/>
          <w:szCs w:val="24"/>
        </w:rPr>
      </w:pPr>
      <w:r w:rsidRPr="000E4006">
        <w:rPr>
          <w:rFonts w:cs="Arial"/>
          <w:szCs w:val="24"/>
        </w:rPr>
        <w:t>Montevideo,</w:t>
      </w:r>
      <w:r>
        <w:rPr>
          <w:rFonts w:cs="Arial"/>
          <w:szCs w:val="24"/>
        </w:rPr>
        <w:t xml:space="preserve"> 3 de agosto de 2015</w:t>
      </w:r>
    </w:p>
    <w:p w:rsidR="0066615E" w:rsidRDefault="0066615E" w:rsidP="0066615E"/>
    <w:p w:rsidR="0066615E" w:rsidRDefault="0066615E" w:rsidP="0066615E"/>
    <w:p w:rsidR="0066615E" w:rsidRDefault="0066615E" w:rsidP="0066615E">
      <w:pPr>
        <w:pStyle w:val="Ttulo1"/>
        <w:numPr>
          <w:ilvl w:val="0"/>
          <w:numId w:val="0"/>
        </w:numPr>
        <w:ind w:left="432"/>
        <w:jc w:val="center"/>
        <w:rPr>
          <w:rFonts w:cs="Arial"/>
        </w:rPr>
      </w:pPr>
      <w:bookmarkStart w:id="2" w:name="_Toc426380157"/>
      <w:r>
        <w:rPr>
          <w:rFonts w:cs="Arial"/>
        </w:rPr>
        <w:t>INFORME A LA ADMINISTRACIÓN</w:t>
      </w:r>
      <w:bookmarkEnd w:id="2"/>
    </w:p>
    <w:p w:rsidR="0066615E" w:rsidRDefault="0066615E">
      <w:pPr>
        <w:pStyle w:val="Textoindependiente21"/>
        <w:jc w:val="both"/>
        <w:rPr>
          <w:rFonts w:ascii="Arial" w:hAnsi="Arial" w:cs="Arial"/>
        </w:rPr>
      </w:pPr>
      <w:r>
        <w:rPr>
          <w:rFonts w:ascii="Arial" w:hAnsi="Arial" w:cs="Arial"/>
        </w:rPr>
        <w:t>El Tribunal de Cuentas ha examinado la Rendición de Cuentas y Balance de Ejecución Presupuestal correspondiente al Ejercicio 2014 y ha emitido su correspondiente Dictamen.</w:t>
      </w:r>
    </w:p>
    <w:p w:rsidR="0066615E" w:rsidRDefault="0066615E">
      <w:pPr>
        <w:pStyle w:val="Textoindependiente21"/>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66615E" w:rsidRDefault="0066615E" w:rsidP="0066615E">
      <w:pPr>
        <w:pStyle w:val="Ttulo2"/>
        <w:numPr>
          <w:ilvl w:val="1"/>
          <w:numId w:val="2"/>
        </w:numPr>
        <w:rPr>
          <w:rFonts w:cs="Arial"/>
        </w:rPr>
      </w:pPr>
    </w:p>
    <w:p w:rsidR="0066615E" w:rsidRDefault="0066615E" w:rsidP="0066615E">
      <w:pPr>
        <w:pStyle w:val="Ttulo2"/>
        <w:numPr>
          <w:ilvl w:val="1"/>
          <w:numId w:val="2"/>
        </w:numPr>
        <w:rPr>
          <w:rFonts w:cs="Arial"/>
        </w:rPr>
      </w:pPr>
      <w:bookmarkStart w:id="3" w:name="_Toc426380158"/>
      <w:r>
        <w:rPr>
          <w:rFonts w:cs="Arial"/>
        </w:rPr>
        <w:t>1 Situación en Materia de Fondos</w:t>
      </w:r>
      <w:bookmarkEnd w:id="3"/>
    </w:p>
    <w:p w:rsidR="0066615E" w:rsidRDefault="0066615E">
      <w:pPr>
        <w:pStyle w:val="Textoindependiente"/>
        <w:spacing w:after="0" w:line="360" w:lineRule="auto"/>
        <w:rPr>
          <w:rFonts w:cs="Arial"/>
          <w:szCs w:val="24"/>
          <w:lang w:val="es-ES"/>
        </w:rPr>
      </w:pPr>
      <w:r>
        <w:rPr>
          <w:rFonts w:cs="Arial"/>
          <w:szCs w:val="24"/>
          <w:lang w:val="es-ES"/>
        </w:rPr>
        <w:t>En base a los estados incluidos en la Rendición de Cuentas, se elaboró un resumen de la situación en materia de fondos de la Junta Departamental con relación a la Intendencia al 31/12/14 (en pesos uruguayos):</w:t>
      </w:r>
    </w:p>
    <w:p w:rsidR="0066615E" w:rsidRDefault="0066615E">
      <w:pPr>
        <w:spacing w:line="360" w:lineRule="auto"/>
        <w:jc w:val="both"/>
        <w:rPr>
          <w:rFonts w:ascii="Arial" w:hAnsi="Arial" w:cs="Arial"/>
        </w:rPr>
      </w:pPr>
    </w:p>
    <w:tbl>
      <w:tblPr>
        <w:tblW w:w="0" w:type="auto"/>
        <w:tblInd w:w="-20" w:type="dxa"/>
        <w:tblLayout w:type="fixed"/>
        <w:tblCellMar>
          <w:left w:w="0" w:type="dxa"/>
          <w:right w:w="0" w:type="dxa"/>
        </w:tblCellMar>
        <w:tblLook w:val="0000" w:firstRow="0" w:lastRow="0" w:firstColumn="0" w:lastColumn="0" w:noHBand="0" w:noVBand="0"/>
      </w:tblPr>
      <w:tblGrid>
        <w:gridCol w:w="4875"/>
        <w:gridCol w:w="1810"/>
        <w:gridCol w:w="1859"/>
      </w:tblGrid>
      <w:tr w:rsidR="0066615E">
        <w:trPr>
          <w:trHeight w:val="300"/>
        </w:trPr>
        <w:tc>
          <w:tcPr>
            <w:tcW w:w="4875" w:type="dxa"/>
            <w:shd w:val="clear" w:color="auto" w:fill="auto"/>
          </w:tcPr>
          <w:p w:rsidR="0066615E" w:rsidRDefault="0066615E">
            <w:pPr>
              <w:snapToGrid w:val="0"/>
              <w:spacing w:line="360" w:lineRule="auto"/>
              <w:rPr>
                <w:rFonts w:ascii="Arial" w:hAnsi="Arial" w:cs="Arial"/>
                <w:color w:val="000000"/>
              </w:rPr>
            </w:pPr>
            <w:r>
              <w:rPr>
                <w:rFonts w:ascii="Arial" w:hAnsi="Arial" w:cs="Arial"/>
                <w:color w:val="000000"/>
              </w:rPr>
              <w:t xml:space="preserve">Disponibilidades </w:t>
            </w:r>
          </w:p>
        </w:tc>
        <w:tc>
          <w:tcPr>
            <w:tcW w:w="1810" w:type="dxa"/>
            <w:shd w:val="clear" w:color="auto" w:fill="auto"/>
          </w:tcPr>
          <w:p w:rsidR="0066615E" w:rsidRDefault="0066615E">
            <w:pPr>
              <w:snapToGrid w:val="0"/>
              <w:spacing w:line="360" w:lineRule="auto"/>
              <w:jc w:val="center"/>
              <w:rPr>
                <w:rFonts w:ascii="Arial" w:eastAsia="Arial Unicode MS" w:hAnsi="Arial" w:cs="Arial"/>
                <w:color w:val="000000"/>
              </w:rPr>
            </w:pPr>
          </w:p>
        </w:tc>
        <w:tc>
          <w:tcPr>
            <w:tcW w:w="1859" w:type="dxa"/>
            <w:shd w:val="clear" w:color="auto" w:fill="auto"/>
          </w:tcPr>
          <w:p w:rsidR="0066615E" w:rsidRDefault="0066615E">
            <w:pPr>
              <w:snapToGrid w:val="0"/>
              <w:spacing w:line="360" w:lineRule="auto"/>
              <w:jc w:val="center"/>
              <w:rPr>
                <w:rFonts w:ascii="Arial" w:eastAsia="Arial Unicode MS" w:hAnsi="Arial" w:cs="Arial"/>
                <w:color w:val="000000"/>
              </w:rPr>
            </w:pPr>
            <w:r>
              <w:rPr>
                <w:rFonts w:ascii="Arial" w:eastAsia="Arial Unicode MS" w:hAnsi="Arial" w:cs="Arial"/>
                <w:color w:val="000000"/>
              </w:rPr>
              <w:t>10:624.704</w:t>
            </w:r>
          </w:p>
        </w:tc>
      </w:tr>
      <w:tr w:rsidR="0066615E">
        <w:trPr>
          <w:trHeight w:val="300"/>
        </w:trPr>
        <w:tc>
          <w:tcPr>
            <w:tcW w:w="4875" w:type="dxa"/>
            <w:shd w:val="clear" w:color="auto" w:fill="auto"/>
          </w:tcPr>
          <w:p w:rsidR="0066615E" w:rsidRDefault="0066615E">
            <w:pPr>
              <w:snapToGrid w:val="0"/>
              <w:spacing w:line="360" w:lineRule="auto"/>
              <w:rPr>
                <w:rFonts w:ascii="Arial" w:hAnsi="Arial" w:cs="Arial"/>
                <w:color w:val="000000"/>
              </w:rPr>
            </w:pPr>
            <w:r>
              <w:rPr>
                <w:rFonts w:ascii="Arial" w:hAnsi="Arial" w:cs="Arial"/>
                <w:color w:val="000000"/>
              </w:rPr>
              <w:t xml:space="preserve"> Menos: </w:t>
            </w:r>
          </w:p>
        </w:tc>
        <w:tc>
          <w:tcPr>
            <w:tcW w:w="1810" w:type="dxa"/>
            <w:shd w:val="clear" w:color="auto" w:fill="auto"/>
          </w:tcPr>
          <w:p w:rsidR="0066615E" w:rsidRDefault="0066615E">
            <w:pPr>
              <w:snapToGrid w:val="0"/>
              <w:spacing w:line="360" w:lineRule="auto"/>
              <w:jc w:val="right"/>
              <w:rPr>
                <w:rFonts w:ascii="Arial" w:eastAsia="Arial Unicode MS" w:hAnsi="Arial" w:cs="Arial"/>
              </w:rPr>
            </w:pPr>
          </w:p>
        </w:tc>
        <w:tc>
          <w:tcPr>
            <w:tcW w:w="1859" w:type="dxa"/>
            <w:shd w:val="clear" w:color="auto" w:fill="auto"/>
          </w:tcPr>
          <w:p w:rsidR="0066615E" w:rsidRDefault="0066615E">
            <w:pPr>
              <w:snapToGrid w:val="0"/>
              <w:spacing w:line="360" w:lineRule="auto"/>
              <w:jc w:val="right"/>
              <w:rPr>
                <w:rFonts w:ascii="Arial" w:eastAsia="Arial Unicode MS" w:hAnsi="Arial" w:cs="Arial"/>
              </w:rPr>
            </w:pPr>
          </w:p>
        </w:tc>
      </w:tr>
      <w:tr w:rsidR="0066615E">
        <w:trPr>
          <w:trHeight w:val="300"/>
        </w:trPr>
        <w:tc>
          <w:tcPr>
            <w:tcW w:w="4875" w:type="dxa"/>
            <w:shd w:val="clear" w:color="auto" w:fill="auto"/>
          </w:tcPr>
          <w:p w:rsidR="0066615E" w:rsidRDefault="0066615E">
            <w:pPr>
              <w:snapToGrid w:val="0"/>
              <w:spacing w:line="360" w:lineRule="auto"/>
              <w:rPr>
                <w:rFonts w:ascii="Arial" w:hAnsi="Arial" w:cs="Arial"/>
                <w:color w:val="000000"/>
              </w:rPr>
            </w:pPr>
            <w:r>
              <w:rPr>
                <w:rFonts w:ascii="Arial" w:hAnsi="Arial" w:cs="Arial"/>
                <w:color w:val="000000"/>
              </w:rPr>
              <w:t xml:space="preserve"> Obligaciones Presupuestales Impagas </w:t>
            </w:r>
          </w:p>
        </w:tc>
        <w:tc>
          <w:tcPr>
            <w:tcW w:w="1810" w:type="dxa"/>
            <w:shd w:val="clear" w:color="auto" w:fill="auto"/>
          </w:tcPr>
          <w:p w:rsidR="0066615E" w:rsidRDefault="0066615E">
            <w:pPr>
              <w:snapToGrid w:val="0"/>
              <w:spacing w:line="360" w:lineRule="auto"/>
              <w:jc w:val="center"/>
              <w:rPr>
                <w:rFonts w:ascii="Arial" w:hAnsi="Arial" w:cs="Arial"/>
                <w:color w:val="000000"/>
              </w:rPr>
            </w:pPr>
            <w:r>
              <w:rPr>
                <w:rFonts w:ascii="Arial" w:hAnsi="Arial" w:cs="Arial"/>
                <w:color w:val="000000"/>
              </w:rPr>
              <w:t>(429.350)</w:t>
            </w:r>
          </w:p>
        </w:tc>
        <w:tc>
          <w:tcPr>
            <w:tcW w:w="1859" w:type="dxa"/>
            <w:shd w:val="clear" w:color="auto" w:fill="auto"/>
          </w:tcPr>
          <w:p w:rsidR="0066615E" w:rsidRDefault="0066615E">
            <w:pPr>
              <w:snapToGrid w:val="0"/>
              <w:spacing w:line="360" w:lineRule="auto"/>
              <w:jc w:val="center"/>
              <w:rPr>
                <w:rFonts w:ascii="Arial" w:hAnsi="Arial" w:cs="Arial"/>
                <w:color w:val="000000"/>
              </w:rPr>
            </w:pPr>
          </w:p>
        </w:tc>
      </w:tr>
      <w:tr w:rsidR="0066615E">
        <w:trPr>
          <w:trHeight w:val="300"/>
        </w:trPr>
        <w:tc>
          <w:tcPr>
            <w:tcW w:w="4875" w:type="dxa"/>
            <w:shd w:val="clear" w:color="auto" w:fill="auto"/>
          </w:tcPr>
          <w:p w:rsidR="0066615E" w:rsidRDefault="0066615E">
            <w:pPr>
              <w:snapToGrid w:val="0"/>
              <w:spacing w:line="360" w:lineRule="auto"/>
              <w:rPr>
                <w:rFonts w:ascii="Arial" w:hAnsi="Arial" w:cs="Arial"/>
                <w:color w:val="000000"/>
              </w:rPr>
            </w:pPr>
            <w:r>
              <w:rPr>
                <w:rFonts w:ascii="Arial" w:hAnsi="Arial" w:cs="Arial"/>
                <w:color w:val="000000"/>
              </w:rPr>
              <w:t xml:space="preserve"> Indisponibles </w:t>
            </w:r>
          </w:p>
        </w:tc>
        <w:tc>
          <w:tcPr>
            <w:tcW w:w="1810" w:type="dxa"/>
            <w:tcBorders>
              <w:bottom w:val="single" w:sz="4" w:space="0" w:color="000000"/>
            </w:tcBorders>
            <w:shd w:val="clear" w:color="auto" w:fill="auto"/>
          </w:tcPr>
          <w:p w:rsidR="0066615E" w:rsidRDefault="0066615E">
            <w:pPr>
              <w:snapToGrid w:val="0"/>
              <w:spacing w:line="360" w:lineRule="auto"/>
              <w:jc w:val="center"/>
              <w:rPr>
                <w:rFonts w:ascii="Arial" w:hAnsi="Arial" w:cs="Arial"/>
                <w:color w:val="000000"/>
              </w:rPr>
            </w:pPr>
            <w:r>
              <w:rPr>
                <w:rFonts w:ascii="Arial" w:hAnsi="Arial" w:cs="Arial"/>
                <w:color w:val="000000"/>
              </w:rPr>
              <w:t>(611.655)</w:t>
            </w:r>
          </w:p>
        </w:tc>
        <w:tc>
          <w:tcPr>
            <w:tcW w:w="1859" w:type="dxa"/>
            <w:tcBorders>
              <w:bottom w:val="single" w:sz="4" w:space="0" w:color="000000"/>
            </w:tcBorders>
            <w:shd w:val="clear" w:color="auto" w:fill="auto"/>
          </w:tcPr>
          <w:p w:rsidR="0066615E" w:rsidRDefault="0066615E">
            <w:pPr>
              <w:snapToGrid w:val="0"/>
              <w:spacing w:line="360" w:lineRule="auto"/>
              <w:jc w:val="center"/>
              <w:rPr>
                <w:rFonts w:ascii="Arial" w:hAnsi="Arial" w:cs="Arial"/>
                <w:color w:val="000000"/>
              </w:rPr>
            </w:pPr>
            <w:r>
              <w:rPr>
                <w:rFonts w:ascii="Arial" w:hAnsi="Arial" w:cs="Arial"/>
                <w:color w:val="000000"/>
              </w:rPr>
              <w:t>(1:041.008)</w:t>
            </w:r>
          </w:p>
        </w:tc>
      </w:tr>
      <w:tr w:rsidR="0066615E">
        <w:trPr>
          <w:trHeight w:val="600"/>
        </w:trPr>
        <w:tc>
          <w:tcPr>
            <w:tcW w:w="4875" w:type="dxa"/>
            <w:shd w:val="clear" w:color="auto" w:fill="auto"/>
          </w:tcPr>
          <w:p w:rsidR="0066615E" w:rsidRDefault="0066615E">
            <w:pPr>
              <w:snapToGrid w:val="0"/>
              <w:spacing w:line="360" w:lineRule="auto"/>
              <w:rPr>
                <w:rFonts w:ascii="Arial" w:hAnsi="Arial" w:cs="Arial"/>
                <w:color w:val="000000"/>
              </w:rPr>
            </w:pPr>
            <w:r>
              <w:rPr>
                <w:rFonts w:ascii="Arial" w:hAnsi="Arial" w:cs="Arial"/>
                <w:color w:val="000000"/>
              </w:rPr>
              <w:t>Saldo adeudado por la Junta a la Intendencia</w:t>
            </w:r>
          </w:p>
        </w:tc>
        <w:tc>
          <w:tcPr>
            <w:tcW w:w="1810" w:type="dxa"/>
            <w:shd w:val="clear" w:color="auto" w:fill="auto"/>
          </w:tcPr>
          <w:p w:rsidR="0066615E" w:rsidRDefault="0066615E">
            <w:pPr>
              <w:snapToGrid w:val="0"/>
              <w:spacing w:line="360" w:lineRule="auto"/>
              <w:jc w:val="center"/>
              <w:rPr>
                <w:rFonts w:ascii="Arial" w:eastAsia="Arial Unicode MS" w:hAnsi="Arial" w:cs="Arial"/>
                <w:color w:val="000000"/>
              </w:rPr>
            </w:pPr>
          </w:p>
        </w:tc>
        <w:tc>
          <w:tcPr>
            <w:tcW w:w="1859" w:type="dxa"/>
            <w:shd w:val="clear" w:color="auto" w:fill="auto"/>
          </w:tcPr>
          <w:p w:rsidR="0066615E" w:rsidRDefault="0066615E">
            <w:pPr>
              <w:snapToGrid w:val="0"/>
              <w:spacing w:line="360" w:lineRule="auto"/>
              <w:jc w:val="center"/>
              <w:rPr>
                <w:rFonts w:ascii="Arial" w:eastAsia="Arial Unicode MS" w:hAnsi="Arial" w:cs="Arial"/>
                <w:color w:val="000000"/>
              </w:rPr>
            </w:pPr>
            <w:r>
              <w:rPr>
                <w:rFonts w:ascii="Arial" w:eastAsia="Arial Unicode MS" w:hAnsi="Arial" w:cs="Arial"/>
                <w:color w:val="000000"/>
              </w:rPr>
              <w:t>9:583.699</w:t>
            </w:r>
          </w:p>
        </w:tc>
      </w:tr>
    </w:tbl>
    <w:p w:rsidR="0066615E" w:rsidRDefault="0066615E">
      <w:pPr>
        <w:pStyle w:val="Textoindependiente"/>
      </w:pPr>
    </w:p>
    <w:p w:rsidR="0066615E" w:rsidRDefault="0066615E" w:rsidP="0066615E">
      <w:pPr>
        <w:pStyle w:val="Ttulo2"/>
        <w:numPr>
          <w:ilvl w:val="0"/>
          <w:numId w:val="0"/>
        </w:numPr>
        <w:spacing w:after="0"/>
        <w:ind w:left="576" w:hanging="576"/>
        <w:jc w:val="both"/>
        <w:rPr>
          <w:rFonts w:cs="Arial"/>
        </w:rPr>
      </w:pPr>
      <w:bookmarkStart w:id="4" w:name="_Toc426380159"/>
      <w:r>
        <w:rPr>
          <w:rFonts w:cs="Arial"/>
        </w:rPr>
        <w:t>2. Incumplimiento de normas legales</w:t>
      </w:r>
      <w:bookmarkEnd w:id="4"/>
    </w:p>
    <w:p w:rsidR="0066615E" w:rsidRDefault="0066615E" w:rsidP="0066615E">
      <w:pPr>
        <w:pStyle w:val="Ttulo2"/>
        <w:numPr>
          <w:ilvl w:val="1"/>
          <w:numId w:val="2"/>
        </w:numPr>
        <w:spacing w:after="0"/>
        <w:jc w:val="both"/>
        <w:rPr>
          <w:rFonts w:cs="Arial"/>
        </w:rPr>
      </w:pPr>
      <w:bookmarkStart w:id="5" w:name="_Toc426380160"/>
      <w:r>
        <w:rPr>
          <w:rFonts w:cs="Arial"/>
        </w:rPr>
        <w:t>2.1 Imputación previa</w:t>
      </w:r>
      <w:bookmarkEnd w:id="5"/>
    </w:p>
    <w:p w:rsidR="0066615E" w:rsidRDefault="0066615E">
      <w:pPr>
        <w:spacing w:line="360" w:lineRule="auto"/>
        <w:jc w:val="both"/>
        <w:rPr>
          <w:rFonts w:ascii="Arial" w:hAnsi="Arial" w:cs="Arial"/>
          <w:bCs/>
        </w:rPr>
      </w:pPr>
      <w:r>
        <w:rPr>
          <w:rFonts w:ascii="Arial" w:hAnsi="Arial" w:cs="Arial"/>
        </w:rPr>
        <w:t>Los gastos autorizados en el Ejercicio no contaron con la imputación previa al objeto correspondiente (Artículo 102 del TOCAF). La falta de esta imputación no permite controlar el cumplimiento de lo dispuesto por el Artículo 15 del TOCAF, que establece que no podrán comprometerse gastos sin que exista crédito disponible</w:t>
      </w:r>
      <w:r>
        <w:rPr>
          <w:rFonts w:ascii="Arial" w:hAnsi="Arial" w:cs="Arial"/>
          <w:bCs/>
        </w:rPr>
        <w:t>.</w:t>
      </w:r>
    </w:p>
    <w:p w:rsidR="0066615E" w:rsidRDefault="0066615E">
      <w:pPr>
        <w:spacing w:line="360" w:lineRule="auto"/>
        <w:jc w:val="both"/>
        <w:rPr>
          <w:rFonts w:ascii="Arial" w:hAnsi="Arial" w:cs="Arial"/>
          <w:bCs/>
        </w:rPr>
      </w:pPr>
    </w:p>
    <w:p w:rsidR="0066615E" w:rsidRPr="00C570A1" w:rsidRDefault="0066615E" w:rsidP="0066615E">
      <w:pPr>
        <w:pStyle w:val="Ttulo2"/>
        <w:numPr>
          <w:ilvl w:val="1"/>
          <w:numId w:val="2"/>
        </w:numPr>
        <w:spacing w:after="0"/>
        <w:jc w:val="both"/>
        <w:rPr>
          <w:rFonts w:cs="Arial"/>
        </w:rPr>
      </w:pPr>
      <w:bookmarkStart w:id="6" w:name="_Toc426380161"/>
      <w:r>
        <w:rPr>
          <w:rFonts w:cs="Arial"/>
        </w:rPr>
        <w:t>3. Recomendaciones</w:t>
      </w:r>
      <w:bookmarkEnd w:id="6"/>
    </w:p>
    <w:p w:rsidR="0066615E" w:rsidRDefault="0066615E" w:rsidP="0066615E">
      <w:pPr>
        <w:pStyle w:val="Ttulo2"/>
        <w:numPr>
          <w:ilvl w:val="1"/>
          <w:numId w:val="2"/>
        </w:numPr>
        <w:jc w:val="both"/>
        <w:rPr>
          <w:rFonts w:cs="Arial"/>
        </w:rPr>
      </w:pPr>
      <w:bookmarkStart w:id="7" w:name="_Toc426380162"/>
      <w:r>
        <w:rPr>
          <w:rFonts w:cs="Arial"/>
        </w:rPr>
        <w:t>3.1 Recomendaciones del Ejercicio anterior no cumplidas</w:t>
      </w:r>
      <w:bookmarkEnd w:id="7"/>
    </w:p>
    <w:p w:rsidR="0066615E" w:rsidRDefault="0066615E" w:rsidP="0066615E">
      <w:pPr>
        <w:pStyle w:val="Ttulo2"/>
        <w:numPr>
          <w:ilvl w:val="1"/>
          <w:numId w:val="2"/>
        </w:numPr>
        <w:spacing w:after="0"/>
        <w:jc w:val="both"/>
        <w:rPr>
          <w:rFonts w:cs="Arial"/>
        </w:rPr>
      </w:pPr>
      <w:bookmarkStart w:id="8" w:name="_Toc426380163"/>
      <w:r>
        <w:rPr>
          <w:rFonts w:cs="Arial"/>
        </w:rPr>
        <w:t>3.1.1 Imputación previa</w:t>
      </w:r>
      <w:bookmarkEnd w:id="8"/>
    </w:p>
    <w:p w:rsidR="0066615E" w:rsidRDefault="0066615E">
      <w:pPr>
        <w:pStyle w:val="Textoindependiente"/>
        <w:spacing w:after="0" w:line="360" w:lineRule="auto"/>
        <w:rPr>
          <w:rFonts w:cs="Arial"/>
          <w:szCs w:val="24"/>
          <w:lang w:val="es-ES"/>
        </w:rPr>
      </w:pPr>
      <w:r>
        <w:rPr>
          <w:rFonts w:cs="Arial"/>
          <w:szCs w:val="24"/>
          <w:lang w:val="es-ES"/>
        </w:rPr>
        <w:t>El Legislativo Comunal deberá adoptar las medidas pertinentes a efectos de efectuar imputación previa y conocer la disponibilidad presupuestal del objeto antes de ordenar el gasto.</w:t>
      </w:r>
    </w:p>
    <w:p w:rsidR="0066615E" w:rsidRDefault="0066615E">
      <w:pPr>
        <w:pStyle w:val="Textoindependiente"/>
        <w:spacing w:after="0" w:line="360" w:lineRule="auto"/>
        <w:rPr>
          <w:rFonts w:cs="Arial"/>
          <w:szCs w:val="24"/>
          <w:lang w:val="es-ES"/>
        </w:rPr>
      </w:pPr>
    </w:p>
    <w:p w:rsidR="0066615E" w:rsidRDefault="0066615E" w:rsidP="0066615E">
      <w:pPr>
        <w:pStyle w:val="Ttulo2"/>
        <w:numPr>
          <w:ilvl w:val="1"/>
          <w:numId w:val="2"/>
        </w:numPr>
        <w:spacing w:after="0"/>
        <w:jc w:val="both"/>
      </w:pPr>
      <w:bookmarkStart w:id="9" w:name="_Toc426380164"/>
      <w:r>
        <w:t>3.1.2 Proceso del gasto</w:t>
      </w:r>
      <w:bookmarkEnd w:id="9"/>
    </w:p>
    <w:p w:rsidR="0066615E" w:rsidRDefault="0066615E">
      <w:pPr>
        <w:pStyle w:val="Textoindependiente"/>
        <w:spacing w:after="0" w:line="360" w:lineRule="auto"/>
        <w:rPr>
          <w:rFonts w:cs="Arial"/>
          <w:lang w:val="es-ES"/>
        </w:rPr>
      </w:pPr>
      <w:r>
        <w:rPr>
          <w:rFonts w:cs="Arial"/>
          <w:lang w:val="es-ES"/>
        </w:rPr>
        <w:t>Las órdenes de compra y las órdenes de pago deben tener numeración correlativa. Las órdenes de pago deben contener todos los elementos señalad</w:t>
      </w:r>
      <w:r w:rsidR="0038099B">
        <w:rPr>
          <w:rFonts w:cs="Arial"/>
          <w:lang w:val="es-ES"/>
        </w:rPr>
        <w:t>os en el Artículo 23 del TOCAF.</w:t>
      </w:r>
    </w:p>
    <w:p w:rsidR="0066615E" w:rsidRDefault="0066615E">
      <w:pPr>
        <w:pStyle w:val="Textoindependiente"/>
        <w:spacing w:after="0" w:line="360" w:lineRule="auto"/>
        <w:rPr>
          <w:rFonts w:cs="Arial"/>
          <w:szCs w:val="24"/>
          <w:lang w:val="es-ES"/>
        </w:rPr>
      </w:pPr>
    </w:p>
    <w:p w:rsidR="0066615E" w:rsidRPr="00C570A1" w:rsidRDefault="0066615E" w:rsidP="0066615E">
      <w:pPr>
        <w:pStyle w:val="Ttulo2"/>
        <w:numPr>
          <w:ilvl w:val="1"/>
          <w:numId w:val="2"/>
        </w:numPr>
        <w:spacing w:after="0"/>
        <w:jc w:val="both"/>
        <w:rPr>
          <w:rFonts w:cs="Arial"/>
        </w:rPr>
      </w:pPr>
      <w:bookmarkStart w:id="10" w:name="_Toc426380165"/>
      <w:r>
        <w:rPr>
          <w:rFonts w:cs="Arial"/>
        </w:rPr>
        <w:t>3.1.3 Partidas percibidas por los Ediles</w:t>
      </w:r>
      <w:bookmarkEnd w:id="10"/>
    </w:p>
    <w:p w:rsidR="0066615E" w:rsidRDefault="0066615E">
      <w:pPr>
        <w:pStyle w:val="Textoindependiente"/>
        <w:spacing w:after="0" w:line="360" w:lineRule="auto"/>
        <w:rPr>
          <w:rFonts w:cs="Arial"/>
        </w:rPr>
      </w:pPr>
      <w:r>
        <w:rPr>
          <w:rFonts w:cs="Arial"/>
        </w:rPr>
        <w:t>A efectos de verificar el cumplimiento de lo preceptuado por el Artículo 295 de la Constitución de la República, en cuanto al carácter honorario de la función de Edil, la Junta Departamental debe ajustarse a lo dispuesto por la Resolución de este Tribunal de 22 de diciembre de 2010, relativa al régimen de partidas que perciban los señores Ediles por concepto de reintegro de gastos.</w:t>
      </w:r>
    </w:p>
    <w:p w:rsidR="0066615E" w:rsidRDefault="0066615E">
      <w:pPr>
        <w:pStyle w:val="Ttulo-base"/>
        <w:keepNext w:val="0"/>
        <w:keepLines w:val="0"/>
        <w:spacing w:line="360" w:lineRule="auto"/>
        <w:jc w:val="right"/>
        <w:rPr>
          <w:rFonts w:cs="Arial"/>
          <w:lang w:val="es-ES"/>
        </w:rPr>
      </w:pPr>
      <w:r w:rsidRPr="004E43BA">
        <w:rPr>
          <w:rFonts w:cs="Arial"/>
          <w:lang w:val="es-ES"/>
        </w:rPr>
        <w:t>Montevideo, 3 de agosto de 2015</w:t>
      </w:r>
    </w:p>
    <w:p w:rsidR="0066615E" w:rsidRPr="0066615E" w:rsidRDefault="0066615E" w:rsidP="0066615E">
      <w:pPr>
        <w:pStyle w:val="Textoindependiente"/>
        <w:ind w:hanging="567"/>
        <w:rPr>
          <w:lang w:val="es-ES"/>
        </w:rPr>
      </w:pPr>
      <w:proofErr w:type="gramStart"/>
      <w:r>
        <w:rPr>
          <w:lang w:val="es-ES"/>
        </w:rPr>
        <w:t>dc</w:t>
      </w:r>
      <w:proofErr w:type="gramEnd"/>
    </w:p>
    <w:sectPr w:rsidR="0066615E" w:rsidRPr="0066615E" w:rsidSect="00FB3786">
      <w:pgSz w:w="11906" w:h="16838" w:code="9"/>
      <w:pgMar w:top="3402" w:right="1701" w:bottom="1701" w:left="1701"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C81A45CC"/>
    <w:name w:val="WW8Num2"/>
    <w:lvl w:ilvl="0">
      <w:start w:val="1"/>
      <w:numFmt w:val="decimal"/>
      <w:lvlText w:val="%1)"/>
      <w:lvlJc w:val="left"/>
      <w:pPr>
        <w:tabs>
          <w:tab w:val="num" w:pos="720"/>
        </w:tabs>
        <w:ind w:left="720" w:hanging="360"/>
      </w:pPr>
      <w:rPr>
        <w:rFonts w:ascii="Arial" w:eastAsia="Calibri" w:hAnsi="Arial" w:cs="Arial"/>
        <w:b/>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F0"/>
    <w:rsid w:val="002B6DF0"/>
    <w:rsid w:val="00330727"/>
    <w:rsid w:val="0038099B"/>
    <w:rsid w:val="0066615E"/>
    <w:rsid w:val="009D365A"/>
    <w:rsid w:val="00BF1BD7"/>
    <w:rsid w:val="00FB37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F0"/>
    <w:pPr>
      <w:suppressAutoHyphens/>
    </w:pPr>
    <w:rPr>
      <w:sz w:val="24"/>
      <w:szCs w:val="24"/>
      <w:lang w:val="es-ES" w:eastAsia="ar-SA"/>
    </w:rPr>
  </w:style>
  <w:style w:type="paragraph" w:styleId="Ttulo1">
    <w:name w:val="heading 1"/>
    <w:basedOn w:val="Normal"/>
    <w:next w:val="Normal"/>
    <w:link w:val="Ttulo1Car"/>
    <w:qFormat/>
    <w:rsid w:val="0066615E"/>
    <w:pPr>
      <w:numPr>
        <w:numId w:val="1"/>
      </w:numPr>
      <w:spacing w:after="180" w:line="360" w:lineRule="auto"/>
      <w:outlineLvl w:val="0"/>
    </w:pPr>
    <w:rPr>
      <w:rFonts w:ascii="Arial" w:hAnsi="Arial"/>
      <w:b/>
      <w:caps/>
      <w:kern w:val="1"/>
      <w:szCs w:val="20"/>
    </w:rPr>
  </w:style>
  <w:style w:type="paragraph" w:styleId="Ttulo2">
    <w:name w:val="heading 2"/>
    <w:basedOn w:val="Normal"/>
    <w:next w:val="Textoindependiente"/>
    <w:link w:val="Ttulo2Car"/>
    <w:qFormat/>
    <w:rsid w:val="0066615E"/>
    <w:pPr>
      <w:numPr>
        <w:ilvl w:val="1"/>
        <w:numId w:val="1"/>
      </w:numPr>
      <w:spacing w:after="170" w:line="360" w:lineRule="auto"/>
      <w:outlineLvl w:val="1"/>
    </w:pPr>
    <w:rPr>
      <w:rFonts w:ascii="Arial" w:hAnsi="Arial"/>
      <w:b/>
      <w:kern w:val="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DF0"/>
    <w:pPr>
      <w:ind w:left="720"/>
      <w:contextualSpacing/>
    </w:pPr>
  </w:style>
  <w:style w:type="character" w:customStyle="1" w:styleId="Ttulo1Car">
    <w:name w:val="Título 1 Car"/>
    <w:basedOn w:val="Fuentedeprrafopredeter"/>
    <w:link w:val="Ttulo1"/>
    <w:rsid w:val="0066615E"/>
    <w:rPr>
      <w:rFonts w:ascii="Arial" w:hAnsi="Arial"/>
      <w:b/>
      <w:caps/>
      <w:kern w:val="1"/>
      <w:sz w:val="24"/>
      <w:lang w:val="es-ES" w:eastAsia="ar-SA"/>
    </w:rPr>
  </w:style>
  <w:style w:type="paragraph" w:styleId="Textoindependiente">
    <w:name w:val="Body Text"/>
    <w:basedOn w:val="Normal"/>
    <w:link w:val="TextoindependienteCar"/>
    <w:rsid w:val="0066615E"/>
    <w:pPr>
      <w:spacing w:after="240" w:line="240" w:lineRule="atLeast"/>
      <w:jc w:val="both"/>
    </w:pPr>
    <w:rPr>
      <w:rFonts w:ascii="Arial" w:hAnsi="Arial"/>
      <w:kern w:val="1"/>
      <w:szCs w:val="20"/>
      <w:lang w:val="es-ES_tradnl"/>
    </w:rPr>
  </w:style>
  <w:style w:type="character" w:customStyle="1" w:styleId="TextoindependienteCar">
    <w:name w:val="Texto independiente Car"/>
    <w:basedOn w:val="Fuentedeprrafopredeter"/>
    <w:link w:val="Textoindependiente"/>
    <w:rsid w:val="0066615E"/>
    <w:rPr>
      <w:rFonts w:ascii="Arial" w:hAnsi="Arial"/>
      <w:kern w:val="1"/>
      <w:sz w:val="24"/>
      <w:lang w:val="es-ES_tradnl" w:eastAsia="ar-SA"/>
    </w:rPr>
  </w:style>
  <w:style w:type="paragraph" w:customStyle="1" w:styleId="Encabezado1">
    <w:name w:val="Encabezado1"/>
    <w:basedOn w:val="Normal"/>
    <w:next w:val="Textoindependiente"/>
    <w:rsid w:val="0066615E"/>
    <w:pPr>
      <w:tabs>
        <w:tab w:val="center" w:pos="4252"/>
        <w:tab w:val="right" w:pos="8504"/>
      </w:tabs>
    </w:pPr>
  </w:style>
  <w:style w:type="paragraph" w:styleId="Subttulo">
    <w:name w:val="Subtitle"/>
    <w:basedOn w:val="Normal"/>
    <w:next w:val="Textoindependiente"/>
    <w:link w:val="SubttuloCar"/>
    <w:qFormat/>
    <w:rsid w:val="0066615E"/>
    <w:pPr>
      <w:spacing w:line="360" w:lineRule="auto"/>
      <w:jc w:val="both"/>
    </w:pPr>
    <w:rPr>
      <w:rFonts w:ascii="Bookman Old Style" w:hAnsi="Bookman Old Style"/>
      <w:b/>
      <w:kern w:val="1"/>
      <w:szCs w:val="20"/>
    </w:rPr>
  </w:style>
  <w:style w:type="character" w:customStyle="1" w:styleId="SubttuloCar">
    <w:name w:val="Subtítulo Car"/>
    <w:basedOn w:val="Fuentedeprrafopredeter"/>
    <w:link w:val="Subttulo"/>
    <w:rsid w:val="0066615E"/>
    <w:rPr>
      <w:rFonts w:ascii="Bookman Old Style" w:hAnsi="Bookman Old Style"/>
      <w:b/>
      <w:kern w:val="1"/>
      <w:sz w:val="24"/>
      <w:lang w:val="es-ES" w:eastAsia="ar-SA"/>
    </w:rPr>
  </w:style>
  <w:style w:type="paragraph" w:customStyle="1" w:styleId="Nombredireccin">
    <w:name w:val="Nombre dirección"/>
    <w:basedOn w:val="Normal"/>
    <w:next w:val="Normal"/>
    <w:rsid w:val="0066615E"/>
    <w:pPr>
      <w:spacing w:before="220" w:line="240" w:lineRule="atLeast"/>
      <w:jc w:val="both"/>
    </w:pPr>
    <w:rPr>
      <w:rFonts w:ascii="Arial" w:hAnsi="Arial"/>
      <w:kern w:val="1"/>
      <w:szCs w:val="20"/>
    </w:rPr>
  </w:style>
  <w:style w:type="character" w:customStyle="1" w:styleId="Ttulo2Car">
    <w:name w:val="Título 2 Car"/>
    <w:basedOn w:val="Fuentedeprrafopredeter"/>
    <w:link w:val="Ttulo2"/>
    <w:rsid w:val="0066615E"/>
    <w:rPr>
      <w:rFonts w:ascii="Arial" w:hAnsi="Arial"/>
      <w:b/>
      <w:kern w:val="1"/>
      <w:sz w:val="24"/>
      <w:lang w:val="es-ES" w:eastAsia="ar-SA"/>
    </w:rPr>
  </w:style>
  <w:style w:type="paragraph" w:customStyle="1" w:styleId="Textoindependiente21">
    <w:name w:val="Texto independiente 21"/>
    <w:basedOn w:val="Normal"/>
    <w:rsid w:val="0066615E"/>
    <w:pPr>
      <w:spacing w:line="360" w:lineRule="auto"/>
    </w:pPr>
    <w:rPr>
      <w:rFonts w:ascii="Bookman Old Style" w:hAnsi="Bookman Old Style"/>
      <w:kern w:val="1"/>
      <w:szCs w:val="20"/>
    </w:rPr>
  </w:style>
  <w:style w:type="paragraph" w:customStyle="1" w:styleId="Ttulo-base">
    <w:name w:val="Título - base"/>
    <w:basedOn w:val="Textoindependiente"/>
    <w:next w:val="Textoindependiente"/>
    <w:rsid w:val="0066615E"/>
    <w:pPr>
      <w:keepNext/>
      <w:keepLines/>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F0"/>
    <w:pPr>
      <w:suppressAutoHyphens/>
    </w:pPr>
    <w:rPr>
      <w:sz w:val="24"/>
      <w:szCs w:val="24"/>
      <w:lang w:val="es-ES" w:eastAsia="ar-SA"/>
    </w:rPr>
  </w:style>
  <w:style w:type="paragraph" w:styleId="Ttulo1">
    <w:name w:val="heading 1"/>
    <w:basedOn w:val="Normal"/>
    <w:next w:val="Normal"/>
    <w:link w:val="Ttulo1Car"/>
    <w:qFormat/>
    <w:rsid w:val="0066615E"/>
    <w:pPr>
      <w:numPr>
        <w:numId w:val="1"/>
      </w:numPr>
      <w:spacing w:after="180" w:line="360" w:lineRule="auto"/>
      <w:outlineLvl w:val="0"/>
    </w:pPr>
    <w:rPr>
      <w:rFonts w:ascii="Arial" w:hAnsi="Arial"/>
      <w:b/>
      <w:caps/>
      <w:kern w:val="1"/>
      <w:szCs w:val="20"/>
    </w:rPr>
  </w:style>
  <w:style w:type="paragraph" w:styleId="Ttulo2">
    <w:name w:val="heading 2"/>
    <w:basedOn w:val="Normal"/>
    <w:next w:val="Textoindependiente"/>
    <w:link w:val="Ttulo2Car"/>
    <w:qFormat/>
    <w:rsid w:val="0066615E"/>
    <w:pPr>
      <w:numPr>
        <w:ilvl w:val="1"/>
        <w:numId w:val="1"/>
      </w:numPr>
      <w:spacing w:after="170" w:line="360" w:lineRule="auto"/>
      <w:outlineLvl w:val="1"/>
    </w:pPr>
    <w:rPr>
      <w:rFonts w:ascii="Arial" w:hAnsi="Arial"/>
      <w:b/>
      <w:kern w:val="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DF0"/>
    <w:pPr>
      <w:ind w:left="720"/>
      <w:contextualSpacing/>
    </w:pPr>
  </w:style>
  <w:style w:type="character" w:customStyle="1" w:styleId="Ttulo1Car">
    <w:name w:val="Título 1 Car"/>
    <w:basedOn w:val="Fuentedeprrafopredeter"/>
    <w:link w:val="Ttulo1"/>
    <w:rsid w:val="0066615E"/>
    <w:rPr>
      <w:rFonts w:ascii="Arial" w:hAnsi="Arial"/>
      <w:b/>
      <w:caps/>
      <w:kern w:val="1"/>
      <w:sz w:val="24"/>
      <w:lang w:val="es-ES" w:eastAsia="ar-SA"/>
    </w:rPr>
  </w:style>
  <w:style w:type="paragraph" w:styleId="Textoindependiente">
    <w:name w:val="Body Text"/>
    <w:basedOn w:val="Normal"/>
    <w:link w:val="TextoindependienteCar"/>
    <w:rsid w:val="0066615E"/>
    <w:pPr>
      <w:spacing w:after="240" w:line="240" w:lineRule="atLeast"/>
      <w:jc w:val="both"/>
    </w:pPr>
    <w:rPr>
      <w:rFonts w:ascii="Arial" w:hAnsi="Arial"/>
      <w:kern w:val="1"/>
      <w:szCs w:val="20"/>
      <w:lang w:val="es-ES_tradnl"/>
    </w:rPr>
  </w:style>
  <w:style w:type="character" w:customStyle="1" w:styleId="TextoindependienteCar">
    <w:name w:val="Texto independiente Car"/>
    <w:basedOn w:val="Fuentedeprrafopredeter"/>
    <w:link w:val="Textoindependiente"/>
    <w:rsid w:val="0066615E"/>
    <w:rPr>
      <w:rFonts w:ascii="Arial" w:hAnsi="Arial"/>
      <w:kern w:val="1"/>
      <w:sz w:val="24"/>
      <w:lang w:val="es-ES_tradnl" w:eastAsia="ar-SA"/>
    </w:rPr>
  </w:style>
  <w:style w:type="paragraph" w:customStyle="1" w:styleId="Encabezado1">
    <w:name w:val="Encabezado1"/>
    <w:basedOn w:val="Normal"/>
    <w:next w:val="Textoindependiente"/>
    <w:rsid w:val="0066615E"/>
    <w:pPr>
      <w:tabs>
        <w:tab w:val="center" w:pos="4252"/>
        <w:tab w:val="right" w:pos="8504"/>
      </w:tabs>
    </w:pPr>
  </w:style>
  <w:style w:type="paragraph" w:styleId="Subttulo">
    <w:name w:val="Subtitle"/>
    <w:basedOn w:val="Normal"/>
    <w:next w:val="Textoindependiente"/>
    <w:link w:val="SubttuloCar"/>
    <w:qFormat/>
    <w:rsid w:val="0066615E"/>
    <w:pPr>
      <w:spacing w:line="360" w:lineRule="auto"/>
      <w:jc w:val="both"/>
    </w:pPr>
    <w:rPr>
      <w:rFonts w:ascii="Bookman Old Style" w:hAnsi="Bookman Old Style"/>
      <w:b/>
      <w:kern w:val="1"/>
      <w:szCs w:val="20"/>
    </w:rPr>
  </w:style>
  <w:style w:type="character" w:customStyle="1" w:styleId="SubttuloCar">
    <w:name w:val="Subtítulo Car"/>
    <w:basedOn w:val="Fuentedeprrafopredeter"/>
    <w:link w:val="Subttulo"/>
    <w:rsid w:val="0066615E"/>
    <w:rPr>
      <w:rFonts w:ascii="Bookman Old Style" w:hAnsi="Bookman Old Style"/>
      <w:b/>
      <w:kern w:val="1"/>
      <w:sz w:val="24"/>
      <w:lang w:val="es-ES" w:eastAsia="ar-SA"/>
    </w:rPr>
  </w:style>
  <w:style w:type="paragraph" w:customStyle="1" w:styleId="Nombredireccin">
    <w:name w:val="Nombre dirección"/>
    <w:basedOn w:val="Normal"/>
    <w:next w:val="Normal"/>
    <w:rsid w:val="0066615E"/>
    <w:pPr>
      <w:spacing w:before="220" w:line="240" w:lineRule="atLeast"/>
      <w:jc w:val="both"/>
    </w:pPr>
    <w:rPr>
      <w:rFonts w:ascii="Arial" w:hAnsi="Arial"/>
      <w:kern w:val="1"/>
      <w:szCs w:val="20"/>
    </w:rPr>
  </w:style>
  <w:style w:type="character" w:customStyle="1" w:styleId="Ttulo2Car">
    <w:name w:val="Título 2 Car"/>
    <w:basedOn w:val="Fuentedeprrafopredeter"/>
    <w:link w:val="Ttulo2"/>
    <w:rsid w:val="0066615E"/>
    <w:rPr>
      <w:rFonts w:ascii="Arial" w:hAnsi="Arial"/>
      <w:b/>
      <w:kern w:val="1"/>
      <w:sz w:val="24"/>
      <w:lang w:val="es-ES" w:eastAsia="ar-SA"/>
    </w:rPr>
  </w:style>
  <w:style w:type="paragraph" w:customStyle="1" w:styleId="Textoindependiente21">
    <w:name w:val="Texto independiente 21"/>
    <w:basedOn w:val="Normal"/>
    <w:rsid w:val="0066615E"/>
    <w:pPr>
      <w:spacing w:line="360" w:lineRule="auto"/>
    </w:pPr>
    <w:rPr>
      <w:rFonts w:ascii="Bookman Old Style" w:hAnsi="Bookman Old Style"/>
      <w:kern w:val="1"/>
      <w:szCs w:val="20"/>
    </w:rPr>
  </w:style>
  <w:style w:type="paragraph" w:customStyle="1" w:styleId="Ttulo-base">
    <w:name w:val="Título - base"/>
    <w:basedOn w:val="Textoindependiente"/>
    <w:next w:val="Textoindependiente"/>
    <w:rsid w:val="0066615E"/>
    <w:pPr>
      <w:keepNext/>
      <w:keepLines/>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1360</Words>
  <Characters>7640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2015-09-11T19:12:00Z</cp:lastPrinted>
  <dcterms:created xsi:type="dcterms:W3CDTF">2015-09-10T20:37:00Z</dcterms:created>
  <dcterms:modified xsi:type="dcterms:W3CDTF">2015-09-30T19:40:00Z</dcterms:modified>
</cp:coreProperties>
</file>