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4F" w:rsidRPr="007714AD" w:rsidRDefault="0019274F" w:rsidP="001927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7714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9274F" w:rsidRPr="007714AD" w:rsidRDefault="0019274F" w:rsidP="0019274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9274F" w:rsidRPr="007714AD" w:rsidRDefault="0019274F" w:rsidP="001927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14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9274F" w:rsidRPr="007714AD" w:rsidRDefault="0019274F" w:rsidP="0019274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9274F" w:rsidRPr="007714AD" w:rsidRDefault="0019274F" w:rsidP="001927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14AD">
        <w:rPr>
          <w:rFonts w:ascii="Arial" w:hAnsi="Arial" w:cs="Arial"/>
          <w:b/>
          <w:sz w:val="24"/>
          <w:szCs w:val="24"/>
          <w:lang w:val="es-ES_tradnl"/>
        </w:rPr>
        <w:t>EN SESION DE FECHA 2 DE SETIEMBRE DE 2015</w:t>
      </w:r>
    </w:p>
    <w:p w:rsidR="0019274F" w:rsidRPr="007714AD" w:rsidRDefault="0019274F" w:rsidP="001927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9274F" w:rsidRPr="007714AD" w:rsidRDefault="0019274F" w:rsidP="001927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714AD">
        <w:rPr>
          <w:rFonts w:ascii="Arial" w:hAnsi="Arial" w:cs="Arial"/>
          <w:b/>
          <w:sz w:val="24"/>
          <w:szCs w:val="24"/>
          <w:lang w:val="es-AR"/>
        </w:rPr>
        <w:t xml:space="preserve">(E. E. Nº 2015-17-1-0005045, </w:t>
      </w:r>
      <w:proofErr w:type="spellStart"/>
      <w:r w:rsidRPr="007714AD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7714AD">
        <w:rPr>
          <w:rFonts w:ascii="Arial" w:hAnsi="Arial" w:cs="Arial"/>
          <w:b/>
          <w:sz w:val="24"/>
          <w:szCs w:val="24"/>
          <w:lang w:val="es-AR"/>
        </w:rPr>
        <w:t>. N° 4077/15)</w:t>
      </w:r>
    </w:p>
    <w:p w:rsidR="0019274F" w:rsidRPr="0019274F" w:rsidRDefault="0019274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19274F" w:rsidRDefault="006F4C77" w:rsidP="0019274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A92BE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VISTO</w:t>
      </w:r>
      <w:r w:rsidRPr="00D02B9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este Tribunal ha examinado el p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>royecto de Presupuesto</w:t>
      </w:r>
      <w:r w:rsidR="00596C3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Recursos,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Operativo, </w:t>
      </w:r>
      <w:r w:rsidR="00596C3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 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Operaciones Financieras e Inversiones para el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E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>jercicio 201</w:t>
      </w:r>
      <w:r w:rsidR="0044639C">
        <w:rPr>
          <w:rFonts w:ascii="Arial" w:eastAsia="Times New Roman" w:hAnsi="Arial" w:cs="Arial"/>
          <w:sz w:val="24"/>
          <w:szCs w:val="24"/>
          <w:lang w:val="es-ES_tradnl" w:eastAsia="es-ES"/>
        </w:rPr>
        <w:t>6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>, remitido por</w:t>
      </w:r>
      <w:r w:rsidR="00F66AC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el</w:t>
      </w:r>
      <w:r w:rsidRPr="00A92BE4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 Banco Central del Uruguay</w:t>
      </w:r>
      <w:r w:rsidR="00F66AC8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 (BCU)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>;</w:t>
      </w:r>
    </w:p>
    <w:p w:rsidR="0019274F" w:rsidRDefault="006F4C77" w:rsidP="0019274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A92BE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CONSIDERANDO</w:t>
      </w:r>
      <w:r w:rsidRPr="00D02B9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las conclusiones obtenidas son las que se expresan en el Dictamen que se adjunta;</w:t>
      </w:r>
    </w:p>
    <w:p w:rsidR="006F4C77" w:rsidRPr="00A92BE4" w:rsidRDefault="006F4C77" w:rsidP="0019274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A92BE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ATENTO</w:t>
      </w:r>
      <w:r w:rsidRPr="00D02B9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 lo dispuesto por los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Artículo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>s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211 </w:t>
      </w:r>
      <w:r w:rsidR="00796EC5">
        <w:rPr>
          <w:rFonts w:ascii="Arial" w:eastAsia="Times New Roman" w:hAnsi="Arial" w:cs="Arial"/>
          <w:sz w:val="24"/>
          <w:szCs w:val="24"/>
          <w:lang w:val="es-ES_tradnl" w:eastAsia="es-ES"/>
        </w:rPr>
        <w:t>L</w:t>
      </w:r>
      <w:r w:rsidR="00F66AC8">
        <w:rPr>
          <w:rFonts w:ascii="Arial" w:eastAsia="Times New Roman" w:hAnsi="Arial" w:cs="Arial"/>
          <w:sz w:val="24"/>
          <w:szCs w:val="24"/>
          <w:lang w:val="es-ES_tradnl" w:eastAsia="es-ES"/>
        </w:rPr>
        <w:t>iteral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A) y 221 de la Constitución de la República;</w:t>
      </w:r>
    </w:p>
    <w:p w:rsidR="006F4C77" w:rsidRPr="00A92BE4" w:rsidRDefault="006F4C77" w:rsidP="006F4C77">
      <w:pPr>
        <w:keepNext/>
        <w:tabs>
          <w:tab w:val="left" w:pos="-720"/>
          <w:tab w:val="left" w:pos="708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A92BE4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EL TRIBUNAL ACUERDA</w:t>
      </w:r>
    </w:p>
    <w:p w:rsidR="006F4C77" w:rsidRPr="00A92BE4" w:rsidRDefault="006F4C77" w:rsidP="0019274F">
      <w:p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E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1)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Emitir 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>su pronunciamiento respecto al p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royecto de </w:t>
      </w:r>
      <w:r w:rsidRPr="00A92BE4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Presupuesto</w:t>
      </w:r>
      <w:r w:rsidR="00596C31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 de Recursos, </w:t>
      </w:r>
      <w:r w:rsidRPr="00A92BE4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Operativo, de </w:t>
      </w:r>
      <w:r w:rsidRPr="00BE2359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Operaciones Financieras e Inversiones</w:t>
      </w:r>
      <w:r w:rsidRPr="00BE235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del </w:t>
      </w:r>
      <w:r w:rsidRPr="00BE2359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Banco Central del Uruguay</w:t>
      </w:r>
      <w:r w:rsidRPr="00BE235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correspondiente al 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>E</w:t>
      </w:r>
      <w:r w:rsidRPr="00BE2359">
        <w:rPr>
          <w:rFonts w:ascii="Arial" w:eastAsia="Times New Roman" w:hAnsi="Arial" w:cs="Arial"/>
          <w:sz w:val="24"/>
          <w:szCs w:val="24"/>
          <w:lang w:val="es-ES_tradnl" w:eastAsia="es-ES"/>
        </w:rPr>
        <w:t>jercicio 201</w:t>
      </w:r>
      <w:r w:rsidR="0044639C" w:rsidRPr="00BE2359">
        <w:rPr>
          <w:rFonts w:ascii="Arial" w:eastAsia="Times New Roman" w:hAnsi="Arial" w:cs="Arial"/>
          <w:sz w:val="24"/>
          <w:szCs w:val="24"/>
          <w:lang w:val="es-ES_tradnl" w:eastAsia="es-ES"/>
        </w:rPr>
        <w:t>6</w:t>
      </w:r>
      <w:r w:rsidRPr="00BE2359">
        <w:rPr>
          <w:rFonts w:ascii="Arial" w:eastAsia="Times New Roman" w:hAnsi="Arial" w:cs="Arial"/>
          <w:sz w:val="24"/>
          <w:szCs w:val="24"/>
          <w:lang w:val="es-ES_tradnl" w:eastAsia="es-ES"/>
        </w:rPr>
        <w:t>,</w:t>
      </w:r>
      <w:r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en los términos del Dictamen que se adjunta;</w:t>
      </w:r>
    </w:p>
    <w:p w:rsidR="00596C31" w:rsidRPr="00596C31" w:rsidRDefault="006F4C77" w:rsidP="0019274F">
      <w:pPr>
        <w:shd w:val="clear" w:color="auto" w:fill="FFFFFF" w:themeFill="background1"/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A92BE4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596C3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>No formular observaciones al p</w:t>
      </w:r>
      <w:r w:rsidR="00596C31" w:rsidRPr="00596C3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royecto de Presupuesto del Banco Central </w:t>
      </w:r>
      <w:r w:rsidR="0019274F">
        <w:rPr>
          <w:rFonts w:ascii="Arial" w:eastAsia="Times New Roman" w:hAnsi="Arial" w:cs="Arial"/>
          <w:sz w:val="24"/>
          <w:szCs w:val="24"/>
          <w:lang w:val="es-ES_tradnl" w:eastAsia="es-ES"/>
        </w:rPr>
        <w:t>del Uruguay correspondiente al E</w:t>
      </w:r>
      <w:r w:rsidR="00596C31" w:rsidRPr="00596C3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jercicio </w:t>
      </w:r>
      <w:r w:rsidR="00596C31">
        <w:rPr>
          <w:rFonts w:ascii="Arial" w:eastAsia="Times New Roman" w:hAnsi="Arial" w:cs="Arial"/>
          <w:sz w:val="24"/>
          <w:szCs w:val="24"/>
          <w:lang w:val="es-ES_tradnl" w:eastAsia="es-ES"/>
        </w:rPr>
        <w:t>2016;</w:t>
      </w:r>
    </w:p>
    <w:p w:rsidR="006F4C77" w:rsidRPr="00A92BE4" w:rsidRDefault="00596C31" w:rsidP="0019274F">
      <w:pPr>
        <w:shd w:val="clear" w:color="auto" w:fill="FFFFFF" w:themeFill="background1"/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E4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6F4C77" w:rsidRPr="00A92BE4">
        <w:rPr>
          <w:rFonts w:ascii="Arial" w:eastAsia="Times New Roman" w:hAnsi="Arial" w:cs="Arial"/>
          <w:sz w:val="24"/>
          <w:szCs w:val="24"/>
          <w:lang w:eastAsia="es-ES"/>
        </w:rPr>
        <w:t xml:space="preserve">Téngase presente lo señalado en los </w:t>
      </w:r>
      <w:r w:rsidR="00096354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66AC8">
        <w:rPr>
          <w:rFonts w:ascii="Arial" w:eastAsia="Times New Roman" w:hAnsi="Arial" w:cs="Arial"/>
          <w:sz w:val="24"/>
          <w:szCs w:val="24"/>
          <w:lang w:eastAsia="es-ES"/>
        </w:rPr>
        <w:t>umerales</w:t>
      </w:r>
      <w:r w:rsidR="006F4C77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2.</w:t>
      </w:r>
      <w:r w:rsidR="00707CE4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>3</w:t>
      </w:r>
      <w:r w:rsidR="00096354">
        <w:rPr>
          <w:rFonts w:ascii="Arial" w:eastAsia="Times New Roman" w:hAnsi="Arial" w:cs="Arial"/>
          <w:sz w:val="24"/>
          <w:szCs w:val="24"/>
          <w:lang w:val="es-ES_tradnl" w:eastAsia="es-ES"/>
        </w:rPr>
        <w:t>)</w:t>
      </w:r>
      <w:r w:rsidR="006F4C77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>, 2.</w:t>
      </w:r>
      <w:r w:rsidR="00445F47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>4</w:t>
      </w:r>
      <w:r w:rsidR="00096354">
        <w:rPr>
          <w:rFonts w:ascii="Arial" w:eastAsia="Times New Roman" w:hAnsi="Arial" w:cs="Arial"/>
          <w:sz w:val="24"/>
          <w:szCs w:val="24"/>
          <w:lang w:val="es-ES_tradnl" w:eastAsia="es-ES"/>
        </w:rPr>
        <w:t>)</w:t>
      </w:r>
      <w:r w:rsidR="003F7BE5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6F4C77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>y 2.</w:t>
      </w:r>
      <w:r w:rsidR="003F7BE5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>6</w:t>
      </w:r>
      <w:r w:rsidR="00096354">
        <w:rPr>
          <w:rFonts w:ascii="Arial" w:eastAsia="Times New Roman" w:hAnsi="Arial" w:cs="Arial"/>
          <w:sz w:val="24"/>
          <w:szCs w:val="24"/>
          <w:lang w:val="es-ES_tradnl" w:eastAsia="es-ES"/>
        </w:rPr>
        <w:t>)</w:t>
      </w:r>
      <w:r w:rsidR="006F4C77" w:rsidRPr="00445F4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</w:t>
      </w:r>
      <w:r w:rsidR="006F4C77" w:rsidRPr="003F7BE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dicho</w:t>
      </w:r>
      <w:r w:rsidR="006F4C77" w:rsidRPr="00A92BE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Dictamen;</w:t>
      </w:r>
    </w:p>
    <w:p w:rsidR="006F4C77" w:rsidRDefault="00596C31" w:rsidP="0019274F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4</w:t>
      </w:r>
      <w:r w:rsidR="006F4C77" w:rsidRPr="00A92BE4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6F4C7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4C77" w:rsidRPr="00BE2359">
        <w:rPr>
          <w:rFonts w:ascii="Arial" w:eastAsia="Times New Roman" w:hAnsi="Arial" w:cs="Arial"/>
          <w:sz w:val="24"/>
          <w:szCs w:val="24"/>
          <w:lang w:eastAsia="es-ES"/>
        </w:rPr>
        <w:t xml:space="preserve">Comunicar la presente Resolución al </w:t>
      </w:r>
      <w:r w:rsidR="009376E1" w:rsidRPr="00BE2359">
        <w:rPr>
          <w:rFonts w:ascii="Arial" w:eastAsia="Times New Roman" w:hAnsi="Arial" w:cs="Arial"/>
          <w:sz w:val="24"/>
          <w:szCs w:val="24"/>
          <w:lang w:eastAsia="es-ES"/>
        </w:rPr>
        <w:t>Minis</w:t>
      </w:r>
      <w:r w:rsidR="0072621A" w:rsidRPr="00BE2359">
        <w:rPr>
          <w:rFonts w:ascii="Arial" w:eastAsia="Times New Roman" w:hAnsi="Arial" w:cs="Arial"/>
          <w:sz w:val="24"/>
          <w:szCs w:val="24"/>
          <w:lang w:eastAsia="es-ES"/>
        </w:rPr>
        <w:t>terio de Economía y Finanzas</w:t>
      </w:r>
      <w:r w:rsidR="006F4C77" w:rsidRPr="00BE2359">
        <w:rPr>
          <w:rFonts w:ascii="Arial" w:eastAsia="Times New Roman" w:hAnsi="Arial" w:cs="Arial"/>
          <w:sz w:val="24"/>
          <w:szCs w:val="24"/>
          <w:lang w:eastAsia="es-ES"/>
        </w:rPr>
        <w:t>, al Organismo y a la Oficina de Planeamiento y Presupuesto</w:t>
      </w:r>
      <w:r w:rsidR="006F4C77" w:rsidRPr="00A92BE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19274F" w:rsidRDefault="0019274F" w:rsidP="0019274F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9274F" w:rsidRDefault="0019274F" w:rsidP="0019274F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E70F0" w:rsidRDefault="003E70F0" w:rsidP="0019274F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E70F0" w:rsidRDefault="003E70F0" w:rsidP="0019274F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E70F0" w:rsidRDefault="003E70F0">
      <w:pPr>
        <w:pStyle w:val="Ttulo"/>
        <w:tabs>
          <w:tab w:val="clear" w:pos="-720"/>
        </w:tabs>
        <w:spacing w:line="360" w:lineRule="auto"/>
        <w:rPr>
          <w:rFonts w:cs="Arial"/>
        </w:rPr>
      </w:pPr>
      <w:r>
        <w:rPr>
          <w:rFonts w:cs="Arial"/>
        </w:rPr>
        <w:lastRenderedPageBreak/>
        <w:t>DICTAMEN</w:t>
      </w:r>
    </w:p>
    <w:p w:rsidR="003E70F0" w:rsidRPr="00D7646B" w:rsidRDefault="003E70F0" w:rsidP="00D7646B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</w:p>
    <w:p w:rsidR="003E70F0" w:rsidRPr="00D02B9F" w:rsidRDefault="003E70F0">
      <w:p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El Tribu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nal de Cuentas ha examinado el p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royecto de Presupuesto para el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E</w:t>
      </w: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>jercicio 2016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 del Banco Central del Uruguay (BCU). Toda la infor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mación incluida en el referido p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royecto y los supuestos sobre los que se basa son responsabilidad del Directorio del B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anco 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C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entral del 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U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ruguay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. La responsabilidad del Tribunal de Cuentas es expresar un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a opinión sobre dicho p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royecto de Presupuesto de acuerdo con lo dispuesto por los Artículos 211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Literal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 A) y 221 de la Constitución de la República y establecer, en caso que corresponda, los hallazgos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 constatados 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con relación al cumplimiento de las </w:t>
      </w:r>
      <w:r w:rsidRPr="00D02B9F">
        <w:rPr>
          <w:rFonts w:ascii="Arial" w:hAnsi="Arial" w:cs="Arial"/>
          <w:bCs/>
          <w:spacing w:val="-3"/>
          <w:sz w:val="24"/>
          <w:szCs w:val="24"/>
          <w:lang w:val="es-ES_tradnl"/>
        </w:rPr>
        <w:t>normas constitucionales,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 legales y reglamentarias  que resulten aplicables.</w:t>
      </w:r>
    </w:p>
    <w:p w:rsidR="003E70F0" w:rsidRPr="00096354" w:rsidRDefault="003E70F0" w:rsidP="0009635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6354">
        <w:rPr>
          <w:rFonts w:ascii="Arial" w:hAnsi="Arial" w:cs="Arial"/>
          <w:b/>
          <w:bCs/>
          <w:sz w:val="24"/>
          <w:szCs w:val="24"/>
        </w:rPr>
        <w:t>ANÁLISIS DE INGRESOS PROYECTADOS Y ASIGNACIONES PRESUPUESTALES Y RESULTADO PRESUPUESTAL</w:t>
      </w:r>
    </w:p>
    <w:p w:rsidR="003E70F0" w:rsidRPr="00096354" w:rsidRDefault="003E70F0" w:rsidP="00096354">
      <w:pPr>
        <w:pStyle w:val="Prrafodelista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6354">
        <w:rPr>
          <w:rFonts w:ascii="Arial" w:hAnsi="Arial" w:cs="Arial"/>
          <w:b/>
          <w:bCs/>
          <w:sz w:val="24"/>
          <w:szCs w:val="24"/>
        </w:rPr>
        <w:t>Ingresos proyectados</w:t>
      </w:r>
    </w:p>
    <w:tbl>
      <w:tblPr>
        <w:tblW w:w="7907" w:type="dxa"/>
        <w:jc w:val="center"/>
        <w:tblInd w:w="-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9"/>
        <w:gridCol w:w="2818"/>
      </w:tblGrid>
      <w:tr w:rsidR="003E70F0" w:rsidRPr="00BC1539" w:rsidTr="00D7646B">
        <w:trPr>
          <w:trHeight w:val="315"/>
          <w:jc w:val="center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Denominación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en $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Ingresos Financieros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10.892:548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440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Ingresos no Financieros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873:329.173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Financiamiento de Terceros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332.543:205.497</w:t>
            </w:r>
          </w:p>
        </w:tc>
      </w:tr>
      <w:tr w:rsidR="003E70F0" w:rsidRPr="00BC1539" w:rsidTr="00D7646B">
        <w:trPr>
          <w:trHeight w:val="315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 de Ingresos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344.309:083.110</w:t>
            </w:r>
          </w:p>
        </w:tc>
      </w:tr>
    </w:tbl>
    <w:p w:rsidR="003E70F0" w:rsidRDefault="003E70F0" w:rsidP="004D125B">
      <w:pPr>
        <w:spacing w:after="0" w:line="360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:rsidR="003E70F0" w:rsidRPr="00096354" w:rsidRDefault="003E70F0" w:rsidP="00096354">
      <w:pPr>
        <w:pStyle w:val="Prrafodelista"/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bookmarkStart w:id="1" w:name="_MON_1500287584"/>
      <w:bookmarkStart w:id="2" w:name="_MON_1500287625"/>
      <w:bookmarkStart w:id="3" w:name="_MON_1500287645"/>
      <w:bookmarkStart w:id="4" w:name="_MON_1500287649"/>
      <w:bookmarkStart w:id="5" w:name="_MON_1500287670"/>
      <w:bookmarkStart w:id="6" w:name="_MON_1500287680"/>
      <w:bookmarkStart w:id="7" w:name="_MON_1500287710"/>
      <w:bookmarkStart w:id="8" w:name="_MON_1500292942"/>
      <w:bookmarkStart w:id="9" w:name="_MON_1500293801"/>
      <w:bookmarkStart w:id="10" w:name="_MON_1500294532"/>
      <w:bookmarkStart w:id="11" w:name="_MON_1500286916"/>
      <w:bookmarkStart w:id="12" w:name="_MON_1500286996"/>
      <w:bookmarkStart w:id="13" w:name="_MON_1500287004"/>
      <w:bookmarkStart w:id="14" w:name="_MON_1500287014"/>
      <w:bookmarkStart w:id="15" w:name="_MON_1500287018"/>
      <w:bookmarkStart w:id="16" w:name="_MON_1500287044"/>
      <w:bookmarkStart w:id="17" w:name="_MON_1500287052"/>
      <w:bookmarkStart w:id="18" w:name="_MON_1500287066"/>
      <w:bookmarkStart w:id="19" w:name="_MON_1500287452"/>
      <w:bookmarkStart w:id="20" w:name="_MON_1500287485"/>
      <w:bookmarkStart w:id="21" w:name="_MON_15002875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096354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Asignaciones Presupuestales</w:t>
      </w:r>
    </w:p>
    <w:p w:rsidR="003E70F0" w:rsidRDefault="003E70F0">
      <w:pPr>
        <w:spacing w:line="360" w:lineRule="auto"/>
        <w:ind w:left="360"/>
        <w:jc w:val="both"/>
        <w:rPr>
          <w:rFonts w:ascii="Arial" w:hAnsi="Arial" w:cs="Arial"/>
          <w:b/>
          <w:noProof/>
          <w:spacing w:val="-3"/>
          <w:sz w:val="24"/>
          <w:szCs w:val="24"/>
        </w:rPr>
      </w:pPr>
      <w:r w:rsidRPr="00D02B9F">
        <w:rPr>
          <w:rFonts w:ascii="Arial" w:hAnsi="Arial" w:cs="Arial"/>
          <w:b/>
          <w:noProof/>
          <w:spacing w:val="-3"/>
          <w:sz w:val="24"/>
          <w:szCs w:val="24"/>
        </w:rPr>
        <w:t>Presupuesto de Egresos Operativos y de Operaciones Financieras:</w:t>
      </w:r>
    </w:p>
    <w:tbl>
      <w:tblPr>
        <w:tblW w:w="795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918"/>
        <w:gridCol w:w="2835"/>
      </w:tblGrid>
      <w:tr w:rsidR="003E70F0" w:rsidRPr="00BC1539" w:rsidTr="00D7646B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Grupo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Denominación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en $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Servicios Personales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1.930:078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259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Bienes de Consumo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141:417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774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Servicios no Personales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468:536.472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Transferencias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1: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170.000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Intereses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 xml:space="preserve"> y otros Gastos Deuda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28.263:886.505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Gastos no clasificados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18:298.627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8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Aplicaciones Financieras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317.639:883.530</w:t>
            </w:r>
          </w:p>
        </w:tc>
      </w:tr>
      <w:tr w:rsidR="003E70F0" w:rsidRPr="00BC1539" w:rsidTr="00D7646B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348.463:271.169</w:t>
            </w:r>
          </w:p>
        </w:tc>
      </w:tr>
    </w:tbl>
    <w:p w:rsidR="003E70F0" w:rsidRDefault="003E70F0">
      <w:pPr>
        <w:spacing w:line="360" w:lineRule="auto"/>
        <w:ind w:left="360"/>
        <w:jc w:val="both"/>
        <w:rPr>
          <w:rFonts w:ascii="Arial" w:hAnsi="Arial" w:cs="Arial"/>
          <w:b/>
          <w:noProof/>
          <w:spacing w:val="-3"/>
          <w:sz w:val="24"/>
          <w:szCs w:val="24"/>
        </w:rPr>
      </w:pPr>
      <w:bookmarkStart w:id="22" w:name="_MON_1500294132"/>
      <w:bookmarkStart w:id="23" w:name="_MON_1500294143"/>
      <w:bookmarkStart w:id="24" w:name="_MON_1500293043"/>
      <w:bookmarkStart w:id="25" w:name="_MON_1500293088"/>
      <w:bookmarkStart w:id="26" w:name="_MON_1500293207"/>
      <w:bookmarkStart w:id="27" w:name="_MON_1500293568"/>
      <w:bookmarkEnd w:id="22"/>
      <w:bookmarkEnd w:id="23"/>
      <w:bookmarkEnd w:id="24"/>
      <w:bookmarkEnd w:id="25"/>
      <w:bookmarkEnd w:id="26"/>
      <w:bookmarkEnd w:id="27"/>
      <w:r w:rsidRPr="00D02B9F">
        <w:rPr>
          <w:rFonts w:ascii="Arial" w:hAnsi="Arial" w:cs="Arial"/>
          <w:b/>
          <w:noProof/>
          <w:spacing w:val="-3"/>
          <w:sz w:val="24"/>
          <w:szCs w:val="24"/>
        </w:rPr>
        <w:t>Presupuesto de Inversiones</w:t>
      </w:r>
    </w:p>
    <w:tbl>
      <w:tblPr>
        <w:tblW w:w="7871" w:type="dxa"/>
        <w:jc w:val="center"/>
        <w:tblInd w:w="-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596"/>
        <w:gridCol w:w="2800"/>
      </w:tblGrid>
      <w:tr w:rsidR="003E70F0" w:rsidRPr="00BC1539" w:rsidTr="00D7646B">
        <w:trPr>
          <w:trHeight w:val="31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Grupo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Denominación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en $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Bienes de Uso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134:040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581</w:t>
            </w:r>
          </w:p>
        </w:tc>
      </w:tr>
      <w:tr w:rsidR="003E70F0" w:rsidRPr="00BC1539" w:rsidTr="00D7646B">
        <w:trPr>
          <w:trHeight w:val="315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D76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134:040.581</w:t>
            </w:r>
          </w:p>
        </w:tc>
      </w:tr>
    </w:tbl>
    <w:p w:rsidR="003E70F0" w:rsidRDefault="003E70F0">
      <w:pPr>
        <w:spacing w:line="360" w:lineRule="auto"/>
        <w:ind w:left="360"/>
        <w:jc w:val="both"/>
        <w:rPr>
          <w:rFonts w:ascii="Arial" w:hAnsi="Arial" w:cs="Arial"/>
          <w:b/>
          <w:noProof/>
          <w:spacing w:val="-3"/>
          <w:sz w:val="24"/>
          <w:szCs w:val="24"/>
        </w:rPr>
      </w:pPr>
    </w:p>
    <w:tbl>
      <w:tblPr>
        <w:tblW w:w="7963" w:type="dxa"/>
        <w:jc w:val="center"/>
        <w:tblInd w:w="-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860"/>
      </w:tblGrid>
      <w:tr w:rsidR="003E70F0" w:rsidRPr="00BC1539" w:rsidTr="00D7646B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bookmarkStart w:id="28" w:name="_MON_1500293907"/>
            <w:bookmarkStart w:id="29" w:name="_MON_1500293990"/>
            <w:bookmarkStart w:id="30" w:name="_MON_1500294008"/>
            <w:bookmarkStart w:id="31" w:name="_MON_1500294028"/>
            <w:bookmarkStart w:id="32" w:name="_MON_1500293825"/>
            <w:bookmarkStart w:id="33" w:name="_MON_1500293863"/>
            <w:bookmarkStart w:id="34" w:name="_MON_1500293871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BC15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 EGRESOS EN $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348.597:311.750</w:t>
            </w:r>
          </w:p>
        </w:tc>
      </w:tr>
    </w:tbl>
    <w:p w:rsidR="003E70F0" w:rsidRDefault="003E70F0">
      <w:pPr>
        <w:spacing w:line="360" w:lineRule="auto"/>
        <w:ind w:left="360"/>
        <w:jc w:val="both"/>
        <w:rPr>
          <w:rFonts w:ascii="Arial" w:hAnsi="Arial" w:cs="Arial"/>
          <w:b/>
          <w:noProof/>
          <w:spacing w:val="-3"/>
          <w:sz w:val="24"/>
          <w:szCs w:val="24"/>
        </w:rPr>
      </w:pPr>
    </w:p>
    <w:p w:rsidR="003E70F0" w:rsidRDefault="003E70F0">
      <w:pPr>
        <w:pStyle w:val="Sangra2detindependiente"/>
        <w:ind w:left="426"/>
        <w:rPr>
          <w:rFonts w:cs="Arial"/>
          <w:b/>
          <w:bCs/>
        </w:rPr>
      </w:pPr>
      <w:bookmarkStart w:id="35" w:name="_MON_1500294055"/>
      <w:bookmarkStart w:id="36" w:name="_MON_1500294138"/>
      <w:bookmarkStart w:id="37" w:name="_MON_1500294148"/>
      <w:bookmarkStart w:id="38" w:name="_MON_1500294177"/>
      <w:bookmarkStart w:id="39" w:name="_MON_1501943650"/>
      <w:bookmarkStart w:id="40" w:name="_MON_1501943840"/>
      <w:bookmarkStart w:id="41" w:name="_MON_1500294758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cs="Arial"/>
          <w:b/>
          <w:bCs/>
        </w:rPr>
        <w:t>1.3)</w:t>
      </w:r>
      <w:r w:rsidRPr="00D02B9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Análisis del Resultado Presupuestal </w:t>
      </w:r>
      <w:r w:rsidRPr="00D02B9F">
        <w:rPr>
          <w:rFonts w:cs="Arial"/>
          <w:b/>
          <w:bCs/>
        </w:rPr>
        <w:t>201</w:t>
      </w:r>
      <w:r>
        <w:rPr>
          <w:rFonts w:cs="Arial"/>
          <w:b/>
          <w:bCs/>
        </w:rPr>
        <w:t>6</w:t>
      </w:r>
      <w:r w:rsidRPr="00D02B9F">
        <w:rPr>
          <w:rFonts w:cs="Arial"/>
          <w:b/>
          <w:bCs/>
        </w:rPr>
        <w:t xml:space="preserve"> (en $):</w:t>
      </w:r>
    </w:p>
    <w:tbl>
      <w:tblPr>
        <w:tblW w:w="7889" w:type="dxa"/>
        <w:jc w:val="center"/>
        <w:tblInd w:w="-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9"/>
        <w:gridCol w:w="2100"/>
      </w:tblGrid>
      <w:tr w:rsidR="003E70F0" w:rsidRPr="00BC1539" w:rsidTr="00D7646B">
        <w:trPr>
          <w:trHeight w:val="300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Ingresos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344.309:083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110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Egresos Operativos  y de Operaciones Financieras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348.463:271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169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Egresos de Inversiones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134:040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581</w:t>
            </w:r>
          </w:p>
        </w:tc>
      </w:tr>
      <w:tr w:rsidR="003E70F0" w:rsidRPr="00BC1539" w:rsidTr="00D7646B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F0" w:rsidRPr="00BC1539" w:rsidRDefault="003E70F0" w:rsidP="00D7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Déficit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F0" w:rsidRPr="00BC1539" w:rsidRDefault="003E70F0" w:rsidP="004D1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(4.288:228</w:t>
            </w:r>
            <w:r w:rsidRPr="00BC1539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640)</w:t>
            </w:r>
          </w:p>
        </w:tc>
      </w:tr>
    </w:tbl>
    <w:p w:rsidR="003E70F0" w:rsidRPr="00D02B9F" w:rsidRDefault="003E70F0">
      <w:pPr>
        <w:pStyle w:val="Sangra2detindependiente"/>
        <w:ind w:left="0"/>
        <w:rPr>
          <w:rFonts w:cs="Arial"/>
        </w:rPr>
      </w:pPr>
      <w:bookmarkStart w:id="42" w:name="_MON_1500294711"/>
      <w:bookmarkStart w:id="43" w:name="_MON_1500294768"/>
      <w:bookmarkStart w:id="44" w:name="_MON_1500294216"/>
      <w:bookmarkStart w:id="45" w:name="_MON_1500294248"/>
      <w:bookmarkStart w:id="46" w:name="_MON_1500294355"/>
      <w:bookmarkStart w:id="47" w:name="_MON_1500294391"/>
      <w:bookmarkEnd w:id="42"/>
      <w:bookmarkEnd w:id="43"/>
      <w:bookmarkEnd w:id="44"/>
      <w:bookmarkEnd w:id="45"/>
      <w:bookmarkEnd w:id="46"/>
      <w:bookmarkEnd w:id="47"/>
    </w:p>
    <w:p w:rsidR="003E70F0" w:rsidRDefault="003E70F0" w:rsidP="00096354">
      <w:pPr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-L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os ingresos y egresos previstos fueron calculados a nivel de precios de enero-junio 201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5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 a un tipo de cambio de $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26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 xml:space="preserve"> por dólar estadounidense y un Índice de Precios al Consumo de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143 (con base d</w:t>
      </w:r>
      <w:r w:rsidRPr="00D02B9F">
        <w:rPr>
          <w:rFonts w:ascii="Arial" w:hAnsi="Arial" w:cs="Arial"/>
          <w:spacing w:val="-3"/>
          <w:sz w:val="24"/>
          <w:szCs w:val="24"/>
          <w:lang w:val="es-ES_tradnl"/>
        </w:rPr>
        <w:t>iciembre 2010).</w:t>
      </w:r>
    </w:p>
    <w:p w:rsidR="003E70F0" w:rsidRPr="006B1500" w:rsidRDefault="003E70F0" w:rsidP="00096354">
      <w:pPr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-De la comparación entre los ingresos y egresos proyectados resulta un déficit de $ 4.288:228.640, el cual </w:t>
      </w: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 xml:space="preserve">se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financia</w:t>
      </w: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 xml:space="preserve"> con emisión de letra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s</w:t>
      </w: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 xml:space="preserve"> de Regulación Monetaria según lo establecido en los Art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ículos</w:t>
      </w: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 xml:space="preserve"> 7 y 25 de la Carta Orgánica del BCU.</w:t>
      </w:r>
    </w:p>
    <w:p w:rsidR="003E70F0" w:rsidRPr="00096354" w:rsidRDefault="003E70F0" w:rsidP="0009635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096354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CUMPLIMIENTO DE NORMAS CONSTITUCIONALES, LEGALES Y REGLAMENTARIAS.</w:t>
      </w:r>
    </w:p>
    <w:p w:rsidR="003E70F0" w:rsidRDefault="003E70F0" w:rsidP="00096354">
      <w:pPr>
        <w:pStyle w:val="Textoindependiente"/>
        <w:widowControl/>
        <w:numPr>
          <w:ilvl w:val="1"/>
          <w:numId w:val="5"/>
        </w:numPr>
        <w:tabs>
          <w:tab w:val="clear" w:pos="-720"/>
        </w:tabs>
        <w:suppressAutoHyphens w:val="0"/>
        <w:spacing w:line="360" w:lineRule="auto"/>
        <w:rPr>
          <w:rFonts w:ascii="Arial" w:hAnsi="Arial" w:cs="Arial"/>
          <w:snapToGrid/>
          <w:spacing w:val="0"/>
          <w:szCs w:val="24"/>
          <w:lang w:val="es-ES"/>
        </w:rPr>
      </w:pPr>
      <w:r>
        <w:rPr>
          <w:rFonts w:ascii="Arial" w:hAnsi="Arial" w:cs="Arial"/>
          <w:snapToGrid/>
          <w:spacing w:val="0"/>
          <w:szCs w:val="24"/>
          <w:lang w:val="es-ES"/>
        </w:rPr>
        <w:t>El p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>royecto de Presupuesto fue aprobado por el Directorio del B</w:t>
      </w:r>
      <w:r>
        <w:rPr>
          <w:rFonts w:ascii="Arial" w:hAnsi="Arial" w:cs="Arial"/>
          <w:snapToGrid/>
          <w:spacing w:val="0"/>
          <w:szCs w:val="24"/>
          <w:lang w:val="es-ES"/>
        </w:rPr>
        <w:t>CU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 xml:space="preserve"> por Resolución RD/18</w:t>
      </w:r>
      <w:r>
        <w:rPr>
          <w:rFonts w:ascii="Arial" w:hAnsi="Arial" w:cs="Arial"/>
          <w:snapToGrid/>
          <w:spacing w:val="0"/>
          <w:szCs w:val="24"/>
          <w:lang w:val="es-ES"/>
        </w:rPr>
        <w:t>9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>/201</w:t>
      </w:r>
      <w:r>
        <w:rPr>
          <w:rFonts w:ascii="Arial" w:hAnsi="Arial" w:cs="Arial"/>
          <w:snapToGrid/>
          <w:spacing w:val="0"/>
          <w:szCs w:val="24"/>
          <w:lang w:val="es-ES"/>
        </w:rPr>
        <w:t>5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 xml:space="preserve">, en Sesión de fecha </w:t>
      </w:r>
      <w:r>
        <w:rPr>
          <w:rFonts w:ascii="Arial" w:hAnsi="Arial" w:cs="Arial"/>
          <w:snapToGrid/>
          <w:spacing w:val="0"/>
          <w:szCs w:val="24"/>
          <w:lang w:val="es-ES"/>
        </w:rPr>
        <w:t>29/07/2015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 xml:space="preserve">, e ingresó a este Tribunal para su consideración con fecha </w:t>
      </w:r>
      <w:r>
        <w:rPr>
          <w:rFonts w:ascii="Arial" w:hAnsi="Arial" w:cs="Arial"/>
          <w:snapToGrid/>
          <w:spacing w:val="0"/>
          <w:szCs w:val="24"/>
          <w:lang w:val="es-ES"/>
        </w:rPr>
        <w:t>31/</w:t>
      </w:r>
      <w:r w:rsidRPr="006B1500">
        <w:rPr>
          <w:rFonts w:ascii="Arial" w:hAnsi="Arial" w:cs="Arial"/>
          <w:snapToGrid/>
          <w:spacing w:val="0"/>
          <w:szCs w:val="24"/>
          <w:lang w:val="es-ES"/>
        </w:rPr>
        <w:t>07/2015, dándose entrada oficial el 05/08/2015 según d</w:t>
      </w:r>
      <w:r>
        <w:rPr>
          <w:rFonts w:ascii="Arial" w:hAnsi="Arial" w:cs="Arial"/>
          <w:snapToGrid/>
          <w:spacing w:val="0"/>
          <w:szCs w:val="24"/>
          <w:lang w:val="es-ES"/>
        </w:rPr>
        <w:t>ispone la Ordenanza N° 51 de 22/</w:t>
      </w:r>
      <w:r w:rsidRPr="006B1500">
        <w:rPr>
          <w:rFonts w:ascii="Arial" w:hAnsi="Arial" w:cs="Arial"/>
          <w:snapToGrid/>
          <w:spacing w:val="0"/>
          <w:szCs w:val="24"/>
          <w:lang w:val="es-ES"/>
        </w:rPr>
        <w:t xml:space="preserve">11/1972 del Tribunal de Cuentas, por lo que se ha dado cumplimiento </w:t>
      </w:r>
      <w:r>
        <w:rPr>
          <w:rFonts w:ascii="Arial" w:hAnsi="Arial" w:cs="Arial"/>
          <w:snapToGrid/>
          <w:spacing w:val="0"/>
          <w:szCs w:val="24"/>
          <w:lang w:val="es-ES"/>
        </w:rPr>
        <w:t xml:space="preserve">a lo dispuesto por </w:t>
      </w:r>
      <w:r w:rsidRPr="006B1500">
        <w:rPr>
          <w:rFonts w:ascii="Arial" w:hAnsi="Arial" w:cs="Arial"/>
          <w:snapToGrid/>
          <w:spacing w:val="0"/>
          <w:szCs w:val="24"/>
          <w:lang w:val="es-ES"/>
        </w:rPr>
        <w:t>el Artículo 221 de la Constitución de la República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>.</w:t>
      </w:r>
    </w:p>
    <w:p w:rsidR="003E70F0" w:rsidRDefault="003E70F0" w:rsidP="00096354">
      <w:pPr>
        <w:pStyle w:val="Textoindependiente"/>
        <w:widowControl/>
        <w:numPr>
          <w:ilvl w:val="1"/>
          <w:numId w:val="5"/>
        </w:numPr>
        <w:tabs>
          <w:tab w:val="clear" w:pos="-720"/>
        </w:tabs>
        <w:suppressAutoHyphens w:val="0"/>
        <w:spacing w:line="360" w:lineRule="auto"/>
        <w:rPr>
          <w:rFonts w:ascii="Arial" w:hAnsi="Arial" w:cs="Arial"/>
          <w:snapToGrid/>
          <w:spacing w:val="0"/>
          <w:szCs w:val="24"/>
          <w:lang w:val="es-ES"/>
        </w:rPr>
      </w:pPr>
      <w:r w:rsidRPr="00D02B9F">
        <w:rPr>
          <w:rFonts w:ascii="Arial" w:hAnsi="Arial" w:cs="Arial"/>
          <w:snapToGrid/>
          <w:spacing w:val="0"/>
          <w:szCs w:val="24"/>
          <w:lang w:val="es-ES"/>
        </w:rPr>
        <w:t>Se da cumplimiento a lo dispuesto por el Artículo 216 Inciso 3</w:t>
      </w:r>
      <w:r>
        <w:rPr>
          <w:rFonts w:ascii="Arial" w:hAnsi="Arial" w:cs="Arial"/>
          <w:snapToGrid/>
          <w:spacing w:val="0"/>
          <w:szCs w:val="24"/>
          <w:lang w:val="es-ES"/>
        </w:rPr>
        <w:t>)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 xml:space="preserve"> de la C</w:t>
      </w:r>
      <w:r>
        <w:rPr>
          <w:rFonts w:ascii="Arial" w:hAnsi="Arial" w:cs="Arial"/>
          <w:snapToGrid/>
          <w:spacing w:val="0"/>
          <w:szCs w:val="24"/>
          <w:lang w:val="es-ES"/>
        </w:rPr>
        <w:t>onstitución de la República, por cuanto el p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>royecto se presenta en forma comparativa con el Presupuesto vigente, que corresponde al año 201</w:t>
      </w:r>
      <w:r>
        <w:rPr>
          <w:rFonts w:ascii="Arial" w:hAnsi="Arial" w:cs="Arial"/>
          <w:snapToGrid/>
          <w:spacing w:val="0"/>
          <w:szCs w:val="24"/>
          <w:lang w:val="es-ES"/>
        </w:rPr>
        <w:t>4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 xml:space="preserve">, aprobado por Decreto Nº </w:t>
      </w:r>
      <w:r>
        <w:rPr>
          <w:rFonts w:ascii="Arial" w:hAnsi="Arial" w:cs="Arial"/>
          <w:snapToGrid/>
          <w:spacing w:val="0"/>
          <w:szCs w:val="24"/>
          <w:lang w:val="es-ES"/>
        </w:rPr>
        <w:t>328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 xml:space="preserve">/013 de </w:t>
      </w:r>
      <w:r>
        <w:rPr>
          <w:rFonts w:ascii="Arial" w:hAnsi="Arial" w:cs="Arial"/>
          <w:snapToGrid/>
          <w:spacing w:val="0"/>
          <w:szCs w:val="24"/>
          <w:lang w:val="es-ES"/>
        </w:rPr>
        <w:t>08/10/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>201</w:t>
      </w:r>
      <w:r>
        <w:rPr>
          <w:rFonts w:ascii="Arial" w:hAnsi="Arial" w:cs="Arial"/>
          <w:snapToGrid/>
          <w:spacing w:val="0"/>
          <w:szCs w:val="24"/>
          <w:lang w:val="es-ES"/>
        </w:rPr>
        <w:t>3</w:t>
      </w:r>
      <w:r w:rsidRPr="00D02B9F">
        <w:rPr>
          <w:rFonts w:ascii="Arial" w:hAnsi="Arial" w:cs="Arial"/>
          <w:snapToGrid/>
          <w:spacing w:val="0"/>
          <w:szCs w:val="24"/>
          <w:lang w:val="es-ES"/>
        </w:rPr>
        <w:t>.</w:t>
      </w:r>
    </w:p>
    <w:p w:rsidR="003E70F0" w:rsidRPr="003F7BE5" w:rsidRDefault="003E70F0" w:rsidP="00096354">
      <w:pPr>
        <w:pStyle w:val="Textoindependiente"/>
        <w:widowControl/>
        <w:numPr>
          <w:ilvl w:val="1"/>
          <w:numId w:val="5"/>
        </w:numPr>
        <w:tabs>
          <w:tab w:val="clear" w:pos="-720"/>
          <w:tab w:val="left" w:pos="851"/>
        </w:tabs>
        <w:suppressAutoHyphens w:val="0"/>
        <w:spacing w:line="360" w:lineRule="auto"/>
        <w:rPr>
          <w:rFonts w:ascii="Arial" w:hAnsi="Arial" w:cs="Arial"/>
          <w:szCs w:val="24"/>
          <w:lang w:val="es-ES"/>
        </w:rPr>
      </w:pPr>
      <w:r w:rsidRPr="003F7BE5">
        <w:rPr>
          <w:rFonts w:ascii="Arial" w:hAnsi="Arial" w:cs="Arial"/>
          <w:szCs w:val="24"/>
          <w:lang w:val="es-ES"/>
        </w:rPr>
        <w:t xml:space="preserve">El </w:t>
      </w:r>
      <w:r>
        <w:rPr>
          <w:rFonts w:ascii="Arial" w:hAnsi="Arial" w:cs="Arial"/>
          <w:szCs w:val="24"/>
          <w:lang w:val="es-ES"/>
        </w:rPr>
        <w:t>A</w:t>
      </w:r>
      <w:r w:rsidRPr="003F7BE5">
        <w:rPr>
          <w:rFonts w:ascii="Arial" w:hAnsi="Arial" w:cs="Arial"/>
          <w:szCs w:val="24"/>
          <w:lang w:val="es-ES"/>
        </w:rPr>
        <w:t xml:space="preserve">rtículo 26 regula el </w:t>
      </w:r>
      <w:r>
        <w:rPr>
          <w:rFonts w:ascii="Arial" w:hAnsi="Arial" w:cs="Arial"/>
          <w:szCs w:val="24"/>
          <w:lang w:val="es-ES"/>
        </w:rPr>
        <w:t>S</w:t>
      </w:r>
      <w:r w:rsidRPr="003F7BE5">
        <w:rPr>
          <w:rFonts w:ascii="Arial" w:hAnsi="Arial" w:cs="Arial"/>
          <w:szCs w:val="24"/>
          <w:lang w:val="es-ES"/>
        </w:rPr>
        <w:t xml:space="preserve">istema de </w:t>
      </w:r>
      <w:r>
        <w:rPr>
          <w:rFonts w:ascii="Arial" w:hAnsi="Arial" w:cs="Arial"/>
          <w:szCs w:val="24"/>
          <w:lang w:val="es-ES"/>
        </w:rPr>
        <w:t>R</w:t>
      </w:r>
      <w:r w:rsidRPr="003F7BE5">
        <w:rPr>
          <w:rFonts w:ascii="Arial" w:hAnsi="Arial" w:cs="Arial"/>
          <w:szCs w:val="24"/>
          <w:lang w:val="es-ES"/>
        </w:rPr>
        <w:t xml:space="preserve">emuneración de </w:t>
      </w:r>
      <w:r>
        <w:rPr>
          <w:rFonts w:ascii="Arial" w:hAnsi="Arial" w:cs="Arial"/>
          <w:szCs w:val="24"/>
          <w:lang w:val="es-ES"/>
        </w:rPr>
        <w:t>C</w:t>
      </w:r>
      <w:r w:rsidRPr="003F7BE5">
        <w:rPr>
          <w:rFonts w:ascii="Arial" w:hAnsi="Arial" w:cs="Arial"/>
          <w:szCs w:val="24"/>
          <w:lang w:val="es-ES"/>
        </w:rPr>
        <w:t xml:space="preserve">umplimiento de </w:t>
      </w:r>
      <w:r>
        <w:rPr>
          <w:rFonts w:ascii="Arial" w:hAnsi="Arial" w:cs="Arial"/>
          <w:szCs w:val="24"/>
          <w:lang w:val="es-ES"/>
        </w:rPr>
        <w:t>M</w:t>
      </w:r>
      <w:r w:rsidRPr="003F7BE5">
        <w:rPr>
          <w:rFonts w:ascii="Arial" w:hAnsi="Arial" w:cs="Arial"/>
          <w:szCs w:val="24"/>
          <w:lang w:val="es-ES"/>
        </w:rPr>
        <w:t xml:space="preserve">etas (SRCM), disponiendo que la partida se abonará de acuerdo </w:t>
      </w:r>
      <w:r>
        <w:rPr>
          <w:rFonts w:ascii="Arial" w:hAnsi="Arial" w:cs="Arial"/>
          <w:szCs w:val="24"/>
          <w:lang w:val="es-ES"/>
        </w:rPr>
        <w:t xml:space="preserve">con </w:t>
      </w:r>
      <w:r w:rsidRPr="003F7BE5">
        <w:rPr>
          <w:rFonts w:ascii="Arial" w:hAnsi="Arial" w:cs="Arial"/>
          <w:szCs w:val="24"/>
          <w:lang w:val="es-ES"/>
        </w:rPr>
        <w:t>los indicadores de Desempeño Institucional, Desempeño Sectorial y Desempeño Individual, debiendo comunicarse los mismos oportunamente al Tribunal de Cuentas, a efectos de hacer efectiva dicha partida.</w:t>
      </w:r>
    </w:p>
    <w:p w:rsidR="003E70F0" w:rsidRPr="006B1500" w:rsidRDefault="003E70F0" w:rsidP="00096354">
      <w:pPr>
        <w:pStyle w:val="Textoindependiente"/>
        <w:widowControl/>
        <w:numPr>
          <w:ilvl w:val="1"/>
          <w:numId w:val="5"/>
        </w:numPr>
        <w:tabs>
          <w:tab w:val="clear" w:pos="-720"/>
          <w:tab w:val="left" w:pos="851"/>
        </w:tabs>
        <w:suppressAutoHyphens w:val="0"/>
        <w:spacing w:line="360" w:lineRule="auto"/>
        <w:rPr>
          <w:rFonts w:ascii="Arial" w:hAnsi="Arial" w:cs="Arial"/>
          <w:szCs w:val="24"/>
          <w:lang w:val="es-ES"/>
        </w:rPr>
      </w:pPr>
      <w:r w:rsidRPr="003F7BE5">
        <w:rPr>
          <w:rFonts w:ascii="Arial" w:hAnsi="Arial" w:cs="Arial"/>
          <w:szCs w:val="24"/>
          <w:lang w:val="es-ES"/>
        </w:rPr>
        <w:t xml:space="preserve">El </w:t>
      </w:r>
      <w:r>
        <w:rPr>
          <w:rFonts w:ascii="Arial" w:hAnsi="Arial" w:cs="Arial"/>
          <w:szCs w:val="24"/>
          <w:lang w:val="es-ES"/>
        </w:rPr>
        <w:t>A</w:t>
      </w:r>
      <w:r w:rsidRPr="003F7BE5">
        <w:rPr>
          <w:rFonts w:ascii="Arial" w:hAnsi="Arial" w:cs="Arial"/>
          <w:szCs w:val="24"/>
          <w:lang w:val="es-ES"/>
        </w:rPr>
        <w:t xml:space="preserve">rtículo </w:t>
      </w:r>
      <w:r>
        <w:rPr>
          <w:rFonts w:ascii="Arial" w:hAnsi="Arial" w:cs="Arial"/>
          <w:szCs w:val="24"/>
          <w:lang w:val="es-ES"/>
        </w:rPr>
        <w:t>40</w:t>
      </w:r>
      <w:r w:rsidRPr="003F7BE5">
        <w:rPr>
          <w:rFonts w:ascii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que </w:t>
      </w:r>
      <w:r w:rsidRPr="003F7BE5">
        <w:rPr>
          <w:rFonts w:ascii="Arial" w:hAnsi="Arial" w:cs="Arial"/>
          <w:szCs w:val="24"/>
          <w:lang w:val="es-ES"/>
        </w:rPr>
        <w:t>otorga al Directorio del BC</w:t>
      </w:r>
      <w:r>
        <w:rPr>
          <w:rFonts w:ascii="Arial" w:hAnsi="Arial" w:cs="Arial"/>
          <w:szCs w:val="24"/>
          <w:lang w:val="es-ES"/>
        </w:rPr>
        <w:t xml:space="preserve">U </w:t>
      </w:r>
      <w:r w:rsidRPr="003F7BE5">
        <w:rPr>
          <w:rFonts w:ascii="Arial" w:hAnsi="Arial" w:cs="Arial"/>
          <w:szCs w:val="24"/>
          <w:lang w:val="es-ES"/>
        </w:rPr>
        <w:t>la facultad de realizar transformaciones de cargos y funciones, para adecuar la estructura organizativa</w:t>
      </w:r>
      <w:r>
        <w:rPr>
          <w:rFonts w:ascii="Arial" w:hAnsi="Arial" w:cs="Arial"/>
          <w:szCs w:val="24"/>
          <w:lang w:val="es-ES"/>
        </w:rPr>
        <w:t xml:space="preserve"> </w:t>
      </w:r>
      <w:r w:rsidRPr="003F7BE5">
        <w:rPr>
          <w:rFonts w:ascii="Arial" w:hAnsi="Arial" w:cs="Arial"/>
          <w:szCs w:val="24"/>
          <w:lang w:val="es-ES"/>
        </w:rPr>
        <w:t xml:space="preserve">a las reales necesidades de la empresa, no merece observación siempre que no suponga la realización de una modificación presupuestal fuera de la instancia anual prevista por el </w:t>
      </w:r>
      <w:r>
        <w:rPr>
          <w:rFonts w:ascii="Arial" w:hAnsi="Arial" w:cs="Arial"/>
          <w:szCs w:val="24"/>
          <w:lang w:val="es-ES"/>
        </w:rPr>
        <w:t>A</w:t>
      </w:r>
      <w:r w:rsidRPr="003F7BE5">
        <w:rPr>
          <w:rFonts w:ascii="Arial" w:hAnsi="Arial" w:cs="Arial"/>
          <w:szCs w:val="24"/>
          <w:lang w:val="es-ES"/>
        </w:rPr>
        <w:t xml:space="preserve">rtículo 221 de la Constitución de la República </w:t>
      </w:r>
      <w:r w:rsidRPr="006B1500">
        <w:rPr>
          <w:rFonts w:ascii="Arial" w:hAnsi="Arial" w:cs="Arial"/>
          <w:szCs w:val="24"/>
          <w:lang w:val="es-ES"/>
        </w:rPr>
        <w:t>y 50 del Texto Ordenado de su Carta Orgánica aprobada por la Ley N° 16.696 de 30/03/1995 y su última modificación introducida  por la Ley N° 18.996  de 07/11/2012.</w:t>
      </w:r>
    </w:p>
    <w:p w:rsidR="003E70F0" w:rsidRPr="00FC5266" w:rsidRDefault="003E70F0" w:rsidP="00096354">
      <w:pPr>
        <w:pStyle w:val="Textoindependiente"/>
        <w:widowControl/>
        <w:numPr>
          <w:ilvl w:val="1"/>
          <w:numId w:val="5"/>
        </w:numPr>
        <w:tabs>
          <w:tab w:val="clear" w:pos="-720"/>
          <w:tab w:val="left" w:pos="851"/>
        </w:tabs>
        <w:suppressAutoHyphens w:val="0"/>
        <w:spacing w:line="360" w:lineRule="auto"/>
        <w:rPr>
          <w:rFonts w:ascii="Arial" w:hAnsi="Arial" w:cs="Arial"/>
          <w:szCs w:val="24"/>
        </w:rPr>
      </w:pPr>
      <w:r w:rsidRPr="00FC5266">
        <w:rPr>
          <w:rFonts w:ascii="Arial" w:hAnsi="Arial" w:cs="Arial"/>
          <w:szCs w:val="24"/>
          <w:lang w:val="es-ES"/>
        </w:rPr>
        <w:t xml:space="preserve">Este Tribunal emite su </w:t>
      </w:r>
      <w:r>
        <w:rPr>
          <w:rFonts w:ascii="Arial" w:hAnsi="Arial" w:cs="Arial"/>
          <w:szCs w:val="24"/>
          <w:lang w:val="es-ES"/>
        </w:rPr>
        <w:t>D</w:t>
      </w:r>
      <w:r w:rsidRPr="00FC5266">
        <w:rPr>
          <w:rFonts w:ascii="Arial" w:hAnsi="Arial" w:cs="Arial"/>
          <w:szCs w:val="24"/>
          <w:lang w:val="es-ES"/>
        </w:rPr>
        <w:t>ictamen sobre el Proyecto para el Ejercicio 2016 en el plazo constitucionalmente previsto y con las mayorías requeridas a tales efectos.</w:t>
      </w:r>
    </w:p>
    <w:p w:rsidR="003E70F0" w:rsidRPr="00934D2C" w:rsidRDefault="003E70F0" w:rsidP="00096354">
      <w:pPr>
        <w:pStyle w:val="Textoindependiente"/>
        <w:widowControl/>
        <w:numPr>
          <w:ilvl w:val="1"/>
          <w:numId w:val="5"/>
        </w:numPr>
        <w:tabs>
          <w:tab w:val="clear" w:pos="-720"/>
          <w:tab w:val="left" w:pos="851"/>
        </w:tabs>
        <w:suppressAutoHyphens w:val="0"/>
        <w:spacing w:line="360" w:lineRule="auto"/>
        <w:rPr>
          <w:rFonts w:ascii="Arial" w:hAnsi="Arial" w:cs="Arial"/>
          <w:szCs w:val="24"/>
          <w:lang w:val="es-ES"/>
        </w:rPr>
      </w:pPr>
      <w:r w:rsidRPr="003F7BE5">
        <w:rPr>
          <w:rFonts w:ascii="Arial" w:hAnsi="Arial" w:cs="Arial"/>
          <w:snapToGrid/>
          <w:spacing w:val="0"/>
          <w:szCs w:val="24"/>
          <w:lang w:val="es-ES"/>
        </w:rPr>
        <w:t>De acuerdo con la normativa constitucional vigente, el Directorio del Banco debe tener presente que luego de aprobado el presupuesto no puede modificarlo hasta la nueva instancia presupuestal.</w:t>
      </w:r>
    </w:p>
    <w:p w:rsidR="00934D2C" w:rsidRDefault="00934D2C" w:rsidP="00934D2C">
      <w:pPr>
        <w:pStyle w:val="Textoindependiente"/>
        <w:widowControl/>
        <w:tabs>
          <w:tab w:val="clear" w:pos="-720"/>
          <w:tab w:val="left" w:pos="851"/>
        </w:tabs>
        <w:suppressAutoHyphens w:val="0"/>
        <w:spacing w:line="360" w:lineRule="auto"/>
        <w:ind w:left="720"/>
        <w:rPr>
          <w:rFonts w:ascii="Arial" w:hAnsi="Arial" w:cs="Arial"/>
          <w:szCs w:val="24"/>
          <w:lang w:val="es-ES"/>
        </w:rPr>
      </w:pPr>
    </w:p>
    <w:p w:rsidR="003E70F0" w:rsidRPr="003F7BE5" w:rsidRDefault="003E70F0" w:rsidP="0009635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3F7BE5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OPINIÓN</w:t>
      </w:r>
    </w:p>
    <w:p w:rsidR="003E70F0" w:rsidRPr="00D02B9F" w:rsidRDefault="003E70F0" w:rsidP="00D02B9F">
      <w:p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3F7BE5">
        <w:rPr>
          <w:rFonts w:ascii="Arial" w:hAnsi="Arial" w:cs="Arial"/>
          <w:spacing w:val="-3"/>
          <w:sz w:val="24"/>
          <w:szCs w:val="24"/>
          <w:lang w:val="es-ES_tradnl"/>
        </w:rPr>
        <w:t xml:space="preserve">En opinión del Tribunal de Cuentas, el Proyecto de Presupuesto del Banco Central del Uruguay </w:t>
      </w: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>correspondiente al ejercicio 2016 ha sido</w:t>
      </w:r>
      <w:r w:rsidRPr="003F7BE5">
        <w:rPr>
          <w:rFonts w:ascii="Arial" w:hAnsi="Arial" w:cs="Arial"/>
          <w:spacing w:val="-3"/>
          <w:sz w:val="24"/>
          <w:szCs w:val="24"/>
          <w:lang w:val="es-ES_tradnl"/>
        </w:rPr>
        <w:t xml:space="preserve"> preparado en forma razonable de acuerdo con los supuestos efectuados por el Organismo, y se presenta de conformidad con las disposiciones constitucionales, legales y reglamentarias vigentes.</w:t>
      </w:r>
    </w:p>
    <w:p w:rsidR="003E70F0" w:rsidRDefault="003E70F0" w:rsidP="007714AD">
      <w:pPr>
        <w:spacing w:line="360" w:lineRule="auto"/>
        <w:jc w:val="right"/>
        <w:rPr>
          <w:rFonts w:ascii="Arial" w:hAnsi="Arial" w:cs="Arial"/>
          <w:sz w:val="24"/>
          <w:szCs w:val="24"/>
          <w:lang w:val="es-ES_tradnl"/>
        </w:rPr>
      </w:pPr>
      <w:r w:rsidRPr="006B1500">
        <w:rPr>
          <w:rFonts w:ascii="Arial" w:hAnsi="Arial" w:cs="Arial"/>
          <w:spacing w:val="-3"/>
          <w:sz w:val="24"/>
          <w:szCs w:val="24"/>
          <w:lang w:val="es-ES_tradnl"/>
        </w:rPr>
        <w:t>M</w:t>
      </w:r>
      <w:r w:rsidRPr="006B1500">
        <w:rPr>
          <w:rFonts w:ascii="Arial" w:hAnsi="Arial" w:cs="Arial"/>
          <w:sz w:val="24"/>
          <w:szCs w:val="24"/>
          <w:lang w:val="es-ES_tradnl"/>
        </w:rPr>
        <w:t>ontevideo, 26 de agosto de 2015</w:t>
      </w:r>
    </w:p>
    <w:p w:rsidR="003E70F0" w:rsidRPr="003E70F0" w:rsidRDefault="003E70F0" w:rsidP="003E70F0">
      <w:pPr>
        <w:spacing w:line="360" w:lineRule="auto"/>
        <w:ind w:hanging="709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>dc</w:t>
      </w:r>
      <w:proofErr w:type="gramEnd"/>
    </w:p>
    <w:sectPr w:rsidR="003E70F0" w:rsidRPr="003E70F0" w:rsidSect="0019274F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EEB"/>
    <w:multiLevelType w:val="multilevel"/>
    <w:tmpl w:val="0D863F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3CD27213"/>
    <w:multiLevelType w:val="multilevel"/>
    <w:tmpl w:val="9EC2063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B6184E"/>
    <w:multiLevelType w:val="multilevel"/>
    <w:tmpl w:val="B39CF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Arial" w:eastAsia="Times New Roman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630F0B12"/>
    <w:multiLevelType w:val="hybridMultilevel"/>
    <w:tmpl w:val="985694C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A24FE"/>
    <w:multiLevelType w:val="singleLevel"/>
    <w:tmpl w:val="CB0C1EE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i w:val="0"/>
        <w:sz w:val="24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E4"/>
    <w:rsid w:val="00027608"/>
    <w:rsid w:val="000315E6"/>
    <w:rsid w:val="00096354"/>
    <w:rsid w:val="0019274F"/>
    <w:rsid w:val="002845B5"/>
    <w:rsid w:val="00285DA5"/>
    <w:rsid w:val="003E70F0"/>
    <w:rsid w:val="003F7BE5"/>
    <w:rsid w:val="00410D79"/>
    <w:rsid w:val="00427277"/>
    <w:rsid w:val="00445F47"/>
    <w:rsid w:val="0044639C"/>
    <w:rsid w:val="004C37C8"/>
    <w:rsid w:val="004D125B"/>
    <w:rsid w:val="004D7569"/>
    <w:rsid w:val="00596C31"/>
    <w:rsid w:val="006924E8"/>
    <w:rsid w:val="006B1500"/>
    <w:rsid w:val="006B6DB5"/>
    <w:rsid w:val="006F4C77"/>
    <w:rsid w:val="00707CE4"/>
    <w:rsid w:val="0072621A"/>
    <w:rsid w:val="007714AD"/>
    <w:rsid w:val="00796EC5"/>
    <w:rsid w:val="007A5A63"/>
    <w:rsid w:val="008E5D07"/>
    <w:rsid w:val="00934D2C"/>
    <w:rsid w:val="009376E1"/>
    <w:rsid w:val="00987929"/>
    <w:rsid w:val="0099339C"/>
    <w:rsid w:val="009C5158"/>
    <w:rsid w:val="00A57597"/>
    <w:rsid w:val="00A92BE4"/>
    <w:rsid w:val="00AF63F5"/>
    <w:rsid w:val="00BD5650"/>
    <w:rsid w:val="00BE2359"/>
    <w:rsid w:val="00C3660A"/>
    <w:rsid w:val="00CE11BE"/>
    <w:rsid w:val="00D02B9F"/>
    <w:rsid w:val="00D440A6"/>
    <w:rsid w:val="00D7646B"/>
    <w:rsid w:val="00F3459D"/>
    <w:rsid w:val="00F66AC8"/>
    <w:rsid w:val="00F845F0"/>
    <w:rsid w:val="00F867E7"/>
    <w:rsid w:val="00FB1B69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3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02B9F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D02B9F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02B9F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02B9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D02B9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2B9F"/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D02B9F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pacing w:val="-3"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D02B9F"/>
    <w:rPr>
      <w:rFonts w:ascii="Arial" w:eastAsia="Times New Roman" w:hAnsi="Arial" w:cs="Times New Roman"/>
      <w:b/>
      <w:bCs/>
      <w:spacing w:val="-3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02B9F"/>
    <w:pPr>
      <w:suppressAutoHyphens/>
      <w:spacing w:after="0" w:line="360" w:lineRule="auto"/>
      <w:ind w:left="-360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02B9F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normal">
    <w:name w:val="Texto normal"/>
    <w:basedOn w:val="Textoindependiente"/>
    <w:rsid w:val="006F4C77"/>
    <w:pPr>
      <w:spacing w:line="480" w:lineRule="auto"/>
    </w:pPr>
    <w:rPr>
      <w:rFonts w:ascii="Courier" w:hAnsi="Courie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3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F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3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02B9F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D02B9F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02B9F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02B9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D02B9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2B9F"/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D02B9F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pacing w:val="-3"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D02B9F"/>
    <w:rPr>
      <w:rFonts w:ascii="Arial" w:eastAsia="Times New Roman" w:hAnsi="Arial" w:cs="Times New Roman"/>
      <w:b/>
      <w:bCs/>
      <w:spacing w:val="-3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02B9F"/>
    <w:pPr>
      <w:suppressAutoHyphens/>
      <w:spacing w:after="0" w:line="360" w:lineRule="auto"/>
      <w:ind w:left="-360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02B9F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normal">
    <w:name w:val="Texto normal"/>
    <w:basedOn w:val="Textoindependiente"/>
    <w:rsid w:val="006F4C77"/>
    <w:pPr>
      <w:spacing w:line="480" w:lineRule="auto"/>
    </w:pPr>
    <w:rPr>
      <w:rFonts w:ascii="Courier" w:hAnsi="Courie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3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F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1210-408E-46F0-B60E-E4FA73A0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BCU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Brienza</dc:creator>
  <cp:lastModifiedBy> </cp:lastModifiedBy>
  <cp:revision>4</cp:revision>
  <cp:lastPrinted>2015-09-04T17:46:00Z</cp:lastPrinted>
  <dcterms:created xsi:type="dcterms:W3CDTF">2015-09-04T17:47:00Z</dcterms:created>
  <dcterms:modified xsi:type="dcterms:W3CDTF">2015-09-29T19:51:00Z</dcterms:modified>
</cp:coreProperties>
</file>