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EF2" w:rsidRDefault="00233EF2" w:rsidP="00233EF2">
      <w:pPr>
        <w:tabs>
          <w:tab w:val="center" w:pos="4253"/>
        </w:tabs>
        <w:suppressAutoHyphens/>
        <w:spacing w:line="240" w:lineRule="auto"/>
        <w:jc w:val="center"/>
        <w:rPr>
          <w:rFonts w:ascii="Helvetica" w:hAnsi="Helvetica"/>
          <w:b/>
          <w:sz w:val="24"/>
          <w:lang w:val="es-ES_tradnl"/>
        </w:rPr>
      </w:pPr>
      <w:r>
        <w:rPr>
          <w:rFonts w:ascii="Helvetica" w:hAnsi="Helvetica"/>
          <w:b/>
          <w:sz w:val="24"/>
          <w:lang w:val="es-ES_tradnl"/>
        </w:rPr>
        <w:t>RESOLUCION ADOPTADA POR EL</w:t>
      </w:r>
    </w:p>
    <w:p w:rsidR="00233EF2" w:rsidRDefault="00233EF2" w:rsidP="00233EF2">
      <w:pPr>
        <w:tabs>
          <w:tab w:val="center" w:pos="4253"/>
        </w:tabs>
        <w:suppressAutoHyphens/>
        <w:spacing w:line="240" w:lineRule="auto"/>
        <w:jc w:val="center"/>
        <w:rPr>
          <w:rFonts w:ascii="Helvetica" w:hAnsi="Helvetica"/>
          <w:b/>
          <w:sz w:val="24"/>
          <w:lang w:val="es-ES_tradnl"/>
        </w:rPr>
      </w:pPr>
      <w:r>
        <w:rPr>
          <w:rFonts w:ascii="Helvetica" w:hAnsi="Helvetica"/>
          <w:b/>
          <w:sz w:val="24"/>
          <w:lang w:val="es-ES_tradnl"/>
        </w:rPr>
        <w:t>TRIBUNAL DE CUENTAS</w:t>
      </w:r>
    </w:p>
    <w:p w:rsidR="00233EF2" w:rsidRDefault="00233EF2" w:rsidP="00233EF2">
      <w:pPr>
        <w:tabs>
          <w:tab w:val="center" w:pos="4253"/>
        </w:tabs>
        <w:suppressAutoHyphens/>
        <w:spacing w:line="240" w:lineRule="auto"/>
        <w:jc w:val="center"/>
        <w:rPr>
          <w:rFonts w:ascii="Helvetica" w:hAnsi="Helvetica"/>
          <w:b/>
          <w:sz w:val="24"/>
          <w:lang w:val="es-ES_tradnl"/>
        </w:rPr>
      </w:pPr>
      <w:r>
        <w:rPr>
          <w:rFonts w:ascii="Helvetica" w:hAnsi="Helvetica"/>
          <w:b/>
          <w:sz w:val="24"/>
          <w:lang w:val="es-ES_tradnl"/>
        </w:rPr>
        <w:t>EN SESION DE FECHA 19 DE AGOSTO DE 2015</w:t>
      </w:r>
    </w:p>
    <w:p w:rsidR="00233EF2" w:rsidRDefault="00233EF2" w:rsidP="00233EF2">
      <w:pPr>
        <w:tabs>
          <w:tab w:val="center" w:pos="4253"/>
        </w:tabs>
        <w:suppressAutoHyphens/>
        <w:spacing w:line="240" w:lineRule="auto"/>
        <w:jc w:val="center"/>
        <w:rPr>
          <w:rFonts w:ascii="Helvetica" w:hAnsi="Helvetica"/>
          <w:b/>
          <w:sz w:val="24"/>
          <w:lang w:val="es-ES_tradnl"/>
        </w:rPr>
      </w:pPr>
      <w:r>
        <w:rPr>
          <w:rFonts w:ascii="Helvetica" w:hAnsi="Helvetica"/>
          <w:b/>
          <w:sz w:val="24"/>
          <w:lang w:val="es-ES_tradnl"/>
        </w:rPr>
        <w:t>(E.E. Nº 2015-17-1-0005072, E. Nº 4085/15)</w:t>
      </w:r>
    </w:p>
    <w:p w:rsidR="00233EF2" w:rsidRDefault="00233EF2">
      <w:pPr>
        <w:tabs>
          <w:tab w:val="center" w:pos="4253"/>
        </w:tabs>
        <w:suppressAutoHyphens/>
        <w:jc w:val="center"/>
        <w:rPr>
          <w:rFonts w:ascii="Arial" w:hAnsi="Arial"/>
          <w:spacing w:val="-3"/>
          <w:lang w:val="es-ES_tradnl"/>
        </w:rPr>
      </w:pPr>
    </w:p>
    <w:p w:rsidR="000C2E2E" w:rsidRDefault="000C2E2E" w:rsidP="000C2E2E">
      <w:pPr>
        <w:pStyle w:val="Ttulo8"/>
        <w:numPr>
          <w:ilvl w:val="0"/>
          <w:numId w:val="0"/>
        </w:numPr>
        <w:ind w:firstLine="851"/>
        <w:rPr>
          <w:b w:val="0"/>
        </w:rPr>
      </w:pPr>
      <w:r w:rsidRPr="00932E38">
        <w:rPr>
          <w:bCs/>
        </w:rPr>
        <w:t>VISTO:</w:t>
      </w:r>
      <w:r w:rsidRPr="00932E38">
        <w:rPr>
          <w:b w:val="0"/>
          <w:bCs/>
        </w:rPr>
        <w:t xml:space="preserve"> las actuaciones remitidas por la  Administración de los Servicios de Salud del Estado (A.S.S.E.)</w:t>
      </w:r>
      <w:r w:rsidRPr="00932E38">
        <w:rPr>
          <w:b w:val="0"/>
          <w:lang w:val="es-UY"/>
        </w:rPr>
        <w:t>,</w:t>
      </w:r>
      <w:r w:rsidRPr="00932E38">
        <w:rPr>
          <w:b w:val="0"/>
          <w:bCs/>
        </w:rPr>
        <w:t xml:space="preserve"> relacionadas con la Licitación Abreviada Nº 08/201</w:t>
      </w:r>
      <w:r>
        <w:rPr>
          <w:b w:val="0"/>
          <w:bCs/>
        </w:rPr>
        <w:t>4</w:t>
      </w:r>
      <w:r w:rsidRPr="00932E38">
        <w:rPr>
          <w:b w:val="0"/>
          <w:bCs/>
        </w:rPr>
        <w:t xml:space="preserve"> para el </w:t>
      </w:r>
      <w:r w:rsidRPr="00932E38">
        <w:rPr>
          <w:b w:val="0"/>
        </w:rPr>
        <w:t>“Suministro de Estudios Médicos varios”</w:t>
      </w:r>
      <w:r>
        <w:rPr>
          <w:b w:val="0"/>
        </w:rPr>
        <w:t xml:space="preserve"> para el Hospital de Treinta y Tres; </w:t>
      </w:r>
    </w:p>
    <w:p w:rsidR="000C2E2E" w:rsidRPr="00C93249" w:rsidRDefault="000C2E2E" w:rsidP="000C2E2E">
      <w:pPr>
        <w:pStyle w:val="Ttulo8"/>
        <w:numPr>
          <w:ilvl w:val="0"/>
          <w:numId w:val="0"/>
        </w:numPr>
        <w:ind w:firstLine="851"/>
        <w:rPr>
          <w:b w:val="0"/>
        </w:rPr>
      </w:pPr>
      <w:r w:rsidRPr="00C93249">
        <w:rPr>
          <w:bCs/>
        </w:rPr>
        <w:t xml:space="preserve">RESULTANDO: </w:t>
      </w:r>
      <w:r w:rsidRPr="00D7608B">
        <w:rPr>
          <w:bCs/>
        </w:rPr>
        <w:t>1)</w:t>
      </w:r>
      <w:r w:rsidRPr="00E60E40">
        <w:rPr>
          <w:bCs/>
        </w:rPr>
        <w:t xml:space="preserve"> </w:t>
      </w:r>
      <w:r w:rsidRPr="00C93249">
        <w:rPr>
          <w:b w:val="0"/>
          <w:bCs/>
        </w:rPr>
        <w:t>que cumplidos los trámites de estilo (</w:t>
      </w:r>
      <w:r>
        <w:rPr>
          <w:b w:val="0"/>
          <w:bCs/>
        </w:rPr>
        <w:t>P</w:t>
      </w:r>
      <w:r w:rsidRPr="00C93249">
        <w:rPr>
          <w:b w:val="0"/>
          <w:bCs/>
        </w:rPr>
        <w:t xml:space="preserve">ublicaciones), al </w:t>
      </w:r>
      <w:r>
        <w:rPr>
          <w:b w:val="0"/>
          <w:bCs/>
        </w:rPr>
        <w:t>A</w:t>
      </w:r>
      <w:r w:rsidRPr="00C93249">
        <w:rPr>
          <w:b w:val="0"/>
          <w:bCs/>
        </w:rPr>
        <w:t xml:space="preserve">cto de </w:t>
      </w:r>
      <w:r>
        <w:rPr>
          <w:b w:val="0"/>
          <w:bCs/>
        </w:rPr>
        <w:t>A</w:t>
      </w:r>
      <w:r w:rsidRPr="00C93249">
        <w:rPr>
          <w:b w:val="0"/>
          <w:bCs/>
        </w:rPr>
        <w:t>pertura realizado con fecha 29/12/2014, se presentaron cuatro oferentes: G</w:t>
      </w:r>
      <w:r>
        <w:rPr>
          <w:b w:val="0"/>
          <w:bCs/>
        </w:rPr>
        <w:t>loria</w:t>
      </w:r>
      <w:r w:rsidRPr="00C93249">
        <w:rPr>
          <w:b w:val="0"/>
          <w:bCs/>
        </w:rPr>
        <w:t xml:space="preserve"> R</w:t>
      </w:r>
      <w:r>
        <w:rPr>
          <w:b w:val="0"/>
          <w:bCs/>
        </w:rPr>
        <w:t>uiz</w:t>
      </w:r>
      <w:r w:rsidRPr="00C93249">
        <w:rPr>
          <w:b w:val="0"/>
          <w:bCs/>
        </w:rPr>
        <w:t xml:space="preserve">; </w:t>
      </w:r>
      <w:r w:rsidRPr="00C93249">
        <w:rPr>
          <w:b w:val="0"/>
          <w:lang w:val="es-ES"/>
        </w:rPr>
        <w:t>D</w:t>
      </w:r>
      <w:r>
        <w:rPr>
          <w:b w:val="0"/>
          <w:lang w:val="es-ES"/>
        </w:rPr>
        <w:t>ra</w:t>
      </w:r>
      <w:r w:rsidRPr="00C93249">
        <w:rPr>
          <w:b w:val="0"/>
          <w:lang w:val="es-ES"/>
        </w:rPr>
        <w:t>.</w:t>
      </w:r>
      <w:r>
        <w:rPr>
          <w:b w:val="0"/>
          <w:lang w:val="es-ES"/>
        </w:rPr>
        <w:t xml:space="preserve"> </w:t>
      </w:r>
      <w:r w:rsidRPr="00C93249">
        <w:rPr>
          <w:b w:val="0"/>
          <w:lang w:val="es-ES"/>
        </w:rPr>
        <w:t>M</w:t>
      </w:r>
      <w:r>
        <w:rPr>
          <w:b w:val="0"/>
          <w:lang w:val="es-ES"/>
        </w:rPr>
        <w:t>ónica</w:t>
      </w:r>
      <w:r w:rsidRPr="00C93249">
        <w:rPr>
          <w:b w:val="0"/>
          <w:lang w:val="es-ES"/>
        </w:rPr>
        <w:t xml:space="preserve"> P</w:t>
      </w:r>
      <w:r>
        <w:rPr>
          <w:b w:val="0"/>
          <w:lang w:val="es-ES"/>
        </w:rPr>
        <w:t xml:space="preserve">erdomo; </w:t>
      </w:r>
      <w:r w:rsidRPr="00C93249">
        <w:rPr>
          <w:b w:val="0"/>
          <w:lang w:val="es-ES"/>
        </w:rPr>
        <w:t>I</w:t>
      </w:r>
      <w:r>
        <w:rPr>
          <w:b w:val="0"/>
          <w:lang w:val="es-ES"/>
        </w:rPr>
        <w:t>vette</w:t>
      </w:r>
      <w:r w:rsidRPr="00C93249">
        <w:rPr>
          <w:b w:val="0"/>
          <w:lang w:val="es-ES"/>
        </w:rPr>
        <w:t xml:space="preserve"> </w:t>
      </w:r>
      <w:proofErr w:type="spellStart"/>
      <w:r w:rsidRPr="00C93249">
        <w:rPr>
          <w:b w:val="0"/>
          <w:lang w:val="es-ES"/>
        </w:rPr>
        <w:t>Y</w:t>
      </w:r>
      <w:r>
        <w:rPr>
          <w:b w:val="0"/>
          <w:lang w:val="es-ES"/>
        </w:rPr>
        <w:t>anina</w:t>
      </w:r>
      <w:proofErr w:type="spellEnd"/>
      <w:r w:rsidRPr="00C93249">
        <w:rPr>
          <w:b w:val="0"/>
          <w:lang w:val="es-ES"/>
        </w:rPr>
        <w:t xml:space="preserve"> C</w:t>
      </w:r>
      <w:r>
        <w:rPr>
          <w:b w:val="0"/>
          <w:lang w:val="es-ES"/>
        </w:rPr>
        <w:t>orrea</w:t>
      </w:r>
      <w:r w:rsidRPr="00C93249">
        <w:rPr>
          <w:b w:val="0"/>
          <w:lang w:val="es-ES"/>
        </w:rPr>
        <w:t xml:space="preserve">  y O</w:t>
      </w:r>
      <w:r>
        <w:rPr>
          <w:b w:val="0"/>
          <w:lang w:val="es-ES"/>
        </w:rPr>
        <w:t>svaldo</w:t>
      </w:r>
      <w:r w:rsidRPr="00C93249">
        <w:rPr>
          <w:b w:val="0"/>
          <w:lang w:val="es-ES"/>
        </w:rPr>
        <w:t xml:space="preserve"> G</w:t>
      </w:r>
      <w:r>
        <w:rPr>
          <w:b w:val="0"/>
          <w:lang w:val="es-ES"/>
        </w:rPr>
        <w:t>onzález</w:t>
      </w:r>
      <w:r w:rsidRPr="00C93249">
        <w:rPr>
          <w:b w:val="0"/>
          <w:lang w:val="es-ES"/>
        </w:rPr>
        <w:t xml:space="preserve">; </w:t>
      </w:r>
    </w:p>
    <w:p w:rsidR="000C2E2E" w:rsidRPr="007E39C1" w:rsidRDefault="000C2E2E" w:rsidP="000C2E2E">
      <w:pPr>
        <w:spacing w:line="360" w:lineRule="auto"/>
        <w:ind w:firstLine="2694"/>
        <w:jc w:val="both"/>
        <w:rPr>
          <w:rFonts w:ascii="Arial" w:hAnsi="Arial" w:cs="Arial"/>
          <w:b/>
          <w:bCs/>
          <w:sz w:val="24"/>
          <w:szCs w:val="24"/>
        </w:rPr>
      </w:pPr>
      <w:r w:rsidRPr="007E39C1">
        <w:rPr>
          <w:rFonts w:ascii="Arial" w:hAnsi="Arial" w:cs="Arial"/>
          <w:b/>
          <w:sz w:val="24"/>
          <w:szCs w:val="24"/>
        </w:rPr>
        <w:t xml:space="preserve">2) </w:t>
      </w:r>
      <w:r w:rsidRPr="007E39C1">
        <w:rPr>
          <w:rFonts w:ascii="Arial" w:hAnsi="Arial" w:cs="Arial"/>
          <w:sz w:val="24"/>
          <w:szCs w:val="24"/>
        </w:rPr>
        <w:t xml:space="preserve">que consta Resolución del </w:t>
      </w:r>
      <w:r w:rsidRPr="007E39C1">
        <w:rPr>
          <w:rFonts w:ascii="Arial" w:hAnsi="Arial" w:cs="Arial"/>
          <w:bCs/>
          <w:sz w:val="24"/>
          <w:szCs w:val="24"/>
          <w:lang w:val="es-ES_tradnl"/>
        </w:rPr>
        <w:t xml:space="preserve">Sub-Director del Hospital “José O. </w:t>
      </w:r>
      <w:proofErr w:type="spellStart"/>
      <w:r w:rsidRPr="007E39C1">
        <w:rPr>
          <w:rFonts w:ascii="Arial" w:hAnsi="Arial" w:cs="Arial"/>
          <w:bCs/>
          <w:sz w:val="24"/>
          <w:szCs w:val="24"/>
          <w:lang w:val="es-ES_tradnl"/>
        </w:rPr>
        <w:t>Percovich</w:t>
      </w:r>
      <w:proofErr w:type="spellEnd"/>
      <w:r w:rsidRPr="007E39C1">
        <w:rPr>
          <w:rFonts w:ascii="Arial" w:hAnsi="Arial" w:cs="Arial"/>
          <w:bCs/>
          <w:sz w:val="24"/>
          <w:szCs w:val="24"/>
          <w:lang w:val="es-ES_tradnl"/>
        </w:rPr>
        <w:t>” (Treinta y Tres)</w:t>
      </w:r>
      <w:r w:rsidRPr="007E39C1">
        <w:rPr>
          <w:rFonts w:ascii="Arial" w:hAnsi="Arial" w:cs="Arial"/>
          <w:sz w:val="24"/>
          <w:szCs w:val="24"/>
          <w:lang w:val="es-ES_tradnl"/>
        </w:rPr>
        <w:t xml:space="preserve"> de </w:t>
      </w:r>
      <w:r w:rsidRPr="007E39C1">
        <w:rPr>
          <w:rFonts w:ascii="Arial" w:hAnsi="Arial" w:cs="Arial"/>
          <w:bCs/>
          <w:sz w:val="24"/>
          <w:szCs w:val="24"/>
          <w:lang w:val="es-ES_tradnl"/>
        </w:rPr>
        <w:t>fecha 27/01/2015, y</w:t>
      </w:r>
      <w:r w:rsidRPr="007E39C1">
        <w:rPr>
          <w:rFonts w:ascii="Arial" w:hAnsi="Arial" w:cs="Arial"/>
          <w:bCs/>
          <w:sz w:val="24"/>
          <w:szCs w:val="24"/>
        </w:rPr>
        <w:t xml:space="preserve"> de acuerdo con la recomendación de la Comisión Asesora, dispuso adjudicar por precio y antecedentes a las Empresas Gloria Ruiz </w:t>
      </w:r>
      <w:proofErr w:type="spellStart"/>
      <w:r w:rsidRPr="007E39C1">
        <w:rPr>
          <w:rFonts w:ascii="Arial" w:hAnsi="Arial" w:cs="Arial"/>
          <w:bCs/>
          <w:sz w:val="24"/>
          <w:szCs w:val="24"/>
        </w:rPr>
        <w:t>Items</w:t>
      </w:r>
      <w:proofErr w:type="spellEnd"/>
      <w:r w:rsidRPr="007E39C1">
        <w:rPr>
          <w:rFonts w:ascii="Arial" w:hAnsi="Arial" w:cs="Arial"/>
          <w:bCs/>
          <w:sz w:val="24"/>
          <w:szCs w:val="24"/>
        </w:rPr>
        <w:t xml:space="preserve"> 1, 2, 6 y 8 ($ 383.900); Mónica Perdomo </w:t>
      </w:r>
      <w:proofErr w:type="spellStart"/>
      <w:r w:rsidRPr="007E39C1">
        <w:rPr>
          <w:rFonts w:ascii="Arial" w:hAnsi="Arial" w:cs="Arial"/>
          <w:bCs/>
          <w:sz w:val="24"/>
          <w:szCs w:val="24"/>
        </w:rPr>
        <w:t>Item</w:t>
      </w:r>
      <w:proofErr w:type="spellEnd"/>
      <w:r w:rsidRPr="007E39C1">
        <w:rPr>
          <w:rFonts w:ascii="Arial" w:hAnsi="Arial" w:cs="Arial"/>
          <w:bCs/>
          <w:sz w:val="24"/>
          <w:szCs w:val="24"/>
        </w:rPr>
        <w:t xml:space="preserve"> 7 ($ 75.900); </w:t>
      </w:r>
      <w:proofErr w:type="spellStart"/>
      <w:r w:rsidRPr="007E39C1">
        <w:rPr>
          <w:rFonts w:ascii="Arial" w:hAnsi="Arial" w:cs="Arial"/>
          <w:bCs/>
          <w:sz w:val="24"/>
          <w:szCs w:val="24"/>
        </w:rPr>
        <w:t>Yanina</w:t>
      </w:r>
      <w:proofErr w:type="spellEnd"/>
      <w:r w:rsidRPr="007E39C1">
        <w:rPr>
          <w:rFonts w:ascii="Arial" w:hAnsi="Arial" w:cs="Arial"/>
          <w:bCs/>
          <w:sz w:val="24"/>
          <w:szCs w:val="24"/>
        </w:rPr>
        <w:t xml:space="preserve"> Correa </w:t>
      </w:r>
      <w:proofErr w:type="spellStart"/>
      <w:r w:rsidRPr="007E39C1">
        <w:rPr>
          <w:rFonts w:ascii="Arial" w:hAnsi="Arial" w:cs="Arial"/>
          <w:bCs/>
          <w:sz w:val="24"/>
          <w:szCs w:val="24"/>
        </w:rPr>
        <w:t>Items</w:t>
      </w:r>
      <w:proofErr w:type="spellEnd"/>
      <w:r w:rsidRPr="007E39C1">
        <w:rPr>
          <w:rFonts w:ascii="Arial" w:hAnsi="Arial" w:cs="Arial"/>
          <w:bCs/>
          <w:sz w:val="24"/>
          <w:szCs w:val="24"/>
        </w:rPr>
        <w:t xml:space="preserve"> 4 y 5 ($ 365.332) y Osvaldo González </w:t>
      </w:r>
      <w:proofErr w:type="spellStart"/>
      <w:r w:rsidRPr="007E39C1">
        <w:rPr>
          <w:rFonts w:ascii="Arial" w:hAnsi="Arial" w:cs="Arial"/>
          <w:bCs/>
          <w:sz w:val="24"/>
          <w:szCs w:val="24"/>
        </w:rPr>
        <w:t>Items</w:t>
      </w:r>
      <w:proofErr w:type="spellEnd"/>
      <w:r w:rsidRPr="007E39C1">
        <w:rPr>
          <w:rFonts w:ascii="Arial" w:hAnsi="Arial" w:cs="Arial"/>
          <w:bCs/>
          <w:sz w:val="24"/>
          <w:szCs w:val="24"/>
        </w:rPr>
        <w:t xml:space="preserve"> 3 y 5 ($ 808.500), siendo el total de la Licitació</w:t>
      </w:r>
      <w:r w:rsidR="007E39C1" w:rsidRPr="007E39C1">
        <w:rPr>
          <w:rFonts w:ascii="Arial" w:hAnsi="Arial" w:cs="Arial"/>
          <w:bCs/>
          <w:sz w:val="24"/>
          <w:szCs w:val="24"/>
        </w:rPr>
        <w:t>n</w:t>
      </w:r>
      <w:r w:rsidRPr="007E39C1">
        <w:rPr>
          <w:rFonts w:ascii="Arial" w:hAnsi="Arial" w:cs="Arial"/>
          <w:bCs/>
          <w:sz w:val="24"/>
          <w:szCs w:val="24"/>
        </w:rPr>
        <w:t xml:space="preserve"> $ 1:633.632 impuestos incluidos;</w:t>
      </w:r>
    </w:p>
    <w:p w:rsidR="000C2E2E" w:rsidRPr="007E39C1" w:rsidRDefault="000C2E2E" w:rsidP="000C2E2E">
      <w:pPr>
        <w:spacing w:line="360" w:lineRule="auto"/>
        <w:ind w:firstLine="2694"/>
        <w:jc w:val="both"/>
        <w:rPr>
          <w:rFonts w:ascii="Arial" w:hAnsi="Arial" w:cs="Arial"/>
          <w:b/>
          <w:bCs/>
          <w:sz w:val="24"/>
          <w:szCs w:val="24"/>
        </w:rPr>
      </w:pPr>
      <w:r w:rsidRPr="007E39C1">
        <w:rPr>
          <w:rFonts w:ascii="Arial" w:hAnsi="Arial" w:cs="Arial"/>
          <w:b/>
          <w:bCs/>
          <w:sz w:val="24"/>
          <w:szCs w:val="24"/>
        </w:rPr>
        <w:t>3)</w:t>
      </w:r>
      <w:r w:rsidRPr="007E39C1">
        <w:rPr>
          <w:b/>
          <w:bCs/>
          <w:sz w:val="24"/>
          <w:szCs w:val="24"/>
        </w:rPr>
        <w:t xml:space="preserve"> </w:t>
      </w:r>
      <w:r w:rsidRPr="007E39C1">
        <w:rPr>
          <w:rFonts w:ascii="Arial" w:hAnsi="Arial" w:cs="Arial"/>
          <w:bCs/>
          <w:sz w:val="24"/>
          <w:szCs w:val="24"/>
        </w:rPr>
        <w:t>que se adjunta Documento de Afectación Nº 00045 de fecha 26/02/2015, con cargo al Inciso 29 ASSE, Unidad Ejecutora 032, Financiamiento 12 “Recurso con Afectación Especial”, Programa 440, Objeto del Gasto 283, por $ 1:633.632;</w:t>
      </w:r>
      <w:r w:rsidRPr="007E39C1">
        <w:rPr>
          <w:rFonts w:ascii="Arial" w:hAnsi="Arial" w:cs="Arial"/>
          <w:b/>
          <w:bCs/>
          <w:sz w:val="24"/>
          <w:szCs w:val="24"/>
        </w:rPr>
        <w:t xml:space="preserve"> </w:t>
      </w:r>
    </w:p>
    <w:p w:rsidR="000C2E2E" w:rsidRDefault="000C2E2E" w:rsidP="000C2E2E">
      <w:pPr>
        <w:pStyle w:val="Ttulo"/>
        <w:ind w:firstLine="2694"/>
        <w:jc w:val="both"/>
        <w:rPr>
          <w:b w:val="0"/>
          <w:bCs/>
          <w:u w:val="none"/>
          <w:lang w:val="es-ES_tradnl"/>
        </w:rPr>
      </w:pPr>
      <w:r w:rsidRPr="00D7608B">
        <w:rPr>
          <w:rFonts w:cs="Arial"/>
          <w:bCs/>
          <w:u w:val="none"/>
          <w:lang w:val="es-ES_tradnl"/>
        </w:rPr>
        <w:t>4)</w:t>
      </w:r>
      <w:r>
        <w:rPr>
          <w:rFonts w:cs="Arial"/>
          <w:b w:val="0"/>
          <w:bCs/>
          <w:u w:val="none"/>
          <w:lang w:val="es-ES_tradnl"/>
        </w:rPr>
        <w:t xml:space="preserve"> que con fecha 17/04/2015, la</w:t>
      </w:r>
      <w:r w:rsidRPr="009C3EBB">
        <w:rPr>
          <w:rFonts w:cs="Arial"/>
          <w:b w:val="0"/>
          <w:bCs/>
          <w:u w:val="none"/>
          <w:lang w:val="es-ES_tradnl"/>
        </w:rPr>
        <w:t xml:space="preserve"> Contadora Delegada</w:t>
      </w:r>
      <w:r>
        <w:rPr>
          <w:rFonts w:cs="Arial"/>
          <w:b w:val="0"/>
          <w:bCs/>
          <w:u w:val="none"/>
          <w:lang w:val="es-ES_tradnl"/>
        </w:rPr>
        <w:t xml:space="preserve"> en ASSE</w:t>
      </w:r>
      <w:r w:rsidRPr="009C3EBB">
        <w:rPr>
          <w:rFonts w:cs="Arial"/>
          <w:b w:val="0"/>
          <w:bCs/>
          <w:u w:val="none"/>
          <w:lang w:val="es-ES_tradnl"/>
        </w:rPr>
        <w:t xml:space="preserve">, </w:t>
      </w:r>
      <w:r>
        <w:rPr>
          <w:rFonts w:cs="Arial"/>
          <w:b w:val="0"/>
          <w:bCs/>
          <w:u w:val="none"/>
          <w:lang w:val="es-ES_tradnl"/>
        </w:rPr>
        <w:t>d</w:t>
      </w:r>
      <w:r>
        <w:rPr>
          <w:b w:val="0"/>
          <w:bCs/>
          <w:u w:val="none"/>
          <w:lang w:val="es-ES_tradnl"/>
        </w:rPr>
        <w:t xml:space="preserve">evuelve para mejor proveer con las siguientes consideraciones: </w:t>
      </w:r>
    </w:p>
    <w:p w:rsidR="000C2E2E" w:rsidRDefault="000C2E2E" w:rsidP="000C2E2E">
      <w:pPr>
        <w:pStyle w:val="Ttulo"/>
        <w:jc w:val="both"/>
        <w:rPr>
          <w:b w:val="0"/>
          <w:bCs/>
          <w:u w:val="none"/>
          <w:lang w:val="es-ES_tradnl"/>
        </w:rPr>
      </w:pPr>
      <w:r w:rsidRPr="00D7608B">
        <w:rPr>
          <w:bCs/>
          <w:u w:val="none"/>
          <w:lang w:val="es-ES_tradnl"/>
        </w:rPr>
        <w:lastRenderedPageBreak/>
        <w:t xml:space="preserve">4.1) </w:t>
      </w:r>
      <w:r>
        <w:rPr>
          <w:b w:val="0"/>
          <w:bCs/>
          <w:u w:val="none"/>
          <w:lang w:val="es-ES_tradnl"/>
        </w:rPr>
        <w:t>que de acuerdo con lo establecido en el Pliego para evaluar las ofertas se tomarán en cuenta precio y antecedentes, conforme con el siguiente criterio: Precio 50; Antecedentes con el Hospital 50, sin especificar cuál será la ponderación de cada uno a los efectos de determinar la calificación asignada a cada oferta;</w:t>
      </w:r>
    </w:p>
    <w:p w:rsidR="000C2E2E" w:rsidRDefault="000C2E2E" w:rsidP="000C2E2E">
      <w:pPr>
        <w:pStyle w:val="Ttulo"/>
        <w:jc w:val="both"/>
        <w:rPr>
          <w:b w:val="0"/>
          <w:bCs/>
          <w:u w:val="none"/>
          <w:lang w:val="es-ES_tradnl"/>
        </w:rPr>
      </w:pPr>
      <w:r w:rsidRPr="00D7608B">
        <w:rPr>
          <w:bCs/>
          <w:u w:val="none"/>
          <w:lang w:val="es-ES_tradnl"/>
        </w:rPr>
        <w:t>4.2)</w:t>
      </w:r>
      <w:r>
        <w:rPr>
          <w:b w:val="0"/>
          <w:bCs/>
          <w:u w:val="none"/>
          <w:lang w:val="es-ES_tradnl"/>
        </w:rPr>
        <w:t xml:space="preserve"> </w:t>
      </w:r>
      <w:proofErr w:type="gramStart"/>
      <w:r>
        <w:rPr>
          <w:b w:val="0"/>
          <w:bCs/>
          <w:u w:val="none"/>
          <w:lang w:val="es-ES_tradnl"/>
        </w:rPr>
        <w:t>que</w:t>
      </w:r>
      <w:proofErr w:type="gramEnd"/>
      <w:r>
        <w:rPr>
          <w:b w:val="0"/>
          <w:bCs/>
          <w:u w:val="none"/>
          <w:lang w:val="es-ES_tradnl"/>
        </w:rPr>
        <w:t xml:space="preserve"> del Cuadro de Ponderaciones surge que: </w:t>
      </w:r>
      <w:r w:rsidRPr="009F6A8E">
        <w:rPr>
          <w:bCs/>
          <w:u w:val="none"/>
          <w:lang w:val="es-ES_tradnl"/>
        </w:rPr>
        <w:t>a</w:t>
      </w:r>
      <w:r>
        <w:rPr>
          <w:b w:val="0"/>
          <w:bCs/>
          <w:u w:val="none"/>
          <w:lang w:val="es-ES_tradnl"/>
        </w:rPr>
        <w:t xml:space="preserve">) al oferente Osvaldo González se le otorga distinto puntaje al evaluar los antecedentes para los diferentes </w:t>
      </w:r>
      <w:proofErr w:type="spellStart"/>
      <w:r>
        <w:rPr>
          <w:b w:val="0"/>
          <w:bCs/>
          <w:u w:val="none"/>
          <w:lang w:val="es-ES_tradnl"/>
        </w:rPr>
        <w:t>Items</w:t>
      </w:r>
      <w:proofErr w:type="spellEnd"/>
      <w:r>
        <w:rPr>
          <w:b w:val="0"/>
          <w:bCs/>
          <w:u w:val="none"/>
          <w:lang w:val="es-ES_tradnl"/>
        </w:rPr>
        <w:t xml:space="preserve">: 50 puntos </w:t>
      </w:r>
      <w:proofErr w:type="spellStart"/>
      <w:r>
        <w:rPr>
          <w:b w:val="0"/>
          <w:bCs/>
          <w:u w:val="none"/>
          <w:lang w:val="es-ES_tradnl"/>
        </w:rPr>
        <w:t>Item</w:t>
      </w:r>
      <w:proofErr w:type="spellEnd"/>
      <w:r>
        <w:rPr>
          <w:b w:val="0"/>
          <w:bCs/>
          <w:u w:val="none"/>
          <w:lang w:val="es-ES_tradnl"/>
        </w:rPr>
        <w:t xml:space="preserve"> 3, 40 puntos </w:t>
      </w:r>
      <w:proofErr w:type="spellStart"/>
      <w:r>
        <w:rPr>
          <w:b w:val="0"/>
          <w:bCs/>
          <w:u w:val="none"/>
          <w:lang w:val="es-ES_tradnl"/>
        </w:rPr>
        <w:t>Item</w:t>
      </w:r>
      <w:proofErr w:type="spellEnd"/>
      <w:r>
        <w:rPr>
          <w:b w:val="0"/>
          <w:bCs/>
          <w:u w:val="none"/>
          <w:lang w:val="es-ES_tradnl"/>
        </w:rPr>
        <w:t xml:space="preserve"> 4 y 40 puntos </w:t>
      </w:r>
      <w:proofErr w:type="spellStart"/>
      <w:r>
        <w:rPr>
          <w:b w:val="0"/>
          <w:bCs/>
          <w:u w:val="none"/>
          <w:lang w:val="es-ES_tradnl"/>
        </w:rPr>
        <w:t>Item</w:t>
      </w:r>
      <w:proofErr w:type="spellEnd"/>
      <w:r>
        <w:rPr>
          <w:b w:val="0"/>
          <w:bCs/>
          <w:u w:val="none"/>
          <w:lang w:val="es-ES_tradnl"/>
        </w:rPr>
        <w:t xml:space="preserve"> 5, sin dejar constancia de las razones en que se fundan dichas diferencias; </w:t>
      </w:r>
      <w:r w:rsidRPr="009F6A8E">
        <w:rPr>
          <w:bCs/>
          <w:u w:val="none"/>
          <w:lang w:val="es-ES_tradnl"/>
        </w:rPr>
        <w:t>b</w:t>
      </w:r>
      <w:r>
        <w:rPr>
          <w:b w:val="0"/>
          <w:bCs/>
          <w:u w:val="none"/>
          <w:lang w:val="es-ES_tradnl"/>
        </w:rPr>
        <w:t xml:space="preserve">) a </w:t>
      </w:r>
      <w:proofErr w:type="spellStart"/>
      <w:r>
        <w:rPr>
          <w:b w:val="0"/>
          <w:bCs/>
          <w:u w:val="none"/>
          <w:lang w:val="es-ES_tradnl"/>
        </w:rPr>
        <w:t>Yanina</w:t>
      </w:r>
      <w:proofErr w:type="spellEnd"/>
      <w:r>
        <w:rPr>
          <w:b w:val="0"/>
          <w:bCs/>
          <w:u w:val="none"/>
          <w:lang w:val="es-ES_tradnl"/>
        </w:rPr>
        <w:t xml:space="preserve"> Correa le otorgan 45 puntos al evaluar Precio de los </w:t>
      </w:r>
      <w:proofErr w:type="spellStart"/>
      <w:r>
        <w:rPr>
          <w:b w:val="0"/>
          <w:bCs/>
          <w:u w:val="none"/>
          <w:lang w:val="es-ES_tradnl"/>
        </w:rPr>
        <w:t>Items</w:t>
      </w:r>
      <w:proofErr w:type="spellEnd"/>
      <w:r>
        <w:rPr>
          <w:b w:val="0"/>
          <w:bCs/>
          <w:u w:val="none"/>
          <w:lang w:val="es-ES_tradnl"/>
        </w:rPr>
        <w:t xml:space="preserve"> 4 y 5. Los mismos se califican tomando como referencia la oferta de Osvaldo González, que presenta menor precio en ambos </w:t>
      </w:r>
      <w:proofErr w:type="spellStart"/>
      <w:r>
        <w:rPr>
          <w:b w:val="0"/>
          <w:bCs/>
          <w:u w:val="none"/>
          <w:lang w:val="es-ES_tradnl"/>
        </w:rPr>
        <w:t>Items</w:t>
      </w:r>
      <w:proofErr w:type="spellEnd"/>
      <w:r>
        <w:rPr>
          <w:b w:val="0"/>
          <w:bCs/>
          <w:u w:val="none"/>
          <w:lang w:val="es-ES_tradnl"/>
        </w:rPr>
        <w:t xml:space="preserve">, pero la ponderación no guarda la misma relación en uno y otro </w:t>
      </w:r>
      <w:proofErr w:type="spellStart"/>
      <w:r>
        <w:rPr>
          <w:b w:val="0"/>
          <w:bCs/>
          <w:u w:val="none"/>
          <w:lang w:val="es-ES_tradnl"/>
        </w:rPr>
        <w:t>Item</w:t>
      </w:r>
      <w:proofErr w:type="spellEnd"/>
      <w:r>
        <w:rPr>
          <w:b w:val="0"/>
          <w:bCs/>
          <w:u w:val="none"/>
          <w:lang w:val="es-ES_tradnl"/>
        </w:rPr>
        <w:t xml:space="preserve"> matemáticamente; </w:t>
      </w:r>
      <w:r w:rsidRPr="009F6A8E">
        <w:rPr>
          <w:bCs/>
          <w:u w:val="none"/>
          <w:lang w:val="es-ES_tradnl"/>
        </w:rPr>
        <w:t>c</w:t>
      </w:r>
      <w:r>
        <w:rPr>
          <w:b w:val="0"/>
          <w:bCs/>
          <w:u w:val="none"/>
          <w:lang w:val="es-ES_tradnl"/>
        </w:rPr>
        <w:t xml:space="preserve">) el </w:t>
      </w:r>
      <w:proofErr w:type="spellStart"/>
      <w:r>
        <w:rPr>
          <w:b w:val="0"/>
          <w:bCs/>
          <w:u w:val="none"/>
          <w:lang w:val="es-ES_tradnl"/>
        </w:rPr>
        <w:t>Item</w:t>
      </w:r>
      <w:proofErr w:type="spellEnd"/>
      <w:r>
        <w:rPr>
          <w:b w:val="0"/>
          <w:bCs/>
          <w:u w:val="none"/>
          <w:lang w:val="es-ES_tradnl"/>
        </w:rPr>
        <w:t xml:space="preserve"> 5 se adjudica a 2 proveedores, lo que está previsto en el Pliego, pero esto es procedente cuando la diferencia en las calificaciones de las mismas es menor al 5%, de acuerdo con el Artículo 66 del TOCAF, extremo que no se cumple en este caso;</w:t>
      </w:r>
    </w:p>
    <w:p w:rsidR="000C2E2E" w:rsidRPr="000921EB" w:rsidRDefault="000C2E2E" w:rsidP="000C2E2E">
      <w:pPr>
        <w:spacing w:line="360" w:lineRule="auto"/>
        <w:ind w:firstLine="2694"/>
        <w:jc w:val="both"/>
        <w:rPr>
          <w:rFonts w:ascii="Arial" w:hAnsi="Arial" w:cs="Arial"/>
          <w:b/>
          <w:bCs/>
          <w:sz w:val="24"/>
          <w:szCs w:val="24"/>
        </w:rPr>
      </w:pPr>
      <w:r w:rsidRPr="000921EB">
        <w:rPr>
          <w:rFonts w:ascii="Arial" w:hAnsi="Arial" w:cs="Arial"/>
          <w:b/>
          <w:bCs/>
          <w:sz w:val="24"/>
          <w:szCs w:val="24"/>
        </w:rPr>
        <w:t xml:space="preserve">5) </w:t>
      </w:r>
      <w:r w:rsidRPr="000921EB">
        <w:rPr>
          <w:rFonts w:ascii="Arial" w:hAnsi="Arial" w:cs="Arial"/>
          <w:bCs/>
          <w:sz w:val="24"/>
          <w:szCs w:val="24"/>
          <w:lang w:val="es-ES_tradnl"/>
        </w:rPr>
        <w:t xml:space="preserve">que la Administración, </w:t>
      </w:r>
      <w:r w:rsidRPr="000921EB">
        <w:rPr>
          <w:rFonts w:ascii="Arial" w:hAnsi="Arial" w:cs="Arial"/>
          <w:bCs/>
          <w:sz w:val="24"/>
          <w:szCs w:val="24"/>
        </w:rPr>
        <w:t>con fecha 19/05/2015, expresó que</w:t>
      </w:r>
      <w:r w:rsidRPr="000921EB">
        <w:rPr>
          <w:rFonts w:ascii="Arial" w:hAnsi="Arial" w:cs="Arial"/>
          <w:b/>
          <w:bCs/>
          <w:sz w:val="24"/>
          <w:szCs w:val="24"/>
        </w:rPr>
        <w:t xml:space="preserve">: </w:t>
      </w:r>
    </w:p>
    <w:p w:rsidR="000C2E2E" w:rsidRPr="000921EB" w:rsidRDefault="000C2E2E" w:rsidP="000C2E2E">
      <w:pPr>
        <w:spacing w:line="360" w:lineRule="auto"/>
        <w:jc w:val="both"/>
        <w:rPr>
          <w:rFonts w:ascii="Arial" w:hAnsi="Arial" w:cs="Arial"/>
          <w:b/>
          <w:bCs/>
          <w:sz w:val="24"/>
          <w:szCs w:val="24"/>
        </w:rPr>
      </w:pPr>
      <w:r w:rsidRPr="000921EB">
        <w:rPr>
          <w:rFonts w:ascii="Arial" w:hAnsi="Arial" w:cs="Arial"/>
          <w:b/>
          <w:bCs/>
          <w:sz w:val="24"/>
          <w:szCs w:val="24"/>
        </w:rPr>
        <w:t xml:space="preserve"> 5.1</w:t>
      </w:r>
      <w:r w:rsidRPr="000921EB">
        <w:rPr>
          <w:rFonts w:ascii="Arial" w:hAnsi="Arial" w:cs="Arial"/>
          <w:bCs/>
          <w:sz w:val="24"/>
          <w:szCs w:val="24"/>
        </w:rPr>
        <w:t>)</w:t>
      </w:r>
      <w:r w:rsidRPr="000921EB">
        <w:rPr>
          <w:rFonts w:ascii="Arial" w:hAnsi="Arial" w:cs="Arial"/>
          <w:b/>
          <w:bCs/>
          <w:sz w:val="24"/>
          <w:szCs w:val="24"/>
        </w:rPr>
        <w:t xml:space="preserve"> </w:t>
      </w:r>
      <w:r w:rsidRPr="000921EB">
        <w:rPr>
          <w:rFonts w:ascii="Arial" w:hAnsi="Arial" w:cs="Arial"/>
          <w:bCs/>
          <w:sz w:val="24"/>
          <w:szCs w:val="24"/>
        </w:rPr>
        <w:t>en el cuadro de ponderaciones surge que se otorga distinto puntaje al mismo oferente, lo que obedece por tratarse de estudios similares pero de especialización diferente, esto es pediátricos y adultos;</w:t>
      </w:r>
    </w:p>
    <w:p w:rsidR="000C2E2E" w:rsidRPr="000921EB" w:rsidRDefault="000C2E2E" w:rsidP="000C2E2E">
      <w:pPr>
        <w:spacing w:line="360" w:lineRule="auto"/>
        <w:jc w:val="both"/>
        <w:rPr>
          <w:rFonts w:ascii="Arial" w:hAnsi="Arial" w:cs="Arial"/>
          <w:b/>
          <w:bCs/>
          <w:sz w:val="24"/>
          <w:szCs w:val="24"/>
        </w:rPr>
      </w:pPr>
      <w:r w:rsidRPr="000921EB">
        <w:rPr>
          <w:rFonts w:ascii="Arial" w:hAnsi="Arial" w:cs="Arial"/>
          <w:b/>
          <w:bCs/>
          <w:sz w:val="24"/>
          <w:szCs w:val="24"/>
        </w:rPr>
        <w:t>5.2</w:t>
      </w:r>
      <w:r w:rsidRPr="000921EB">
        <w:rPr>
          <w:rFonts w:ascii="Arial" w:hAnsi="Arial" w:cs="Arial"/>
          <w:bCs/>
          <w:sz w:val="24"/>
          <w:szCs w:val="24"/>
        </w:rPr>
        <w:t>)</w:t>
      </w:r>
      <w:r w:rsidRPr="000921EB">
        <w:rPr>
          <w:rFonts w:ascii="Arial" w:hAnsi="Arial" w:cs="Arial"/>
          <w:b/>
          <w:bCs/>
          <w:sz w:val="24"/>
          <w:szCs w:val="24"/>
        </w:rPr>
        <w:t xml:space="preserve"> </w:t>
      </w:r>
      <w:proofErr w:type="spellStart"/>
      <w:r w:rsidRPr="000921EB">
        <w:rPr>
          <w:rFonts w:ascii="Arial" w:hAnsi="Arial" w:cs="Arial"/>
          <w:bCs/>
          <w:sz w:val="24"/>
          <w:szCs w:val="24"/>
        </w:rPr>
        <w:t>Yanina</w:t>
      </w:r>
      <w:proofErr w:type="spellEnd"/>
      <w:r w:rsidRPr="000921EB">
        <w:rPr>
          <w:rFonts w:ascii="Arial" w:hAnsi="Arial" w:cs="Arial"/>
          <w:bCs/>
          <w:sz w:val="24"/>
          <w:szCs w:val="24"/>
        </w:rPr>
        <w:t xml:space="preserve"> Correa presenta una especialista en </w:t>
      </w:r>
      <w:proofErr w:type="spellStart"/>
      <w:r w:rsidRPr="000921EB">
        <w:rPr>
          <w:rFonts w:ascii="Arial" w:hAnsi="Arial" w:cs="Arial"/>
          <w:bCs/>
          <w:sz w:val="24"/>
          <w:szCs w:val="24"/>
        </w:rPr>
        <w:t>Neuropediatría</w:t>
      </w:r>
      <w:proofErr w:type="spellEnd"/>
      <w:r w:rsidRPr="000921EB">
        <w:rPr>
          <w:rFonts w:ascii="Arial" w:hAnsi="Arial" w:cs="Arial"/>
          <w:bCs/>
          <w:sz w:val="24"/>
          <w:szCs w:val="24"/>
        </w:rPr>
        <w:t xml:space="preserve"> (50), el          Dr. González no presenta esa calificación, por lo que se califica diferencialmente (40), si bien en el </w:t>
      </w:r>
      <w:proofErr w:type="spellStart"/>
      <w:r w:rsidRPr="000921EB">
        <w:rPr>
          <w:rFonts w:ascii="Arial" w:hAnsi="Arial" w:cs="Arial"/>
          <w:bCs/>
          <w:sz w:val="24"/>
          <w:szCs w:val="24"/>
        </w:rPr>
        <w:t>Item</w:t>
      </w:r>
      <w:proofErr w:type="spellEnd"/>
      <w:r w:rsidRPr="000921EB">
        <w:rPr>
          <w:rFonts w:ascii="Arial" w:hAnsi="Arial" w:cs="Arial"/>
          <w:bCs/>
          <w:sz w:val="24"/>
          <w:szCs w:val="24"/>
        </w:rPr>
        <w:t xml:space="preserve"> 5 se le adjudica a ambos por razones de previsión en casos de urgencia;</w:t>
      </w:r>
    </w:p>
    <w:p w:rsidR="000C2E2E" w:rsidRPr="000921EB" w:rsidRDefault="000C2E2E" w:rsidP="000C2E2E">
      <w:pPr>
        <w:spacing w:line="360" w:lineRule="auto"/>
        <w:jc w:val="both"/>
        <w:rPr>
          <w:rFonts w:ascii="Arial" w:hAnsi="Arial" w:cs="Arial"/>
          <w:b/>
          <w:bCs/>
          <w:sz w:val="24"/>
          <w:szCs w:val="24"/>
        </w:rPr>
      </w:pPr>
      <w:r w:rsidRPr="000921EB">
        <w:rPr>
          <w:rFonts w:ascii="Arial" w:hAnsi="Arial" w:cs="Arial"/>
          <w:b/>
          <w:bCs/>
          <w:sz w:val="24"/>
          <w:szCs w:val="24"/>
        </w:rPr>
        <w:lastRenderedPageBreak/>
        <w:t>5.3</w:t>
      </w:r>
      <w:r w:rsidRPr="000921EB">
        <w:rPr>
          <w:rFonts w:ascii="Arial" w:hAnsi="Arial" w:cs="Arial"/>
          <w:bCs/>
          <w:sz w:val="24"/>
          <w:szCs w:val="24"/>
        </w:rPr>
        <w:t>)</w:t>
      </w:r>
      <w:r w:rsidRPr="000921EB">
        <w:rPr>
          <w:rFonts w:ascii="Arial" w:hAnsi="Arial" w:cs="Arial"/>
          <w:b/>
          <w:bCs/>
          <w:sz w:val="24"/>
          <w:szCs w:val="24"/>
        </w:rPr>
        <w:t xml:space="preserve"> </w:t>
      </w:r>
      <w:r w:rsidRPr="000921EB">
        <w:rPr>
          <w:rFonts w:ascii="Arial" w:hAnsi="Arial" w:cs="Arial"/>
          <w:bCs/>
          <w:sz w:val="24"/>
          <w:szCs w:val="24"/>
        </w:rPr>
        <w:t>en cuanto al cociente matemático sugerido por la Contadora, si bien es de recibo, no resulta sustancial dado que sólo dos oferentes se presentaron y es de interés por razones de servicio a los usuarios la contratación de ambos, a efectos de cubrir las necesidades asistenciales durante todos los días;</w:t>
      </w:r>
    </w:p>
    <w:p w:rsidR="000C2E2E" w:rsidRDefault="000C2E2E" w:rsidP="000C2E2E">
      <w:pPr>
        <w:spacing w:line="360" w:lineRule="auto"/>
        <w:jc w:val="both"/>
        <w:rPr>
          <w:rFonts w:ascii="Arial" w:hAnsi="Arial" w:cs="Arial"/>
          <w:b/>
          <w:bCs/>
        </w:rPr>
      </w:pPr>
      <w:r w:rsidRPr="000921EB">
        <w:rPr>
          <w:rFonts w:ascii="Arial" w:hAnsi="Arial" w:cs="Arial"/>
          <w:b/>
          <w:bCs/>
        </w:rPr>
        <w:t>5.4</w:t>
      </w:r>
      <w:r w:rsidRPr="00D7608B">
        <w:rPr>
          <w:rFonts w:ascii="Arial" w:hAnsi="Arial" w:cs="Arial"/>
          <w:bCs/>
        </w:rPr>
        <w:t>)</w:t>
      </w:r>
      <w:r w:rsidRPr="001654E9">
        <w:rPr>
          <w:rFonts w:ascii="Arial" w:hAnsi="Arial" w:cs="Arial"/>
          <w:b/>
          <w:bCs/>
        </w:rPr>
        <w:t xml:space="preserve"> </w:t>
      </w:r>
      <w:r w:rsidRPr="000921EB">
        <w:rPr>
          <w:rFonts w:ascii="Arial" w:hAnsi="Arial" w:cs="Arial"/>
          <w:bCs/>
          <w:sz w:val="24"/>
          <w:szCs w:val="24"/>
        </w:rPr>
        <w:t>en los hechos, no se ven afectados los derechos ni la equidad de los oferentes, ya que la distribución en lo adjudicado resulta apropiada a las posibilidades de cobertura de ambos;</w:t>
      </w:r>
    </w:p>
    <w:p w:rsidR="000C2E2E" w:rsidRPr="000921EB" w:rsidRDefault="000C2E2E" w:rsidP="000C2E2E">
      <w:pPr>
        <w:spacing w:line="360" w:lineRule="auto"/>
        <w:ind w:firstLine="2694"/>
        <w:jc w:val="both"/>
        <w:rPr>
          <w:rFonts w:ascii="Arial" w:hAnsi="Arial" w:cs="Arial"/>
          <w:b/>
          <w:bCs/>
          <w:sz w:val="24"/>
          <w:szCs w:val="24"/>
          <w:lang w:val="es-ES_tradnl"/>
        </w:rPr>
      </w:pPr>
      <w:r w:rsidRPr="000921EB">
        <w:rPr>
          <w:rFonts w:ascii="Arial" w:hAnsi="Arial" w:cs="Arial"/>
          <w:b/>
          <w:bCs/>
          <w:sz w:val="24"/>
          <w:szCs w:val="24"/>
          <w:lang w:val="es-ES_tradnl"/>
        </w:rPr>
        <w:t xml:space="preserve">6) </w:t>
      </w:r>
      <w:r w:rsidRPr="000921EB">
        <w:rPr>
          <w:rFonts w:ascii="Arial" w:hAnsi="Arial" w:cs="Arial"/>
          <w:bCs/>
          <w:sz w:val="24"/>
          <w:szCs w:val="24"/>
          <w:lang w:val="es-ES_tradnl"/>
        </w:rPr>
        <w:t>que con fecha 23/07/2015, la Contadora Delegada eleva estos obrados a efectos de su consideración, dado que existen nuevas actuaciones por parte de la Unidad Ejecutora;</w:t>
      </w:r>
    </w:p>
    <w:p w:rsidR="000C2E2E" w:rsidRDefault="000C2E2E" w:rsidP="000C2E2E">
      <w:pPr>
        <w:pStyle w:val="Ttulo"/>
        <w:ind w:firstLine="851"/>
        <w:jc w:val="both"/>
        <w:rPr>
          <w:b w:val="0"/>
          <w:bCs/>
          <w:u w:val="none"/>
        </w:rPr>
      </w:pPr>
      <w:r>
        <w:rPr>
          <w:rFonts w:cs="Arial"/>
          <w:bCs/>
          <w:u w:val="none"/>
          <w:lang w:val="es-ES_tradnl"/>
        </w:rPr>
        <w:t>CONSIDERANDO</w:t>
      </w:r>
      <w:r w:rsidRPr="006942FE">
        <w:rPr>
          <w:rFonts w:cs="Arial"/>
          <w:bCs/>
          <w:u w:val="none"/>
          <w:lang w:val="es-ES_tradnl"/>
        </w:rPr>
        <w:t xml:space="preserve">: </w:t>
      </w:r>
      <w:r w:rsidRPr="00D7608B">
        <w:rPr>
          <w:rFonts w:cs="Arial"/>
          <w:bCs/>
          <w:u w:val="none"/>
          <w:lang w:val="es-ES_tradnl"/>
        </w:rPr>
        <w:t>1)</w:t>
      </w:r>
      <w:r w:rsidRPr="006942FE">
        <w:rPr>
          <w:rFonts w:cs="Arial"/>
          <w:bCs/>
          <w:u w:val="none"/>
          <w:lang w:val="es-ES_tradnl"/>
        </w:rPr>
        <w:t xml:space="preserve"> </w:t>
      </w:r>
      <w:r>
        <w:rPr>
          <w:b w:val="0"/>
          <w:bCs/>
          <w:u w:val="none"/>
        </w:rPr>
        <w:t>que el Pliego de Condiciones Particulares que rigió el Llamado, previó la división de la adjudicación, “entre oferentes que presenten ofertas similares en los términos establecidos por el Artículo 66 del T.O.C.A.F.”;</w:t>
      </w:r>
    </w:p>
    <w:p w:rsidR="000C2E2E" w:rsidRDefault="000C2E2E" w:rsidP="000C2E2E">
      <w:pPr>
        <w:pStyle w:val="Ttulo"/>
        <w:ind w:firstLine="2977"/>
        <w:jc w:val="both"/>
        <w:rPr>
          <w:b w:val="0"/>
          <w:bCs/>
          <w:u w:val="none"/>
        </w:rPr>
      </w:pPr>
      <w:r w:rsidRPr="00D7608B">
        <w:rPr>
          <w:bCs/>
          <w:u w:val="none"/>
        </w:rPr>
        <w:t>2)</w:t>
      </w:r>
      <w:r>
        <w:rPr>
          <w:b w:val="0"/>
          <w:bCs/>
          <w:u w:val="none"/>
        </w:rPr>
        <w:t xml:space="preserve"> que el referido Artículo 66  establece que: “se consideran ofertas con calificación similar aquéllas que no difieran en más de un 5% de la mejor calificada, conforme con los criterios cuantificados definidos en los Pliegos de Condiciones”;</w:t>
      </w:r>
    </w:p>
    <w:p w:rsidR="000C2E2E" w:rsidRDefault="000C2E2E" w:rsidP="000C2E2E">
      <w:pPr>
        <w:pStyle w:val="Ttulo"/>
        <w:ind w:firstLine="2977"/>
        <w:jc w:val="both"/>
        <w:rPr>
          <w:b w:val="0"/>
          <w:bCs/>
          <w:u w:val="none"/>
        </w:rPr>
      </w:pPr>
      <w:r w:rsidRPr="00D7608B">
        <w:rPr>
          <w:bCs/>
          <w:u w:val="none"/>
        </w:rPr>
        <w:t>3)</w:t>
      </w:r>
      <w:r>
        <w:rPr>
          <w:b w:val="0"/>
          <w:bCs/>
          <w:u w:val="none"/>
        </w:rPr>
        <w:t xml:space="preserve"> que, en el caso, la adjudicación dispuesta contraviene lo expresado en el Pliego de Condiciones en la medida que se realizó a dos oferentes cuya calificación difiere en más de un 5%;</w:t>
      </w:r>
    </w:p>
    <w:p w:rsidR="000C2E2E" w:rsidRDefault="000C2E2E" w:rsidP="000C2E2E">
      <w:pPr>
        <w:pStyle w:val="Ttulo"/>
        <w:ind w:firstLine="2977"/>
        <w:jc w:val="both"/>
        <w:rPr>
          <w:b w:val="0"/>
          <w:bCs/>
          <w:u w:val="none"/>
        </w:rPr>
      </w:pPr>
      <w:r w:rsidRPr="00D7608B">
        <w:rPr>
          <w:bCs/>
          <w:u w:val="none"/>
        </w:rPr>
        <w:t>4)</w:t>
      </w:r>
      <w:r>
        <w:rPr>
          <w:b w:val="0"/>
          <w:bCs/>
          <w:u w:val="none"/>
        </w:rPr>
        <w:t xml:space="preserve"> que, por otra parte, el Capítulo IV del Pliego Particular incumple con lo dispuesto por el Artículo 48 Literal C) del TOCAF, al no establecer cuál será la ponderación de las ofertas dentro del rango indicado (Precio: 50 puntos - Antecedentes: 50 puntos);</w:t>
      </w:r>
    </w:p>
    <w:p w:rsidR="000C2E2E" w:rsidRDefault="000C2E2E" w:rsidP="000C2E2E">
      <w:pPr>
        <w:pStyle w:val="Ttulo"/>
        <w:ind w:firstLine="2977"/>
        <w:jc w:val="both"/>
        <w:rPr>
          <w:b w:val="0"/>
          <w:bCs/>
          <w:u w:val="none"/>
        </w:rPr>
      </w:pPr>
      <w:r w:rsidRPr="00D7608B">
        <w:rPr>
          <w:bCs/>
          <w:u w:val="none"/>
        </w:rPr>
        <w:lastRenderedPageBreak/>
        <w:t>5)</w:t>
      </w:r>
      <w:r>
        <w:rPr>
          <w:b w:val="0"/>
          <w:bCs/>
          <w:u w:val="none"/>
        </w:rPr>
        <w:t xml:space="preserve"> que, por otra parte, el incumplimiento a que refiere el Considerando precedente, hace inaplicable la previsión del Pliego que habilita la división de la adjudicación entre oferentes similares;</w:t>
      </w:r>
    </w:p>
    <w:p w:rsidR="00647DC7" w:rsidRDefault="000C2E2E" w:rsidP="000C2E2E">
      <w:pPr>
        <w:pStyle w:val="Ttulo"/>
        <w:ind w:firstLine="851"/>
        <w:jc w:val="both"/>
        <w:rPr>
          <w:b w:val="0"/>
          <w:bCs/>
          <w:u w:val="none"/>
          <w:lang w:val="es-ES_tradnl"/>
        </w:rPr>
      </w:pPr>
      <w:r w:rsidRPr="008375A2">
        <w:rPr>
          <w:bCs/>
          <w:u w:val="none"/>
          <w:lang w:val="es-ES_tradnl"/>
        </w:rPr>
        <w:t>ATENTO:</w:t>
      </w:r>
      <w:r w:rsidRPr="008375A2">
        <w:rPr>
          <w:b w:val="0"/>
          <w:bCs/>
          <w:u w:val="none"/>
          <w:lang w:val="es-ES_tradnl"/>
        </w:rPr>
        <w:t xml:space="preserve"> a lo precedentemente expuesto y a lo dispuesto en el Artículo 211 Literal B) de la Constitución de la República;</w:t>
      </w:r>
    </w:p>
    <w:p w:rsidR="000C2E2E" w:rsidRDefault="000C2E2E" w:rsidP="000C2E2E">
      <w:pPr>
        <w:pStyle w:val="Ttulo"/>
        <w:ind w:firstLine="708"/>
        <w:rPr>
          <w:bCs/>
          <w:u w:val="none"/>
          <w:lang w:val="es-ES_tradnl"/>
        </w:rPr>
      </w:pPr>
      <w:bookmarkStart w:id="0" w:name="_GoBack"/>
      <w:bookmarkEnd w:id="0"/>
      <w:r w:rsidRPr="00102548">
        <w:rPr>
          <w:bCs/>
          <w:u w:val="none"/>
          <w:lang w:val="es-ES_tradnl"/>
        </w:rPr>
        <w:t>EL TRIBUNAL ACUERDA</w:t>
      </w:r>
      <w:r>
        <w:rPr>
          <w:bCs/>
          <w:u w:val="none"/>
          <w:lang w:val="es-ES_tradnl"/>
        </w:rPr>
        <w:t>:</w:t>
      </w:r>
    </w:p>
    <w:p w:rsidR="000C2E2E" w:rsidRPr="00CE4EA7" w:rsidRDefault="000C2E2E" w:rsidP="000C2E2E">
      <w:pPr>
        <w:pStyle w:val="Ttulo"/>
        <w:jc w:val="both"/>
        <w:rPr>
          <w:b w:val="0"/>
          <w:spacing w:val="-3"/>
          <w:u w:val="none"/>
        </w:rPr>
      </w:pPr>
      <w:r w:rsidRPr="00D7608B">
        <w:rPr>
          <w:bCs/>
          <w:u w:val="none"/>
          <w:lang w:val="es-ES_tradnl"/>
        </w:rPr>
        <w:t>1)</w:t>
      </w:r>
      <w:r>
        <w:rPr>
          <w:bCs/>
          <w:u w:val="none"/>
          <w:lang w:val="es-ES_tradnl"/>
        </w:rPr>
        <w:t xml:space="preserve"> </w:t>
      </w:r>
      <w:r>
        <w:rPr>
          <w:b w:val="0"/>
          <w:bCs/>
          <w:u w:val="none"/>
        </w:rPr>
        <w:t>Observar el gasto</w:t>
      </w:r>
      <w:r w:rsidRPr="00CE4EA7">
        <w:rPr>
          <w:b w:val="0"/>
          <w:spacing w:val="-3"/>
          <w:u w:val="none"/>
        </w:rPr>
        <w:t>;</w:t>
      </w:r>
    </w:p>
    <w:p w:rsidR="000C2E2E" w:rsidRPr="00470587" w:rsidRDefault="000C2E2E" w:rsidP="000C2E2E">
      <w:pPr>
        <w:pStyle w:val="Ttulo"/>
        <w:jc w:val="both"/>
        <w:rPr>
          <w:b w:val="0"/>
          <w:bCs/>
          <w:u w:val="none"/>
          <w:lang w:val="es-ES_tradnl"/>
        </w:rPr>
      </w:pPr>
      <w:r w:rsidRPr="00D7608B">
        <w:rPr>
          <w:bCs/>
          <w:u w:val="none"/>
          <w:lang w:val="es-ES_tradnl"/>
        </w:rPr>
        <w:t>2)</w:t>
      </w:r>
      <w:r w:rsidRPr="00CE4EA7">
        <w:rPr>
          <w:b w:val="0"/>
          <w:bCs/>
          <w:u w:val="none"/>
          <w:lang w:val="es-ES_tradnl"/>
        </w:rPr>
        <w:t xml:space="preserve"> </w:t>
      </w:r>
      <w:r>
        <w:rPr>
          <w:b w:val="0"/>
          <w:bCs/>
          <w:u w:val="none"/>
          <w:lang w:val="es-ES_tradnl"/>
        </w:rPr>
        <w:t xml:space="preserve"> C</w:t>
      </w:r>
      <w:r w:rsidRPr="00470587">
        <w:rPr>
          <w:b w:val="0"/>
          <w:bCs/>
          <w:u w:val="none"/>
          <w:lang w:val="es-ES_tradnl"/>
        </w:rPr>
        <w:t>omunicar a la Contadora Delegada</w:t>
      </w:r>
      <w:r>
        <w:rPr>
          <w:b w:val="0"/>
          <w:bCs/>
          <w:u w:val="none"/>
          <w:lang w:val="es-ES_tradnl"/>
        </w:rPr>
        <w:t xml:space="preserve">; </w:t>
      </w:r>
    </w:p>
    <w:p w:rsidR="000C2E2E" w:rsidRDefault="000C2E2E" w:rsidP="000C2E2E">
      <w:pPr>
        <w:pStyle w:val="Ttulo"/>
        <w:jc w:val="both"/>
        <w:rPr>
          <w:b w:val="0"/>
          <w:bCs/>
          <w:u w:val="none"/>
          <w:lang w:val="es-ES_tradnl"/>
        </w:rPr>
      </w:pPr>
      <w:r w:rsidRPr="00D7608B">
        <w:rPr>
          <w:bCs/>
          <w:u w:val="none"/>
          <w:lang w:val="es-ES_tradnl"/>
        </w:rPr>
        <w:t>3)</w:t>
      </w:r>
      <w:r>
        <w:rPr>
          <w:b w:val="0"/>
          <w:bCs/>
          <w:u w:val="none"/>
          <w:lang w:val="es-ES_tradnl"/>
        </w:rPr>
        <w:t xml:space="preserve">  </w:t>
      </w:r>
      <w:r w:rsidRPr="00470587">
        <w:rPr>
          <w:b w:val="0"/>
          <w:bCs/>
          <w:u w:val="none"/>
          <w:lang w:val="es-ES_tradnl"/>
        </w:rPr>
        <w:t>Devolver las actuaciones.</w:t>
      </w:r>
    </w:p>
    <w:p w:rsidR="00233EF2" w:rsidRDefault="00233EF2">
      <w:pPr>
        <w:tabs>
          <w:tab w:val="center" w:pos="4253"/>
        </w:tabs>
        <w:suppressAutoHyphens/>
        <w:rPr>
          <w:rFonts w:ascii="Arial" w:hAnsi="Arial"/>
          <w:spacing w:val="-3"/>
          <w:lang w:val="es-ES_tradnl"/>
        </w:rPr>
      </w:pPr>
    </w:p>
    <w:p w:rsidR="00233EF2" w:rsidRDefault="00233EF2">
      <w:pPr>
        <w:rPr>
          <w:rFonts w:ascii="Arial" w:hAnsi="Arial"/>
        </w:rPr>
      </w:pPr>
    </w:p>
    <w:p w:rsidR="008A0FC2" w:rsidRPr="00233EF2" w:rsidRDefault="008A0FC2">
      <w:pPr>
        <w:rPr>
          <w:rFonts w:ascii="Arial" w:hAnsi="Arial" w:cs="Arial"/>
          <w:sz w:val="24"/>
          <w:szCs w:val="24"/>
        </w:rPr>
      </w:pPr>
    </w:p>
    <w:sectPr w:rsidR="008A0FC2" w:rsidRPr="00233EF2" w:rsidSect="00F54D38">
      <w:headerReference w:type="default" r:id="rId8"/>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54D38">
      <w:pPr>
        <w:spacing w:after="0" w:line="240" w:lineRule="auto"/>
      </w:pPr>
      <w:r>
        <w:separator/>
      </w:r>
    </w:p>
  </w:endnote>
  <w:endnote w:type="continuationSeparator" w:id="0">
    <w:p w:rsidR="00000000" w:rsidRDefault="00F5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54D38">
      <w:pPr>
        <w:spacing w:after="0" w:line="240" w:lineRule="auto"/>
      </w:pPr>
      <w:r>
        <w:separator/>
      </w:r>
    </w:p>
  </w:footnote>
  <w:footnote w:type="continuationSeparator" w:id="0">
    <w:p w:rsidR="00000000" w:rsidRDefault="00F54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1EB" w:rsidRDefault="00F54D38">
    <w:pPr>
      <w:suppressAutoHyphens/>
      <w:jc w:val="both"/>
    </w:pPr>
    <w:r>
      <w:rPr>
        <w:noProof/>
      </w:rPr>
      <w:pict>
        <v:rect id="_x0000_s2049" style="position:absolute;left:0;text-align:left;margin-left:85pt;margin-top:0;width:425.3pt;height:12pt;z-index:251659264;mso-position-horizontal-relative:page" o:allowincell="f" filled="f" stroked="f" strokeweight="0">
          <v:textbox inset="0,0,0,0">
            <w:txbxContent>
              <w:p w:rsidR="000921EB" w:rsidRDefault="000921EB">
                <w:pPr>
                  <w:tabs>
                    <w:tab w:val="center" w:pos="4253"/>
                    <w:tab w:val="right" w:pos="8506"/>
                  </w:tabs>
                </w:pPr>
              </w:p>
            </w:txbxContent>
          </v:textbox>
          <w10:wrap anchorx="page"/>
        </v:rect>
      </w:pict>
    </w:r>
  </w:p>
  <w:p w:rsidR="000921EB" w:rsidRDefault="000921EB">
    <w:pPr>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E43C0"/>
    <w:multiLevelType w:val="hybridMultilevel"/>
    <w:tmpl w:val="793450BE"/>
    <w:lvl w:ilvl="0" w:tplc="21B0A4FE">
      <w:start w:val="1"/>
      <w:numFmt w:val="upperRoman"/>
      <w:pStyle w:val="Ttulo8"/>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EF2"/>
    <w:rsid w:val="000921EB"/>
    <w:rsid w:val="000C2E2E"/>
    <w:rsid w:val="00233EF2"/>
    <w:rsid w:val="00647DC7"/>
    <w:rsid w:val="00656779"/>
    <w:rsid w:val="007E39C1"/>
    <w:rsid w:val="008A0FC2"/>
    <w:rsid w:val="00BC13AE"/>
    <w:rsid w:val="00D34ABA"/>
    <w:rsid w:val="00F22FB6"/>
    <w:rsid w:val="00F54D3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8">
    <w:name w:val="heading 8"/>
    <w:basedOn w:val="Normal"/>
    <w:next w:val="Normal"/>
    <w:link w:val="Ttulo8Car"/>
    <w:qFormat/>
    <w:rsid w:val="000C2E2E"/>
    <w:pPr>
      <w:keepNext/>
      <w:numPr>
        <w:numId w:val="1"/>
      </w:numPr>
      <w:spacing w:after="0" w:line="360" w:lineRule="auto"/>
      <w:jc w:val="both"/>
      <w:outlineLvl w:val="7"/>
    </w:pPr>
    <w:rPr>
      <w:rFonts w:ascii="Arial" w:eastAsia="Times New Roman" w:hAnsi="Arial" w:cs="Arial"/>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0C2E2E"/>
    <w:rPr>
      <w:rFonts w:ascii="Arial" w:eastAsia="Times New Roman" w:hAnsi="Arial" w:cs="Arial"/>
      <w:b/>
      <w:color w:val="000000"/>
      <w:sz w:val="24"/>
      <w:szCs w:val="20"/>
      <w:lang w:val="es-ES_tradnl" w:eastAsia="es-ES"/>
    </w:rPr>
  </w:style>
  <w:style w:type="paragraph" w:styleId="Ttulo">
    <w:name w:val="Title"/>
    <w:basedOn w:val="Normal"/>
    <w:link w:val="TtuloCar"/>
    <w:qFormat/>
    <w:rsid w:val="000C2E2E"/>
    <w:pPr>
      <w:spacing w:after="0" w:line="360" w:lineRule="auto"/>
      <w:jc w:val="center"/>
    </w:pPr>
    <w:rPr>
      <w:rFonts w:ascii="Arial" w:eastAsia="Times New Roman" w:hAnsi="Arial" w:cs="Times New Roman"/>
      <w:b/>
      <w:sz w:val="24"/>
      <w:szCs w:val="24"/>
      <w:u w:val="single"/>
      <w:lang w:eastAsia="es-ES"/>
    </w:rPr>
  </w:style>
  <w:style w:type="character" w:customStyle="1" w:styleId="TtuloCar">
    <w:name w:val="Título Car"/>
    <w:basedOn w:val="Fuentedeprrafopredeter"/>
    <w:link w:val="Ttulo"/>
    <w:rsid w:val="000C2E2E"/>
    <w:rPr>
      <w:rFonts w:ascii="Arial" w:eastAsia="Times New Roman" w:hAnsi="Arial" w:cs="Times New Roman"/>
      <w:b/>
      <w:sz w:val="24"/>
      <w:szCs w:val="24"/>
      <w:u w:val="single"/>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8">
    <w:name w:val="heading 8"/>
    <w:basedOn w:val="Normal"/>
    <w:next w:val="Normal"/>
    <w:link w:val="Ttulo8Car"/>
    <w:qFormat/>
    <w:rsid w:val="000C2E2E"/>
    <w:pPr>
      <w:keepNext/>
      <w:numPr>
        <w:numId w:val="1"/>
      </w:numPr>
      <w:spacing w:after="0" w:line="360" w:lineRule="auto"/>
      <w:jc w:val="both"/>
      <w:outlineLvl w:val="7"/>
    </w:pPr>
    <w:rPr>
      <w:rFonts w:ascii="Arial" w:eastAsia="Times New Roman" w:hAnsi="Arial" w:cs="Arial"/>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0C2E2E"/>
    <w:rPr>
      <w:rFonts w:ascii="Arial" w:eastAsia="Times New Roman" w:hAnsi="Arial" w:cs="Arial"/>
      <w:b/>
      <w:color w:val="000000"/>
      <w:sz w:val="24"/>
      <w:szCs w:val="20"/>
      <w:lang w:val="es-ES_tradnl" w:eastAsia="es-ES"/>
    </w:rPr>
  </w:style>
  <w:style w:type="paragraph" w:styleId="Ttulo">
    <w:name w:val="Title"/>
    <w:basedOn w:val="Normal"/>
    <w:link w:val="TtuloCar"/>
    <w:qFormat/>
    <w:rsid w:val="000C2E2E"/>
    <w:pPr>
      <w:spacing w:after="0" w:line="360" w:lineRule="auto"/>
      <w:jc w:val="center"/>
    </w:pPr>
    <w:rPr>
      <w:rFonts w:ascii="Arial" w:eastAsia="Times New Roman" w:hAnsi="Arial" w:cs="Times New Roman"/>
      <w:b/>
      <w:sz w:val="24"/>
      <w:szCs w:val="24"/>
      <w:u w:val="single"/>
      <w:lang w:eastAsia="es-ES"/>
    </w:rPr>
  </w:style>
  <w:style w:type="character" w:customStyle="1" w:styleId="TtuloCar">
    <w:name w:val="Título Car"/>
    <w:basedOn w:val="Fuentedeprrafopredeter"/>
    <w:link w:val="Ttulo"/>
    <w:rsid w:val="000C2E2E"/>
    <w:rPr>
      <w:rFonts w:ascii="Arial" w:eastAsia="Times New Roman" w:hAnsi="Arial" w:cs="Times New Roman"/>
      <w:b/>
      <w:sz w:val="24"/>
      <w:szCs w:val="24"/>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787</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Tribunal1</cp:lastModifiedBy>
  <cp:revision>11</cp:revision>
  <cp:lastPrinted>2015-08-24T17:49:00Z</cp:lastPrinted>
  <dcterms:created xsi:type="dcterms:W3CDTF">2015-08-24T17:30:00Z</dcterms:created>
  <dcterms:modified xsi:type="dcterms:W3CDTF">2015-08-24T17:49:00Z</dcterms:modified>
</cp:coreProperties>
</file>