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71" w:rsidRDefault="001A0371" w:rsidP="00632B7B">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1A0371" w:rsidRDefault="001A0371" w:rsidP="001A0371">
      <w:pPr>
        <w:tabs>
          <w:tab w:val="left" w:pos="-720"/>
        </w:tabs>
        <w:suppressAutoHyphens/>
        <w:jc w:val="center"/>
        <w:rPr>
          <w:rFonts w:ascii="Helvetica" w:hAnsi="Helvetica"/>
          <w:b/>
          <w:lang w:val="es-ES_tradnl"/>
        </w:rPr>
      </w:pPr>
    </w:p>
    <w:p w:rsidR="001A0371" w:rsidRDefault="001A0371" w:rsidP="001A0371">
      <w:pPr>
        <w:tabs>
          <w:tab w:val="center" w:pos="4253"/>
        </w:tabs>
        <w:suppressAutoHyphens/>
        <w:jc w:val="center"/>
        <w:rPr>
          <w:rFonts w:ascii="Helvetica" w:hAnsi="Helvetica"/>
          <w:b/>
          <w:lang w:val="es-ES_tradnl"/>
        </w:rPr>
      </w:pPr>
      <w:r>
        <w:rPr>
          <w:rFonts w:ascii="Helvetica" w:hAnsi="Helvetica"/>
          <w:b/>
          <w:lang w:val="es-ES_tradnl"/>
        </w:rPr>
        <w:t>TRIBUNAL DE CUENTAS</w:t>
      </w:r>
    </w:p>
    <w:p w:rsidR="001A0371" w:rsidRDefault="001A0371" w:rsidP="001A0371">
      <w:pPr>
        <w:tabs>
          <w:tab w:val="left" w:pos="-720"/>
        </w:tabs>
        <w:suppressAutoHyphens/>
        <w:jc w:val="center"/>
        <w:rPr>
          <w:rFonts w:ascii="Helvetica" w:hAnsi="Helvetica"/>
          <w:b/>
          <w:lang w:val="es-ES_tradnl"/>
        </w:rPr>
      </w:pPr>
    </w:p>
    <w:p w:rsidR="001A0371" w:rsidRDefault="001A0371" w:rsidP="001A0371">
      <w:pPr>
        <w:tabs>
          <w:tab w:val="center" w:pos="4253"/>
        </w:tabs>
        <w:suppressAutoHyphens/>
        <w:jc w:val="center"/>
        <w:rPr>
          <w:rFonts w:ascii="Helvetica" w:hAnsi="Helvetica"/>
          <w:b/>
          <w:lang w:val="es-ES_tradnl"/>
        </w:rPr>
      </w:pPr>
      <w:r>
        <w:rPr>
          <w:rFonts w:ascii="Helvetica" w:hAnsi="Helvetica"/>
          <w:b/>
          <w:lang w:val="es-ES_tradnl"/>
        </w:rPr>
        <w:t>EN SESION DE FECHA 29 DE JULIO DE 2015</w:t>
      </w:r>
    </w:p>
    <w:p w:rsidR="001A0371" w:rsidRDefault="001A0371" w:rsidP="001A0371">
      <w:pPr>
        <w:tabs>
          <w:tab w:val="center" w:pos="4253"/>
        </w:tabs>
        <w:suppressAutoHyphens/>
        <w:jc w:val="center"/>
        <w:rPr>
          <w:rFonts w:ascii="Helvetica" w:hAnsi="Helvetica"/>
          <w:b/>
          <w:lang w:val="es-ES_tradnl"/>
        </w:rPr>
      </w:pPr>
    </w:p>
    <w:p w:rsidR="001A0371" w:rsidRPr="001A0371" w:rsidRDefault="001A0371" w:rsidP="001A0371">
      <w:pPr>
        <w:tabs>
          <w:tab w:val="center" w:pos="4253"/>
        </w:tabs>
        <w:suppressAutoHyphens/>
        <w:jc w:val="center"/>
        <w:rPr>
          <w:rFonts w:ascii="Helvetica" w:hAnsi="Helvetica"/>
          <w:b/>
          <w:lang w:val="es-ES_tradnl"/>
        </w:rPr>
      </w:pPr>
      <w:r w:rsidRPr="001A0371">
        <w:rPr>
          <w:rFonts w:ascii="Helvetica" w:hAnsi="Helvetica"/>
          <w:b/>
          <w:lang w:val="es-ES_tradnl"/>
        </w:rPr>
        <w:t xml:space="preserve">(E. E. Nº </w:t>
      </w:r>
      <w:r w:rsidRPr="001A0371">
        <w:rPr>
          <w:rFonts w:ascii="Arial" w:hAnsi="Arial" w:cs="Arial"/>
          <w:b/>
        </w:rPr>
        <w:t>2012-17-1-0000361</w:t>
      </w:r>
      <w:r w:rsidRPr="001A0371">
        <w:rPr>
          <w:rFonts w:ascii="Helvetica" w:hAnsi="Helvetica"/>
          <w:b/>
          <w:lang w:val="es-ES_tradnl"/>
        </w:rPr>
        <w:t xml:space="preserve">, </w:t>
      </w:r>
      <w:proofErr w:type="spellStart"/>
      <w:r w:rsidRPr="001A0371">
        <w:rPr>
          <w:rFonts w:ascii="Helvetica" w:hAnsi="Helvetica"/>
          <w:b/>
          <w:lang w:val="es-ES_tradnl"/>
        </w:rPr>
        <w:t>Ent</w:t>
      </w:r>
      <w:proofErr w:type="spellEnd"/>
      <w:r w:rsidRPr="001A0371">
        <w:rPr>
          <w:rFonts w:ascii="Helvetica" w:hAnsi="Helvetica"/>
          <w:b/>
          <w:lang w:val="es-ES_tradnl"/>
        </w:rPr>
        <w:t>. N</w:t>
      </w:r>
      <w:r w:rsidRPr="001A0371">
        <w:rPr>
          <w:rFonts w:ascii="Arial" w:hAnsi="Arial" w:cs="Arial"/>
          <w:lang w:val="es-ES_tradnl"/>
        </w:rPr>
        <w:t xml:space="preserve">° </w:t>
      </w:r>
      <w:r w:rsidRPr="001A0371">
        <w:rPr>
          <w:rFonts w:ascii="Arial" w:hAnsi="Arial" w:cs="Arial"/>
          <w:b/>
        </w:rPr>
        <w:t>3703/15</w:t>
      </w:r>
      <w:r w:rsidRPr="001A0371">
        <w:rPr>
          <w:rFonts w:ascii="Helvetica" w:hAnsi="Helvetica"/>
          <w:b/>
          <w:lang w:val="es-ES_tradnl"/>
        </w:rPr>
        <w:t>)</w:t>
      </w:r>
    </w:p>
    <w:p w:rsidR="001A0371" w:rsidRPr="001A0371" w:rsidRDefault="001A0371" w:rsidP="001A0371">
      <w:pPr>
        <w:tabs>
          <w:tab w:val="center" w:pos="4253"/>
        </w:tabs>
        <w:suppressAutoHyphens/>
        <w:jc w:val="center"/>
        <w:rPr>
          <w:rFonts w:ascii="Arial" w:hAnsi="Arial"/>
          <w:spacing w:val="-3"/>
          <w:lang w:val="es-ES_tradnl"/>
        </w:rPr>
      </w:pPr>
    </w:p>
    <w:p w:rsidR="0027258C" w:rsidRDefault="0027258C" w:rsidP="001A0371">
      <w:pPr>
        <w:pStyle w:val="Textoindependiente"/>
        <w:ind w:firstLine="851"/>
        <w:rPr>
          <w:highlight w:val="yellow"/>
        </w:rPr>
      </w:pPr>
      <w:r>
        <w:rPr>
          <w:b/>
          <w:bCs/>
        </w:rPr>
        <w:t>VISTO:</w:t>
      </w:r>
      <w:r>
        <w:t xml:space="preserve"> estas actuaciones remitidas por la Administración Nacional de Combustibles, Alcohol y Portland (ANCAP), relacionadas con la renovación de contrato de préstamo con el Banco Santander por un monto de </w:t>
      </w:r>
      <w:r w:rsidR="001A0371">
        <w:t xml:space="preserve">                    </w:t>
      </w:r>
      <w:r>
        <w:t xml:space="preserve">U$S 70:000.000; </w:t>
      </w:r>
    </w:p>
    <w:p w:rsidR="0027258C" w:rsidRDefault="0027258C" w:rsidP="001A0371">
      <w:pPr>
        <w:pStyle w:val="Sangradetextonormal"/>
        <w:tabs>
          <w:tab w:val="left" w:pos="2835"/>
        </w:tabs>
        <w:ind w:firstLine="851"/>
        <w:jc w:val="both"/>
      </w:pPr>
      <w:r>
        <w:rPr>
          <w:b/>
          <w:bCs/>
        </w:rPr>
        <w:t xml:space="preserve">RESULTANDO: 1) </w:t>
      </w:r>
      <w:r>
        <w:t>que en sucesivas oportunidades, este Tribunal  ha acordado observar el gasto emergente del citado contrato y sus renovaciones. En tal sentido, en su último pronunciamiento al respecto emitido el 04/02/15, este Tribunal observó el gasto derivado de la renovación  del contrato de préstamo referido, otorgado por el Banco Santander S.A. (España) por 7 meses y  por un monto de U$S 70</w:t>
      </w:r>
      <w:r w:rsidR="001A0371">
        <w:t>:</w:t>
      </w:r>
      <w:r>
        <w:t xml:space="preserve">000.000, con un costo aproximado de </w:t>
      </w:r>
      <w:r w:rsidR="001A0371">
        <w:t xml:space="preserve">                     </w:t>
      </w:r>
      <w:r>
        <w:t>U$S 1:100.000, en razón de  que :</w:t>
      </w:r>
      <w:r>
        <w:rPr>
          <w:b/>
          <w:bCs/>
        </w:rPr>
        <w:t>a)</w:t>
      </w:r>
      <w:r>
        <w:t xml:space="preserve"> había sido dispuesto con anterioridad a la remisión de los antecedentes a este Tribunal, en contravención a lo dispuesto por el </w:t>
      </w:r>
      <w:r w:rsidR="0004606B">
        <w:t>l</w:t>
      </w:r>
      <w:r>
        <w:t xml:space="preserve">iteral B) del </w:t>
      </w:r>
      <w:r w:rsidR="0004606B">
        <w:t>a</w:t>
      </w:r>
      <w:r>
        <w:t xml:space="preserve">rtículo 211 de la Constitución de la República, </w:t>
      </w:r>
      <w:r>
        <w:rPr>
          <w:b/>
          <w:bCs/>
        </w:rPr>
        <w:t>b)</w:t>
      </w:r>
      <w:r>
        <w:t xml:space="preserve">  no procedía en la especie la intervención a posteriori prevista en el </w:t>
      </w:r>
      <w:r w:rsidR="0004606B">
        <w:t>Artículo</w:t>
      </w:r>
      <w:r>
        <w:t xml:space="preserve"> 6º de  la Ordenanza Nº 72 del Tribunal de Cuentas, ya que no se trata de un contrato que  necesariamente  deba celebrarse en un país extranjero y </w:t>
      </w:r>
      <w:r>
        <w:rPr>
          <w:b/>
          <w:bCs/>
        </w:rPr>
        <w:t>c)</w:t>
      </w:r>
      <w:r>
        <w:t xml:space="preserve">  se mantenía la misma causal de la observación realizada por este Tribunal en diferentes oportunidades, en el sentido  que no se encuentra acreditada ninguna causal de excepción para prescindir del procedimiento competitivo previsto en el </w:t>
      </w:r>
      <w:r w:rsidR="0004606B">
        <w:t>A</w:t>
      </w:r>
      <w:r>
        <w:t>rtículo 33 del TOCAF;</w:t>
      </w:r>
    </w:p>
    <w:p w:rsidR="001A0371" w:rsidRDefault="0027258C" w:rsidP="001A0371">
      <w:pPr>
        <w:pStyle w:val="Sangradetextonormal"/>
        <w:tabs>
          <w:tab w:val="left" w:pos="2835"/>
        </w:tabs>
        <w:ind w:firstLine="2694"/>
        <w:jc w:val="both"/>
      </w:pPr>
      <w:r>
        <w:rPr>
          <w:b/>
          <w:bCs/>
        </w:rPr>
        <w:t>2)</w:t>
      </w:r>
      <w:r>
        <w:t xml:space="preserve"> que tras gestionarse por parte de ANCAP ante el Ministerio de Economía y Finanzas la autorización prevista en el </w:t>
      </w:r>
      <w:r w:rsidR="0004606B">
        <w:t>Artículo</w:t>
      </w:r>
      <w:r>
        <w:t xml:space="preserve"> 267 de la </w:t>
      </w:r>
      <w:r w:rsidR="0004606B">
        <w:t>L</w:t>
      </w:r>
      <w:r>
        <w:t xml:space="preserve">ey 18.834, de 04/11/2011, en la redacción dada por el </w:t>
      </w:r>
      <w:r w:rsidR="0004606B">
        <w:t>A</w:t>
      </w:r>
      <w:r>
        <w:t xml:space="preserve">rtículo 337 de la </w:t>
      </w:r>
      <w:r w:rsidR="0004606B">
        <w:t>L</w:t>
      </w:r>
      <w:r>
        <w:t xml:space="preserve">ey 18.996, de 07/11/12, el Poder Ejecutivo, con fecha 29/06/15, dispuso </w:t>
      </w:r>
      <w:r>
        <w:lastRenderedPageBreak/>
        <w:t xml:space="preserve">conferir autorización a ANCAP para la renovación por seis meses del contrato de préstamo con el Banco Santander S.A. (España), por un monto de </w:t>
      </w:r>
      <w:r w:rsidR="0004606B">
        <w:t xml:space="preserve">          </w:t>
      </w:r>
      <w:r>
        <w:t>U$S 70</w:t>
      </w:r>
      <w:r w:rsidR="0004606B">
        <w:t>:</w:t>
      </w:r>
      <w:r>
        <w:t>000.000, en el marco del proceso de reestructuración de su deuda a corto plazo;</w:t>
      </w:r>
    </w:p>
    <w:p w:rsidR="0027258C" w:rsidRPr="001A0371" w:rsidRDefault="0027258C" w:rsidP="001A0371">
      <w:pPr>
        <w:pStyle w:val="Sangradetextonormal"/>
        <w:tabs>
          <w:tab w:val="left" w:pos="2835"/>
        </w:tabs>
        <w:ind w:firstLine="2694"/>
        <w:jc w:val="both"/>
      </w:pPr>
      <w:r>
        <w:rPr>
          <w:b/>
          <w:bCs/>
        </w:rPr>
        <w:t>3)</w:t>
      </w:r>
      <w:r>
        <w:t xml:space="preserve"> que obtenida la autorización referida, se remite en esta oportunidad Resolución de la Presidencia del Directorio, de fecha 06/07/15, por la cual se autorizó la renovación del préstamo por </w:t>
      </w:r>
      <w:r w:rsidR="0004606B">
        <w:t xml:space="preserve">                   </w:t>
      </w:r>
      <w:r>
        <w:t>U$S 70</w:t>
      </w:r>
      <w:r w:rsidR="0004606B">
        <w:t>:</w:t>
      </w:r>
      <w:r>
        <w:t>000.000, suscrito oportunamente con el Banco Santander S.A., por seis meses y a un costo aproximado de U$S 855.000, que incluye intereses y comisión por renovación y la suscripción de un vale a plazo fijo no endosable y el anexo modificativo al contrato de apertura de crédito no comprometido, suscrito entre las partes el 23 de diciembre de 2014;</w:t>
      </w:r>
    </w:p>
    <w:p w:rsidR="0027258C" w:rsidRDefault="001A0371" w:rsidP="001A0371">
      <w:pPr>
        <w:spacing w:line="360" w:lineRule="auto"/>
        <w:ind w:firstLine="851"/>
        <w:jc w:val="both"/>
        <w:rPr>
          <w:rFonts w:ascii="Arial" w:hAnsi="Arial" w:cs="Arial"/>
        </w:rPr>
      </w:pPr>
      <w:r>
        <w:rPr>
          <w:rFonts w:ascii="Arial" w:hAnsi="Arial" w:cs="Arial"/>
          <w:b/>
          <w:bCs/>
        </w:rPr>
        <w:t xml:space="preserve">CONSIDERANDO: </w:t>
      </w:r>
      <w:r w:rsidR="0027258C">
        <w:rPr>
          <w:rFonts w:ascii="Arial" w:hAnsi="Arial" w:cs="Arial"/>
          <w:b/>
          <w:bCs/>
        </w:rPr>
        <w:t xml:space="preserve">1) </w:t>
      </w:r>
      <w:r w:rsidR="0027258C">
        <w:rPr>
          <w:rFonts w:ascii="Arial" w:hAnsi="Arial" w:cs="Arial"/>
        </w:rPr>
        <w:t xml:space="preserve">que el gasto en cuestión ha sido remitido con posterioridad a su aprobación, contraviniéndose por tal motivo lo dispuesto en el </w:t>
      </w:r>
      <w:r w:rsidR="00632B7B">
        <w:rPr>
          <w:rFonts w:ascii="Arial" w:hAnsi="Arial" w:cs="Arial"/>
        </w:rPr>
        <w:t>A</w:t>
      </w:r>
      <w:r w:rsidR="0027258C">
        <w:rPr>
          <w:rFonts w:ascii="Arial" w:hAnsi="Arial" w:cs="Arial"/>
        </w:rPr>
        <w:t xml:space="preserve">rtículo 211 </w:t>
      </w:r>
      <w:r w:rsidR="00632B7B">
        <w:rPr>
          <w:rFonts w:ascii="Arial" w:hAnsi="Arial" w:cs="Arial"/>
        </w:rPr>
        <w:t>L</w:t>
      </w:r>
      <w:r w:rsidR="0027258C">
        <w:rPr>
          <w:rFonts w:ascii="Arial" w:hAnsi="Arial" w:cs="Arial"/>
        </w:rPr>
        <w:t xml:space="preserve">iteral B) de la Constitución de la República; </w:t>
      </w:r>
    </w:p>
    <w:p w:rsidR="001A0371" w:rsidRDefault="0027258C" w:rsidP="001A0371">
      <w:pPr>
        <w:spacing w:line="360" w:lineRule="auto"/>
        <w:ind w:firstLine="2977"/>
        <w:jc w:val="both"/>
        <w:rPr>
          <w:rFonts w:ascii="Arial" w:hAnsi="Arial" w:cs="Arial"/>
        </w:rPr>
      </w:pPr>
      <w:r>
        <w:rPr>
          <w:rFonts w:ascii="Arial" w:hAnsi="Arial" w:cs="Arial"/>
          <w:b/>
          <w:bCs/>
        </w:rPr>
        <w:t>2)</w:t>
      </w:r>
      <w:r>
        <w:rPr>
          <w:rFonts w:ascii="Arial" w:hAnsi="Arial" w:cs="Arial"/>
        </w:rPr>
        <w:t xml:space="preserve"> que  como se ha expresado en anteriores oportunidades, la causal de excepción invocada, prevista en el </w:t>
      </w:r>
      <w:r w:rsidR="00632B7B">
        <w:rPr>
          <w:rFonts w:ascii="Arial" w:hAnsi="Arial" w:cs="Arial"/>
        </w:rPr>
        <w:t>N</w:t>
      </w:r>
      <w:r>
        <w:rPr>
          <w:rFonts w:ascii="Arial" w:hAnsi="Arial" w:cs="Arial"/>
        </w:rPr>
        <w:t xml:space="preserve">umeral 7) del </w:t>
      </w:r>
      <w:r w:rsidR="00632B7B">
        <w:rPr>
          <w:rFonts w:ascii="Arial" w:hAnsi="Arial" w:cs="Arial"/>
        </w:rPr>
        <w:t>L</w:t>
      </w:r>
      <w:r>
        <w:rPr>
          <w:rFonts w:ascii="Arial" w:hAnsi="Arial" w:cs="Arial"/>
        </w:rPr>
        <w:t xml:space="preserve">iteral c) del </w:t>
      </w:r>
      <w:r w:rsidR="00632B7B">
        <w:rPr>
          <w:rFonts w:ascii="Arial" w:hAnsi="Arial" w:cs="Arial"/>
        </w:rPr>
        <w:t>A</w:t>
      </w:r>
      <w:r>
        <w:rPr>
          <w:rFonts w:ascii="Arial" w:hAnsi="Arial" w:cs="Arial"/>
        </w:rPr>
        <w:t>rtículo 33 del TOCAF, resulta de interpretación estricta y es aplicable únicamente a aquellos contratos que “necesariamente” deban celebrarse en países extranjeros, situación que no se configura en la especie;</w:t>
      </w:r>
    </w:p>
    <w:p w:rsidR="0027258C" w:rsidRDefault="0027258C" w:rsidP="001A0371">
      <w:pPr>
        <w:spacing w:line="360" w:lineRule="auto"/>
        <w:ind w:firstLine="2977"/>
        <w:jc w:val="both"/>
        <w:rPr>
          <w:rFonts w:ascii="Arial" w:hAnsi="Arial" w:cs="Arial"/>
        </w:rPr>
      </w:pPr>
      <w:r w:rsidRPr="001A0371">
        <w:rPr>
          <w:rFonts w:ascii="Arial" w:hAnsi="Arial" w:cs="Arial"/>
          <w:b/>
        </w:rPr>
        <w:t>3</w:t>
      </w:r>
      <w:r>
        <w:rPr>
          <w:rFonts w:ascii="Arial" w:hAnsi="Arial" w:cs="Arial"/>
          <w:b/>
          <w:bCs/>
        </w:rPr>
        <w:t>)</w:t>
      </w:r>
      <w:r>
        <w:rPr>
          <w:rFonts w:ascii="Arial" w:hAnsi="Arial" w:cs="Arial"/>
        </w:rPr>
        <w:t xml:space="preserve"> que en consecuencia, al no tratarse de un gasto que emerge de un contrato que “necesariamente” debe celebrarse en un país extranjero, no procede en la especie la intervención a posteriori prevista en el </w:t>
      </w:r>
      <w:r w:rsidR="00632B7B">
        <w:rPr>
          <w:rFonts w:ascii="Arial" w:hAnsi="Arial" w:cs="Arial"/>
        </w:rPr>
        <w:t>Artículo</w:t>
      </w:r>
      <w:r>
        <w:rPr>
          <w:rFonts w:ascii="Arial" w:hAnsi="Arial" w:cs="Arial"/>
        </w:rPr>
        <w:t xml:space="preserve"> 6 de la Ordenanza Nº 72 de este Tribunal:</w:t>
      </w:r>
    </w:p>
    <w:p w:rsidR="0027258C" w:rsidRDefault="0027258C" w:rsidP="001A0371">
      <w:pPr>
        <w:spacing w:line="360" w:lineRule="auto"/>
        <w:ind w:firstLine="851"/>
        <w:jc w:val="both"/>
        <w:rPr>
          <w:rFonts w:ascii="Arial" w:hAnsi="Arial" w:cs="Arial"/>
          <w:lang w:val="es-MX"/>
        </w:rPr>
      </w:pPr>
      <w:r>
        <w:rPr>
          <w:rFonts w:ascii="Arial" w:hAnsi="Arial" w:cs="Arial"/>
        </w:rPr>
        <w:t xml:space="preserve"> </w:t>
      </w:r>
      <w:r>
        <w:rPr>
          <w:rFonts w:ascii="Arial" w:hAnsi="Arial" w:cs="Arial"/>
          <w:b/>
          <w:bCs/>
        </w:rPr>
        <w:t xml:space="preserve">ATENTO </w:t>
      </w:r>
      <w:r>
        <w:rPr>
          <w:rFonts w:ascii="Arial" w:hAnsi="Arial" w:cs="Arial"/>
          <w:lang w:val="es-MX"/>
        </w:rPr>
        <w:t xml:space="preserve">a lo precedentemente expuesto y a lo dispuesto por los </w:t>
      </w:r>
      <w:r w:rsidR="00632B7B">
        <w:rPr>
          <w:rFonts w:ascii="Arial" w:hAnsi="Arial" w:cs="Arial"/>
          <w:lang w:val="es-MX"/>
        </w:rPr>
        <w:t>L</w:t>
      </w:r>
      <w:r>
        <w:rPr>
          <w:rFonts w:ascii="Arial" w:hAnsi="Arial" w:cs="Arial"/>
          <w:lang w:val="es-MX"/>
        </w:rPr>
        <w:t xml:space="preserve">iterales  B) y E) del </w:t>
      </w:r>
      <w:r w:rsidR="00632B7B">
        <w:rPr>
          <w:rFonts w:ascii="Arial" w:hAnsi="Arial" w:cs="Arial"/>
          <w:lang w:val="es-MX"/>
        </w:rPr>
        <w:t>A</w:t>
      </w:r>
      <w:r>
        <w:rPr>
          <w:rFonts w:ascii="Arial" w:hAnsi="Arial" w:cs="Arial"/>
          <w:lang w:val="es-MX"/>
        </w:rPr>
        <w:t>rtículo 211 de la Constitución de la República</w:t>
      </w:r>
      <w:r>
        <w:rPr>
          <w:rFonts w:ascii="Arial" w:hAnsi="Arial" w:cs="Arial"/>
        </w:rPr>
        <w:t>;</w:t>
      </w:r>
    </w:p>
    <w:p w:rsidR="0027258C" w:rsidRDefault="0027258C" w:rsidP="001A0371">
      <w:pPr>
        <w:spacing w:line="360" w:lineRule="auto"/>
        <w:jc w:val="both"/>
        <w:rPr>
          <w:rFonts w:ascii="Arial" w:hAnsi="Arial" w:cs="Arial"/>
          <w:highlight w:val="yellow"/>
          <w:lang w:val="es-MX"/>
        </w:rPr>
      </w:pPr>
    </w:p>
    <w:p w:rsidR="00632B7B" w:rsidRDefault="00632B7B" w:rsidP="001A0371">
      <w:pPr>
        <w:pStyle w:val="Ttulo2"/>
        <w:rPr>
          <w:b/>
          <w:bCs/>
          <w:u w:val="none"/>
        </w:rPr>
      </w:pPr>
    </w:p>
    <w:p w:rsidR="00632B7B" w:rsidRDefault="00632B7B" w:rsidP="001A0371">
      <w:pPr>
        <w:pStyle w:val="Ttulo2"/>
        <w:rPr>
          <w:b/>
          <w:bCs/>
          <w:u w:val="none"/>
        </w:rPr>
      </w:pPr>
    </w:p>
    <w:p w:rsidR="0027258C" w:rsidRDefault="0027258C" w:rsidP="001A0371">
      <w:pPr>
        <w:pStyle w:val="Ttulo2"/>
        <w:rPr>
          <w:b/>
          <w:bCs/>
          <w:u w:val="none"/>
        </w:rPr>
      </w:pPr>
      <w:r>
        <w:rPr>
          <w:b/>
          <w:bCs/>
          <w:u w:val="none"/>
        </w:rPr>
        <w:t>EL TRIBUNAL ACUERDA</w:t>
      </w:r>
      <w:r w:rsidR="001A0371">
        <w:rPr>
          <w:b/>
          <w:bCs/>
          <w:u w:val="none"/>
        </w:rPr>
        <w:t>:</w:t>
      </w:r>
    </w:p>
    <w:p w:rsidR="0027258C" w:rsidRDefault="00632B7B" w:rsidP="00632B7B">
      <w:pPr>
        <w:spacing w:line="360" w:lineRule="auto"/>
        <w:jc w:val="both"/>
        <w:rPr>
          <w:rFonts w:ascii="Arial" w:hAnsi="Arial" w:cs="Arial"/>
        </w:rPr>
      </w:pPr>
      <w:r w:rsidRPr="00632B7B">
        <w:rPr>
          <w:rFonts w:ascii="Arial" w:hAnsi="Arial" w:cs="Arial"/>
          <w:b/>
        </w:rPr>
        <w:t>1)</w:t>
      </w:r>
      <w:r>
        <w:rPr>
          <w:rFonts w:ascii="Arial" w:hAnsi="Arial" w:cs="Arial"/>
          <w:b/>
        </w:rPr>
        <w:t xml:space="preserve"> </w:t>
      </w:r>
      <w:r w:rsidR="0027258C">
        <w:rPr>
          <w:rFonts w:ascii="Arial" w:hAnsi="Arial" w:cs="Arial"/>
        </w:rPr>
        <w:t xml:space="preserve">Observar el gasto; </w:t>
      </w:r>
    </w:p>
    <w:p w:rsidR="0027258C" w:rsidRDefault="00632B7B" w:rsidP="00632B7B">
      <w:pPr>
        <w:spacing w:line="360" w:lineRule="auto"/>
        <w:jc w:val="both"/>
        <w:rPr>
          <w:rFonts w:ascii="Arial" w:hAnsi="Arial" w:cs="Arial"/>
          <w:lang w:val="es-MX"/>
        </w:rPr>
      </w:pPr>
      <w:r w:rsidRPr="00632B7B">
        <w:rPr>
          <w:rFonts w:ascii="Arial" w:hAnsi="Arial" w:cs="Arial"/>
          <w:b/>
        </w:rPr>
        <w:t>2)</w:t>
      </w:r>
      <w:r>
        <w:rPr>
          <w:rFonts w:ascii="Arial" w:hAnsi="Arial" w:cs="Arial"/>
          <w:b/>
        </w:rPr>
        <w:t xml:space="preserve"> </w:t>
      </w:r>
      <w:r w:rsidR="0027258C">
        <w:rPr>
          <w:rFonts w:ascii="Arial" w:hAnsi="Arial" w:cs="Arial"/>
          <w:lang w:val="es-MX"/>
        </w:rPr>
        <w:t>Devolver las actuaciones.</w:t>
      </w:r>
    </w:p>
    <w:p w:rsidR="0027258C" w:rsidRDefault="0027258C">
      <w:pPr>
        <w:spacing w:line="360" w:lineRule="auto"/>
        <w:jc w:val="right"/>
        <w:rPr>
          <w:rFonts w:ascii="Arial" w:hAnsi="Arial" w:cs="Arial"/>
          <w:lang w:val="es-MX"/>
        </w:rPr>
      </w:pPr>
    </w:p>
    <w:p w:rsidR="0027258C" w:rsidRDefault="0027258C"/>
    <w:sectPr w:rsidR="0027258C" w:rsidSect="0040055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FC9"/>
    <w:multiLevelType w:val="hybridMultilevel"/>
    <w:tmpl w:val="CDE8B906"/>
    <w:lvl w:ilvl="0" w:tplc="0C0A0011">
      <w:start w:val="1"/>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8C"/>
    <w:rsid w:val="0004606B"/>
    <w:rsid w:val="001A0371"/>
    <w:rsid w:val="0027258C"/>
    <w:rsid w:val="0040055A"/>
    <w:rsid w:val="00632B7B"/>
    <w:rsid w:val="00E6401E"/>
    <w:rsid w:val="00F6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rFonts w:ascii="Arial" w:eastAsia="Arial Unicode MS" w:hAnsi="Arial" w:cs="Arial"/>
      <w:b/>
      <w:bCs/>
    </w:rPr>
  </w:style>
  <w:style w:type="paragraph" w:styleId="Ttulo2">
    <w:name w:val="heading 2"/>
    <w:basedOn w:val="Normal"/>
    <w:next w:val="Normal"/>
    <w:link w:val="Ttulo2Car"/>
    <w:uiPriority w:val="99"/>
    <w:qFormat/>
    <w:pPr>
      <w:keepNext/>
      <w:spacing w:line="360" w:lineRule="auto"/>
      <w:jc w:val="center"/>
      <w:outlineLvl w:val="1"/>
    </w:pPr>
    <w:rPr>
      <w:rFonts w:ascii="Arial" w:eastAsia="Arial Unicode MS" w:hAnsi="Arial" w:cs="Arial"/>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Arial Unicode MS" w:hAnsi="Arial" w:cs="Arial"/>
      <w:b/>
      <w:bCs/>
      <w:sz w:val="24"/>
      <w:szCs w:val="24"/>
      <w:lang w:eastAsia="es-ES"/>
    </w:rPr>
  </w:style>
  <w:style w:type="character" w:customStyle="1" w:styleId="Ttulo2Car">
    <w:name w:val="Título 2 Car"/>
    <w:basedOn w:val="Fuentedeprrafopredeter"/>
    <w:link w:val="Ttulo2"/>
    <w:uiPriority w:val="99"/>
    <w:rPr>
      <w:rFonts w:ascii="Arial" w:eastAsia="Arial Unicode MS" w:hAnsi="Arial" w:cs="Arial"/>
      <w:sz w:val="24"/>
      <w:szCs w:val="24"/>
      <w:u w:val="single"/>
      <w:lang w:eastAsia="es-ES"/>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4005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55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rFonts w:ascii="Arial" w:eastAsia="Arial Unicode MS" w:hAnsi="Arial" w:cs="Arial"/>
      <w:b/>
      <w:bCs/>
    </w:rPr>
  </w:style>
  <w:style w:type="paragraph" w:styleId="Ttulo2">
    <w:name w:val="heading 2"/>
    <w:basedOn w:val="Normal"/>
    <w:next w:val="Normal"/>
    <w:link w:val="Ttulo2Car"/>
    <w:uiPriority w:val="99"/>
    <w:qFormat/>
    <w:pPr>
      <w:keepNext/>
      <w:spacing w:line="360" w:lineRule="auto"/>
      <w:jc w:val="center"/>
      <w:outlineLvl w:val="1"/>
    </w:pPr>
    <w:rPr>
      <w:rFonts w:ascii="Arial" w:eastAsia="Arial Unicode MS" w:hAnsi="Arial" w:cs="Arial"/>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Arial Unicode MS" w:hAnsi="Arial" w:cs="Arial"/>
      <w:b/>
      <w:bCs/>
      <w:sz w:val="24"/>
      <w:szCs w:val="24"/>
      <w:lang w:eastAsia="es-ES"/>
    </w:rPr>
  </w:style>
  <w:style w:type="character" w:customStyle="1" w:styleId="Ttulo2Car">
    <w:name w:val="Título 2 Car"/>
    <w:basedOn w:val="Fuentedeprrafopredeter"/>
    <w:link w:val="Ttulo2"/>
    <w:uiPriority w:val="99"/>
    <w:rPr>
      <w:rFonts w:ascii="Arial" w:eastAsia="Arial Unicode MS" w:hAnsi="Arial" w:cs="Arial"/>
      <w:sz w:val="24"/>
      <w:szCs w:val="24"/>
      <w:u w:val="single"/>
      <w:lang w:eastAsia="es-ES"/>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4005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55A"/>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587</Words>
  <Characters>3077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CARPETA N° 2012-17-1-0000361</vt:lpstr>
    </vt:vector>
  </TitlesOfParts>
  <Company>Tribunal de Cuentas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2012-17-1-0000361</dc:title>
  <dc:subject/>
  <dc:creator>DIEGO MARTIN LAMAS GARCIA</dc:creator>
  <cp:keywords/>
  <dc:description/>
  <cp:lastModifiedBy>Lenovo User</cp:lastModifiedBy>
  <cp:revision>5</cp:revision>
  <cp:lastPrinted>2015-07-30T14:19:00Z</cp:lastPrinted>
  <dcterms:created xsi:type="dcterms:W3CDTF">2015-07-30T13:57:00Z</dcterms:created>
  <dcterms:modified xsi:type="dcterms:W3CDTF">2015-07-30T14:20:00Z</dcterms:modified>
</cp:coreProperties>
</file>