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CF" w:rsidRPr="00E844AD" w:rsidRDefault="00F900CF" w:rsidP="00F900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844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900CF" w:rsidRPr="00E844AD" w:rsidRDefault="00F900CF" w:rsidP="00F900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0CF" w:rsidRPr="00E844AD" w:rsidRDefault="00F900CF" w:rsidP="00F900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44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900CF" w:rsidRPr="00E844AD" w:rsidRDefault="00F900CF" w:rsidP="00F900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0CF" w:rsidRPr="00E844AD" w:rsidRDefault="00F900CF" w:rsidP="00F900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844AD">
        <w:rPr>
          <w:rFonts w:ascii="Arial" w:hAnsi="Arial" w:cs="Arial"/>
          <w:b/>
          <w:sz w:val="24"/>
          <w:szCs w:val="24"/>
          <w:lang w:val="es-ES_tradnl"/>
        </w:rPr>
        <w:t>EN SESION DE FECHA 19 DE AGOSTO DE 2015</w:t>
      </w:r>
    </w:p>
    <w:p w:rsidR="00F900CF" w:rsidRPr="00E844AD" w:rsidRDefault="00F900CF" w:rsidP="00F900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900CF" w:rsidRPr="00E844AD" w:rsidRDefault="00F900CF" w:rsidP="00F900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E844AD">
        <w:rPr>
          <w:rFonts w:ascii="Arial" w:hAnsi="Arial" w:cs="Arial"/>
          <w:b/>
          <w:sz w:val="24"/>
          <w:szCs w:val="24"/>
          <w:lang w:val="es-AR"/>
        </w:rPr>
        <w:t xml:space="preserve">(E. E. Nº 2015-17-1-0004899, </w:t>
      </w:r>
      <w:proofErr w:type="spellStart"/>
      <w:r w:rsidRPr="00E844AD">
        <w:rPr>
          <w:rFonts w:ascii="Arial" w:hAnsi="Arial" w:cs="Arial"/>
          <w:b/>
          <w:sz w:val="24"/>
          <w:szCs w:val="24"/>
          <w:lang w:val="es-AR"/>
        </w:rPr>
        <w:t>Ents</w:t>
      </w:r>
      <w:proofErr w:type="spellEnd"/>
      <w:r w:rsidRPr="00E844AD">
        <w:rPr>
          <w:rFonts w:ascii="Arial" w:hAnsi="Arial" w:cs="Arial"/>
          <w:b/>
          <w:sz w:val="24"/>
          <w:szCs w:val="24"/>
          <w:lang w:val="es-AR"/>
        </w:rPr>
        <w:t>. 3958/15 y 4113/15)</w:t>
      </w:r>
    </w:p>
    <w:p w:rsidR="00F900CF" w:rsidRPr="00CD7517" w:rsidRDefault="00F900CF" w:rsidP="00F900CF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/>
          <w:spacing w:val="-3"/>
          <w:lang w:val="es-AR"/>
        </w:rPr>
      </w:pPr>
    </w:p>
    <w:p w:rsidR="00F900CF" w:rsidRDefault="00F900CF" w:rsidP="00F900CF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VISTO</w:t>
      </w:r>
      <w:r>
        <w:rPr>
          <w:rFonts w:ascii="Arial" w:hAnsi="Arial" w:cs="Arial"/>
          <w:b/>
          <w:bCs/>
          <w:sz w:val="24"/>
          <w:lang w:val="es-ES_tradnl"/>
        </w:rPr>
        <w:t>:</w:t>
      </w:r>
      <w:r>
        <w:rPr>
          <w:rFonts w:ascii="Arial" w:hAnsi="Arial" w:cs="Arial"/>
          <w:sz w:val="24"/>
          <w:lang w:val="es-ES_tradnl"/>
        </w:rPr>
        <w:t xml:space="preserve"> que este Tribunal ha examinado el Proyecto de Presupuesto Operativo, de Operaciones Financieras y de Inversiones para el Ejercicio 2015, remitido por la Agencia Nacional de Vivienda (ANV);</w:t>
      </w:r>
    </w:p>
    <w:p w:rsidR="00F900CF" w:rsidRDefault="00F900CF" w:rsidP="00F900CF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CONSIDERANDO</w:t>
      </w:r>
      <w:r>
        <w:rPr>
          <w:rFonts w:ascii="Arial" w:hAnsi="Arial" w:cs="Arial"/>
          <w:b/>
          <w:bCs/>
          <w:sz w:val="24"/>
          <w:lang w:val="es-ES_tradnl"/>
        </w:rPr>
        <w:t>:</w:t>
      </w:r>
      <w:r>
        <w:rPr>
          <w:rFonts w:ascii="Arial" w:hAnsi="Arial" w:cs="Arial"/>
          <w:sz w:val="24"/>
          <w:lang w:val="es-ES_tradnl"/>
        </w:rPr>
        <w:t xml:space="preserve"> que las conclusiones y evidencias obtenidas son las que se expresan en el Dictamen que se adjunta;</w:t>
      </w:r>
    </w:p>
    <w:p w:rsidR="00F900CF" w:rsidRDefault="00F900CF" w:rsidP="00F900CF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ATENTO</w:t>
      </w:r>
      <w:r>
        <w:rPr>
          <w:rFonts w:ascii="Arial" w:hAnsi="Arial" w:cs="Arial"/>
          <w:b/>
          <w:bCs/>
          <w:sz w:val="24"/>
          <w:lang w:val="es-ES_tradnl"/>
        </w:rPr>
        <w:t>:</w:t>
      </w:r>
      <w:r>
        <w:rPr>
          <w:rFonts w:ascii="Arial" w:hAnsi="Arial" w:cs="Arial"/>
          <w:sz w:val="24"/>
          <w:lang w:val="es-ES_tradnl"/>
        </w:rPr>
        <w:t xml:space="preserve"> a lo dispuesto por los Artículos 211 Literal A) y 221 de la Constitución de la República;</w:t>
      </w:r>
    </w:p>
    <w:p w:rsidR="00F900CF" w:rsidRDefault="00F900CF" w:rsidP="00F900CF">
      <w:pPr>
        <w:pStyle w:val="Ttulo1"/>
        <w:jc w:val="center"/>
      </w:pPr>
      <w:r>
        <w:t>EL TRIBUNAL ACUERDA</w:t>
      </w:r>
    </w:p>
    <w:p w:rsidR="00F900CF" w:rsidRDefault="00F900CF" w:rsidP="00F900CF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Emitir su pronunciamiento respecto al Proyecto de Presupuesto </w:t>
      </w:r>
      <w:r>
        <w:rPr>
          <w:rFonts w:ascii="Arial" w:hAnsi="Arial" w:cs="Arial"/>
          <w:sz w:val="24"/>
          <w:lang w:val="es-ES_tradnl"/>
        </w:rPr>
        <w:t xml:space="preserve">Operativo, de Operaciones Financieras y de Inversiones </w:t>
      </w:r>
      <w:r>
        <w:rPr>
          <w:rFonts w:ascii="Arial" w:hAnsi="Arial" w:cs="Arial"/>
          <w:sz w:val="24"/>
        </w:rPr>
        <w:t>de la Agencia Nacional de Vivienda, correspon</w:t>
      </w:r>
      <w:r>
        <w:rPr>
          <w:rFonts w:ascii="Arial" w:hAnsi="Arial" w:cs="Arial"/>
          <w:sz w:val="24"/>
        </w:rPr>
        <w:softHyphen/>
        <w:t>diente al Ejercicio 2015, en los términos del Dictamen que se adjunta;</w:t>
      </w:r>
    </w:p>
    <w:p w:rsidR="00F900CF" w:rsidRPr="00C32F94" w:rsidRDefault="00F900CF" w:rsidP="00F900CF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proofErr w:type="spellStart"/>
      <w:r w:rsidRPr="00E20BF9">
        <w:rPr>
          <w:rFonts w:ascii="Arial" w:hAnsi="Arial"/>
          <w:sz w:val="24"/>
          <w:szCs w:val="24"/>
          <w:lang w:val="es-MX"/>
        </w:rPr>
        <w:t>bservar</w:t>
      </w:r>
      <w:proofErr w:type="spellEnd"/>
      <w:r w:rsidRPr="00E20BF9">
        <w:rPr>
          <w:rFonts w:ascii="Arial" w:hAnsi="Arial"/>
          <w:sz w:val="24"/>
          <w:szCs w:val="24"/>
          <w:lang w:val="es-MX"/>
        </w:rPr>
        <w:t xml:space="preserve"> el Proyecto de Presupuesto Operativo, de Operaciones Fina</w:t>
      </w:r>
      <w:r>
        <w:rPr>
          <w:rFonts w:ascii="Arial" w:hAnsi="Arial"/>
          <w:sz w:val="24"/>
          <w:szCs w:val="24"/>
          <w:lang w:val="es-MX"/>
        </w:rPr>
        <w:t>ncieras y de Inversión para el E</w:t>
      </w:r>
      <w:r w:rsidRPr="00E20BF9">
        <w:rPr>
          <w:rFonts w:ascii="Arial" w:hAnsi="Arial"/>
          <w:sz w:val="24"/>
          <w:szCs w:val="24"/>
          <w:lang w:val="es-MX"/>
        </w:rPr>
        <w:t>jercicio 201</w:t>
      </w:r>
      <w:r>
        <w:rPr>
          <w:rFonts w:ascii="Arial" w:hAnsi="Arial"/>
          <w:sz w:val="24"/>
          <w:szCs w:val="24"/>
          <w:lang w:val="es-MX"/>
        </w:rPr>
        <w:t>5</w:t>
      </w:r>
      <w:r w:rsidRPr="00E20BF9">
        <w:rPr>
          <w:rFonts w:ascii="Arial" w:hAnsi="Arial"/>
          <w:sz w:val="24"/>
          <w:szCs w:val="24"/>
          <w:lang w:val="es-MX"/>
        </w:rPr>
        <w:t xml:space="preserve"> de acuerdo</w:t>
      </w:r>
      <w:r>
        <w:rPr>
          <w:rFonts w:ascii="Arial" w:hAnsi="Arial"/>
          <w:sz w:val="24"/>
          <w:szCs w:val="24"/>
          <w:lang w:val="es-MX"/>
        </w:rPr>
        <w:t xml:space="preserve"> con lo señalado en los </w:t>
      </w:r>
      <w:r w:rsidRPr="00E24FCB">
        <w:rPr>
          <w:rFonts w:ascii="Arial" w:hAnsi="Arial"/>
          <w:sz w:val="24"/>
          <w:szCs w:val="24"/>
          <w:lang w:val="es-MX"/>
        </w:rPr>
        <w:t>Numeral</w:t>
      </w:r>
      <w:r>
        <w:rPr>
          <w:rFonts w:ascii="Arial" w:hAnsi="Arial"/>
          <w:sz w:val="24"/>
          <w:szCs w:val="24"/>
          <w:lang w:val="es-MX"/>
        </w:rPr>
        <w:t>es</w:t>
      </w:r>
      <w:r w:rsidRPr="00E24FCB">
        <w:rPr>
          <w:rFonts w:ascii="Arial" w:hAnsi="Arial"/>
          <w:sz w:val="24"/>
          <w:szCs w:val="24"/>
          <w:lang w:val="es-MX"/>
        </w:rPr>
        <w:t xml:space="preserve"> 1.3</w:t>
      </w:r>
      <w:r w:rsidRPr="00C32F94">
        <w:rPr>
          <w:rFonts w:ascii="Arial" w:hAnsi="Arial"/>
          <w:sz w:val="24"/>
          <w:szCs w:val="24"/>
          <w:lang w:val="es-MX"/>
        </w:rPr>
        <w:t>)</w:t>
      </w:r>
      <w:r>
        <w:rPr>
          <w:rFonts w:ascii="Arial" w:hAnsi="Arial"/>
          <w:sz w:val="24"/>
          <w:szCs w:val="24"/>
          <w:lang w:val="es-MX"/>
        </w:rPr>
        <w:t>, 2.5) y 2.6</w:t>
      </w:r>
      <w:r w:rsidRPr="00C32F94">
        <w:rPr>
          <w:rFonts w:ascii="Arial" w:hAnsi="Arial"/>
          <w:sz w:val="24"/>
          <w:szCs w:val="24"/>
          <w:lang w:val="es-MX"/>
        </w:rPr>
        <w:t>)</w:t>
      </w:r>
      <w:r w:rsidRPr="00C32F94">
        <w:rPr>
          <w:rFonts w:ascii="Arial" w:hAnsi="Arial"/>
          <w:sz w:val="24"/>
          <w:szCs w:val="24"/>
        </w:rPr>
        <w:t>;</w:t>
      </w:r>
    </w:p>
    <w:p w:rsidR="00F900CF" w:rsidRPr="00C32F94" w:rsidRDefault="00F900CF" w:rsidP="00F900CF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 w:rsidRPr="00C32F94">
        <w:rPr>
          <w:rFonts w:ascii="Arial" w:hAnsi="Arial"/>
          <w:sz w:val="24"/>
          <w:szCs w:val="24"/>
          <w:lang w:val="es-MX"/>
        </w:rPr>
        <w:t>Téngase presente lo señalado en los Numerales 2.3), 2.</w:t>
      </w:r>
      <w:r>
        <w:rPr>
          <w:rFonts w:ascii="Arial" w:hAnsi="Arial"/>
          <w:sz w:val="24"/>
          <w:szCs w:val="24"/>
          <w:lang w:val="es-MX"/>
        </w:rPr>
        <w:t>9</w:t>
      </w:r>
      <w:r w:rsidRPr="00C32F94">
        <w:rPr>
          <w:rFonts w:ascii="Arial" w:hAnsi="Arial"/>
          <w:sz w:val="24"/>
          <w:szCs w:val="24"/>
          <w:lang w:val="es-MX"/>
        </w:rPr>
        <w:t>), 2.</w:t>
      </w:r>
      <w:r>
        <w:rPr>
          <w:rFonts w:ascii="Arial" w:hAnsi="Arial"/>
          <w:sz w:val="24"/>
          <w:szCs w:val="24"/>
          <w:lang w:val="es-MX"/>
        </w:rPr>
        <w:t>11</w:t>
      </w:r>
      <w:r w:rsidRPr="00C32F94">
        <w:rPr>
          <w:rFonts w:ascii="Arial" w:hAnsi="Arial"/>
          <w:sz w:val="24"/>
          <w:szCs w:val="24"/>
          <w:lang w:val="es-MX"/>
        </w:rPr>
        <w:t>) y 2.1</w:t>
      </w:r>
      <w:r>
        <w:rPr>
          <w:rFonts w:ascii="Arial" w:hAnsi="Arial"/>
          <w:sz w:val="24"/>
          <w:szCs w:val="24"/>
          <w:lang w:val="es-MX"/>
        </w:rPr>
        <w:t>3</w:t>
      </w:r>
      <w:r w:rsidRPr="00C32F94">
        <w:rPr>
          <w:rFonts w:ascii="Arial" w:hAnsi="Arial"/>
          <w:sz w:val="24"/>
          <w:szCs w:val="24"/>
          <w:lang w:val="es-MX"/>
        </w:rPr>
        <w:t>);</w:t>
      </w:r>
    </w:p>
    <w:p w:rsidR="00F900CF" w:rsidRDefault="00F900CF" w:rsidP="0089543C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Comunicar al Ministerio de Vivienda Ordenamiento Territorial y Medio Ambiente, al Organismo y a la Oficina de </w:t>
      </w:r>
      <w:r w:rsidR="0089543C">
        <w:rPr>
          <w:rFonts w:ascii="Arial" w:hAnsi="Arial" w:cs="Arial"/>
          <w:sz w:val="24"/>
        </w:rPr>
        <w:t>Planeamiento y Presupuesto;</w:t>
      </w:r>
    </w:p>
    <w:p w:rsidR="0089543C" w:rsidRDefault="0089543C" w:rsidP="0089543C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Devolver.</w:t>
      </w:r>
    </w:p>
    <w:p w:rsidR="00081A54" w:rsidRDefault="00081A54">
      <w:pPr>
        <w:jc w:val="both"/>
      </w:pPr>
    </w:p>
    <w:p w:rsidR="00AD02E2" w:rsidRDefault="00AD02E2">
      <w:pPr>
        <w:pStyle w:val="Ttulo3"/>
        <w:spacing w:line="360" w:lineRule="auto"/>
      </w:pPr>
      <w:r>
        <w:lastRenderedPageBreak/>
        <w:t>DICTAMEN</w:t>
      </w:r>
    </w:p>
    <w:p w:rsidR="00AD02E2" w:rsidRDefault="00AD02E2" w:rsidP="00AD0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Tribunal de Cuentas ha examinado el proyecto de Presupuesto para el Ejercicio 2015 de la Agencia Nacional de Vivienda (ANV). Toda la información incluida en el referido proyecto y los supuestos sobre los que se basa son responsabilidad  del  Directorio del Organismo. La responsabilidad del Tribunal de Cuentas es expresar una opinión sobre di</w:t>
      </w:r>
      <w:r>
        <w:rPr>
          <w:rFonts w:ascii="Arial" w:hAnsi="Arial" w:cs="Arial"/>
          <w:sz w:val="24"/>
          <w:szCs w:val="24"/>
        </w:rPr>
        <w:softHyphen/>
        <w:t>cho proyecto de Presupuesto, de acuerdo con lo dispuesto por los Artículos 211 Literal A) y 221 de la Constitución de la República y establecer, en caso que corresponda, los hallazgos realizados con relación al cumplimiento de las normas constitucionales, legales y reglamentarias que resulten aplicables.</w:t>
      </w:r>
    </w:p>
    <w:p w:rsidR="00AD02E2" w:rsidRDefault="00AD02E2" w:rsidP="00AD02E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06EB">
        <w:rPr>
          <w:rFonts w:ascii="Arial" w:hAnsi="Arial" w:cs="Arial"/>
          <w:b/>
          <w:sz w:val="24"/>
          <w:szCs w:val="24"/>
        </w:rPr>
        <w:t xml:space="preserve">1) ANÁLISIS DE </w:t>
      </w:r>
      <w:r>
        <w:rPr>
          <w:rFonts w:ascii="Arial" w:hAnsi="Arial" w:cs="Arial"/>
          <w:b/>
          <w:sz w:val="24"/>
          <w:szCs w:val="24"/>
        </w:rPr>
        <w:t>RECURSOS</w:t>
      </w:r>
      <w:r w:rsidRPr="009506EB">
        <w:rPr>
          <w:rFonts w:ascii="Arial" w:hAnsi="Arial" w:cs="Arial"/>
          <w:b/>
          <w:sz w:val="24"/>
          <w:szCs w:val="24"/>
        </w:rPr>
        <w:t xml:space="preserve"> PROYECTADO</w:t>
      </w:r>
      <w:r w:rsidR="00804668">
        <w:rPr>
          <w:rFonts w:ascii="Arial" w:hAnsi="Arial" w:cs="Arial"/>
          <w:b/>
          <w:sz w:val="24"/>
          <w:szCs w:val="24"/>
        </w:rPr>
        <w:t>S Y ASIGNACIONES PRESUPUESTALES</w:t>
      </w:r>
    </w:p>
    <w:p w:rsidR="00AD02E2" w:rsidRPr="009506EB" w:rsidRDefault="00AD02E2" w:rsidP="00AD02E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06EB">
        <w:rPr>
          <w:rFonts w:ascii="Arial" w:hAnsi="Arial" w:cs="Arial"/>
          <w:b/>
          <w:sz w:val="24"/>
          <w:szCs w:val="24"/>
        </w:rPr>
        <w:t xml:space="preserve">1.1) </w:t>
      </w:r>
      <w:r>
        <w:rPr>
          <w:rFonts w:ascii="Arial" w:hAnsi="Arial" w:cs="Arial"/>
          <w:b/>
          <w:sz w:val="24"/>
          <w:szCs w:val="24"/>
        </w:rPr>
        <w:t>RECURSOS</w:t>
      </w:r>
    </w:p>
    <w:tbl>
      <w:tblPr>
        <w:tblW w:w="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701"/>
      </w:tblGrid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>Importe en $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6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2E2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Ingresos propios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ngresos del giro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464:</w:t>
            </w: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 xml:space="preserve">516.467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Gestión de Fideicomisos MEF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374: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790.000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Gestión 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Programas MVOTMA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80: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000.000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Gestión 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Terrazas del Palacio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780.000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Comisiones 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FGCH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1: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122.328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Otras comisiones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7: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824.139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ngresos ajenos al giro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62:471.081</w:t>
            </w: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Clínica de Salud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52:325.449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Otros Ingresos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eastAsia="es-ES"/>
              </w:rPr>
              <w:t>10:145.632</w:t>
            </w: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AD02E2" w:rsidRPr="00E27F16" w:rsidTr="00AD02E2">
        <w:trPr>
          <w:trHeight w:hRule="exact" w:val="340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02E2" w:rsidRPr="00E27F16" w:rsidRDefault="00AD02E2" w:rsidP="00AD02E2">
            <w:pPr>
              <w:rPr>
                <w:rFonts w:ascii="Arial" w:hAnsi="Arial" w:cs="Arial"/>
                <w:b/>
                <w:color w:val="000000"/>
                <w:sz w:val="20"/>
                <w:lang w:eastAsia="es-ES"/>
              </w:rPr>
            </w:pPr>
            <w:r w:rsidRPr="00E27F16"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Total de ingresos propios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2E2" w:rsidRPr="00E27F16" w:rsidRDefault="00AD02E2" w:rsidP="00AD02E2">
            <w:pPr>
              <w:jc w:val="right"/>
              <w:rPr>
                <w:rFonts w:ascii="Arial" w:hAnsi="Arial" w:cs="Arial"/>
                <w:b/>
                <w:color w:val="000000"/>
                <w:sz w:val="20"/>
                <w:lang w:eastAsia="es-ES"/>
              </w:rPr>
            </w:pPr>
            <w:r w:rsidRPr="00E27F16">
              <w:rPr>
                <w:rFonts w:ascii="Arial" w:hAnsi="Arial" w:cs="Arial"/>
                <w:b/>
                <w:color w:val="000000"/>
                <w:sz w:val="20"/>
                <w:lang w:eastAsia="es-ES"/>
              </w:rPr>
              <w:t>526:987.548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6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  <w:t>inanciamiento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Aporte de Rentas Generales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"/>
              </w:rPr>
              <w:t>710:</w:t>
            </w:r>
            <w:r w:rsidRPr="00BF7CA8">
              <w:rPr>
                <w:rFonts w:ascii="Arial" w:hAnsi="Arial" w:cs="Arial"/>
                <w:color w:val="000000"/>
                <w:sz w:val="20"/>
                <w:lang w:val="es-ES_tradnl" w:eastAsia="es-ES"/>
              </w:rPr>
              <w:t xml:space="preserve">000.000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color w:val="000000"/>
                <w:sz w:val="20"/>
                <w:lang w:eastAsia="es-ES"/>
              </w:rPr>
              <w:t>Refuerzo presupuestal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lang w:val="es-ES_tradnl" w:eastAsia="es-ES"/>
              </w:rPr>
              <w:t>79:000.00</w:t>
            </w:r>
            <w:r w:rsidRPr="00BF7CA8">
              <w:rPr>
                <w:rFonts w:ascii="Arial" w:hAnsi="Arial" w:cs="Arial"/>
                <w:color w:val="000000"/>
                <w:sz w:val="20"/>
                <w:lang w:val="es-ES_tradnl" w:eastAsia="es-ES"/>
              </w:rPr>
              <w:t xml:space="preserve">0 </w:t>
            </w: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>Total de financiamiento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2E2" w:rsidRDefault="00AD02E2" w:rsidP="00AD02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>789:000.000</w:t>
            </w:r>
          </w:p>
        </w:tc>
      </w:tr>
      <w:tr w:rsidR="00AD02E2" w:rsidRPr="00BF7CA8" w:rsidTr="00AD02E2">
        <w:trPr>
          <w:trHeight w:hRule="exact" w:val="201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2E2" w:rsidRDefault="00AD02E2" w:rsidP="00AD02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</w:pPr>
          </w:p>
        </w:tc>
      </w:tr>
      <w:tr w:rsidR="00AD02E2" w:rsidRPr="00BF7CA8" w:rsidTr="00AD02E2">
        <w:trPr>
          <w:trHeight w:hRule="exact" w:val="340"/>
        </w:trPr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 xml:space="preserve"> de recursos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2E2" w:rsidRPr="00BF7CA8" w:rsidRDefault="00AD02E2" w:rsidP="00AD02E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>1.315:987.548</w:t>
            </w:r>
            <w:r w:rsidRPr="00BF7CA8">
              <w:rPr>
                <w:rFonts w:ascii="Arial" w:hAnsi="Arial" w:cs="Arial"/>
                <w:b/>
                <w:bCs/>
                <w:color w:val="000000"/>
                <w:sz w:val="20"/>
                <w:lang w:val="es-ES_tradnl" w:eastAsia="es-ES"/>
              </w:rPr>
              <w:t xml:space="preserve"> </w:t>
            </w:r>
          </w:p>
        </w:tc>
      </w:tr>
    </w:tbl>
    <w:p w:rsidR="00AD02E2" w:rsidRPr="00994BA8" w:rsidRDefault="00AD02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4BA8">
        <w:rPr>
          <w:rFonts w:ascii="Arial" w:hAnsi="Arial" w:cs="Arial"/>
          <w:b/>
          <w:sz w:val="24"/>
          <w:szCs w:val="24"/>
        </w:rPr>
        <w:t>1.2) ASIGNACIONES PRESUPUES</w:t>
      </w:r>
      <w:r>
        <w:rPr>
          <w:rFonts w:ascii="Arial" w:hAnsi="Arial" w:cs="Arial"/>
          <w:b/>
          <w:sz w:val="24"/>
          <w:szCs w:val="24"/>
        </w:rPr>
        <w:t>T</w:t>
      </w:r>
      <w:r w:rsidRPr="00994BA8">
        <w:rPr>
          <w:rFonts w:ascii="Arial" w:hAnsi="Arial" w:cs="Arial"/>
          <w:b/>
          <w:sz w:val="24"/>
          <w:szCs w:val="24"/>
        </w:rPr>
        <w:t>ALES</w:t>
      </w:r>
    </w:p>
    <w:p w:rsidR="00AD02E2" w:rsidRPr="00CE13C4" w:rsidRDefault="00AD02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13C4">
        <w:rPr>
          <w:rFonts w:ascii="Arial" w:hAnsi="Arial" w:cs="Arial"/>
          <w:b/>
          <w:sz w:val="24"/>
          <w:szCs w:val="24"/>
        </w:rPr>
        <w:t>Presupuesto Operativo</w:t>
      </w: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300"/>
        <w:gridCol w:w="1639"/>
      </w:tblGrid>
      <w:tr w:rsidR="00AD02E2" w:rsidRPr="00E27F16" w:rsidTr="00AD02E2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Importe en $ </w:t>
            </w:r>
          </w:p>
        </w:tc>
      </w:tr>
      <w:tr w:rsidR="00AD02E2" w:rsidRPr="00392FAE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ervicios personales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968: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079.526   </w:t>
            </w:r>
          </w:p>
        </w:tc>
      </w:tr>
      <w:tr w:rsidR="00AD02E2" w:rsidRPr="00392FAE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ienes de consumo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7:175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875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</w:t>
            </w:r>
          </w:p>
        </w:tc>
      </w:tr>
      <w:tr w:rsidR="00AD02E2" w:rsidRPr="00392FAE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ervicios no personales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316:754.960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</w:t>
            </w:r>
          </w:p>
        </w:tc>
      </w:tr>
      <w:tr w:rsidR="00AD02E2" w:rsidRPr="00392FAE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ransferencias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1: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633.967   </w:t>
            </w:r>
          </w:p>
        </w:tc>
      </w:tr>
      <w:tr w:rsidR="00AD02E2" w:rsidRPr="00392FAE" w:rsidTr="00AD02E2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ntereses y otros gastos de deuda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           -     </w:t>
            </w:r>
          </w:p>
        </w:tc>
      </w:tr>
      <w:tr w:rsidR="00AD02E2" w:rsidRPr="00392FAE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astos no clasificados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4: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365.881   </w:t>
            </w:r>
          </w:p>
        </w:tc>
      </w:tr>
      <w:tr w:rsidR="00AD02E2" w:rsidRPr="00392FAE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plicaciones financieras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           -     </w:t>
            </w:r>
          </w:p>
        </w:tc>
      </w:tr>
      <w:tr w:rsidR="00AD02E2" w:rsidRPr="00E27F16" w:rsidTr="00AD02E2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2E2" w:rsidRPr="00E27F16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E27F16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   1.308:010.207   </w:t>
            </w:r>
          </w:p>
        </w:tc>
      </w:tr>
    </w:tbl>
    <w:p w:rsidR="00AD02E2" w:rsidRDefault="00AD02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D02E2" w:rsidRPr="00CE13C4" w:rsidRDefault="00AD02E2">
      <w:pPr>
        <w:pStyle w:val="Ttulo4"/>
        <w:rPr>
          <w:sz w:val="24"/>
        </w:rPr>
      </w:pPr>
      <w:r w:rsidRPr="00CE13C4">
        <w:rPr>
          <w:sz w:val="24"/>
        </w:rPr>
        <w:t>Presupuesto de Inversiones</w:t>
      </w: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386"/>
        <w:gridCol w:w="1559"/>
      </w:tblGrid>
      <w:tr w:rsidR="00AD02E2" w:rsidRPr="00E27F16" w:rsidTr="00AD02E2">
        <w:trPr>
          <w:trHeight w:val="55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2E2" w:rsidRPr="00E27F16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E27F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Importe en $</w:t>
            </w:r>
          </w:p>
        </w:tc>
      </w:tr>
      <w:tr w:rsidR="00AD02E2" w:rsidRPr="00392FAE" w:rsidTr="00AD02E2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Bienes de uso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7: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062.278   </w:t>
            </w:r>
          </w:p>
        </w:tc>
      </w:tr>
      <w:tr w:rsidR="00AD02E2" w:rsidRPr="00392FAE" w:rsidTr="00AD02E2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ctivos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         -     </w:t>
            </w:r>
          </w:p>
        </w:tc>
      </w:tr>
      <w:tr w:rsidR="00AD02E2" w:rsidRPr="00392FAE" w:rsidTr="00AD02E2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2E2" w:rsidRPr="00392FAE" w:rsidRDefault="00AD02E2" w:rsidP="00AD0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7:</w:t>
            </w:r>
            <w:r w:rsidRPr="00392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062.278   </w:t>
            </w:r>
          </w:p>
        </w:tc>
      </w:tr>
    </w:tbl>
    <w:p w:rsidR="00AD02E2" w:rsidRPr="002D3B3D" w:rsidRDefault="00AD02E2">
      <w:pPr>
        <w:pStyle w:val="Epgrafe"/>
        <w:rPr>
          <w:highlight w:val="yellow"/>
        </w:rPr>
      </w:pPr>
    </w:p>
    <w:tbl>
      <w:tblPr>
        <w:tblW w:w="6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2"/>
      </w:tblGrid>
      <w:tr w:rsidR="00AD02E2" w:rsidRPr="00E27F16" w:rsidTr="00AD02E2">
        <w:trPr>
          <w:trHeight w:val="696"/>
        </w:trPr>
        <w:tc>
          <w:tcPr>
            <w:tcW w:w="6802" w:type="dxa"/>
            <w:vAlign w:val="center"/>
          </w:tcPr>
          <w:p w:rsidR="00AD02E2" w:rsidRPr="00E27F16" w:rsidRDefault="00AD02E2" w:rsidP="00AD02E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F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Egresos                                                                   $ 1.315:072.485</w:t>
            </w:r>
          </w:p>
        </w:tc>
      </w:tr>
    </w:tbl>
    <w:p w:rsidR="00AD02E2" w:rsidRPr="007B4B60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02E2" w:rsidRPr="00302885" w:rsidRDefault="00AD02E2" w:rsidP="00AD02E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17C3">
        <w:rPr>
          <w:rFonts w:ascii="Arial" w:hAnsi="Arial" w:cs="Arial"/>
          <w:b/>
          <w:sz w:val="24"/>
          <w:szCs w:val="24"/>
        </w:rPr>
        <w:t>1.3)</w:t>
      </w:r>
      <w:r w:rsidRPr="007B4B60">
        <w:rPr>
          <w:rFonts w:ascii="Arial" w:hAnsi="Arial" w:cs="Arial"/>
          <w:sz w:val="24"/>
          <w:szCs w:val="24"/>
        </w:rPr>
        <w:t xml:space="preserve"> </w:t>
      </w:r>
      <w:r w:rsidRPr="00302885">
        <w:rPr>
          <w:rFonts w:ascii="Arial" w:hAnsi="Arial" w:cs="Arial"/>
          <w:sz w:val="24"/>
          <w:szCs w:val="24"/>
        </w:rPr>
        <w:t xml:space="preserve">En el Presupuesto se exponen Ingresos Propios  por $ </w:t>
      </w:r>
      <w:r w:rsidRPr="007B4B60">
        <w:rPr>
          <w:rFonts w:ascii="Arial" w:hAnsi="Arial" w:cs="Arial"/>
          <w:sz w:val="24"/>
          <w:szCs w:val="24"/>
        </w:rPr>
        <w:t>526</w:t>
      </w:r>
      <w:r>
        <w:rPr>
          <w:rFonts w:ascii="Arial" w:hAnsi="Arial" w:cs="Arial"/>
          <w:sz w:val="24"/>
          <w:szCs w:val="24"/>
        </w:rPr>
        <w:t>:</w:t>
      </w:r>
      <w:r w:rsidRPr="007B4B60">
        <w:rPr>
          <w:rFonts w:ascii="Arial" w:hAnsi="Arial" w:cs="Arial"/>
          <w:sz w:val="24"/>
          <w:szCs w:val="24"/>
        </w:rPr>
        <w:t>987.548</w:t>
      </w:r>
      <w:r>
        <w:rPr>
          <w:rFonts w:ascii="Arial" w:hAnsi="Arial" w:cs="Arial"/>
          <w:sz w:val="24"/>
          <w:szCs w:val="24"/>
        </w:rPr>
        <w:t xml:space="preserve"> y Egresos por $ 1.315:072.485</w:t>
      </w:r>
      <w:r w:rsidRPr="007B4B60">
        <w:rPr>
          <w:rFonts w:ascii="Arial" w:hAnsi="Arial" w:cs="Arial"/>
          <w:sz w:val="24"/>
          <w:szCs w:val="24"/>
        </w:rPr>
        <w:t>, lo que determina un déficit</w:t>
      </w:r>
      <w:r w:rsidRPr="00302885">
        <w:rPr>
          <w:rFonts w:ascii="Arial" w:hAnsi="Arial" w:cs="Arial"/>
          <w:bCs/>
          <w:sz w:val="24"/>
          <w:szCs w:val="24"/>
        </w:rPr>
        <w:t xml:space="preserve"> presupuestal de             $ </w:t>
      </w:r>
      <w:r>
        <w:rPr>
          <w:rFonts w:ascii="Arial" w:hAnsi="Arial" w:cs="Arial"/>
          <w:bCs/>
          <w:sz w:val="24"/>
          <w:szCs w:val="24"/>
        </w:rPr>
        <w:t>788:084.937</w:t>
      </w:r>
      <w:r w:rsidRPr="00302885">
        <w:rPr>
          <w:rFonts w:ascii="Arial" w:hAnsi="Arial" w:cs="Arial"/>
          <w:bCs/>
          <w:sz w:val="24"/>
          <w:szCs w:val="24"/>
        </w:rPr>
        <w:t xml:space="preserve">, el que se proyecta financiar con aportes de Rentas Generales  por $ </w:t>
      </w:r>
      <w:r>
        <w:rPr>
          <w:rFonts w:ascii="Arial" w:hAnsi="Arial" w:cs="Arial"/>
          <w:bCs/>
          <w:sz w:val="24"/>
          <w:szCs w:val="24"/>
        </w:rPr>
        <w:t>710:000.</w:t>
      </w:r>
      <w:r w:rsidRPr="004479E8">
        <w:rPr>
          <w:rFonts w:ascii="Arial" w:hAnsi="Arial" w:cs="Arial"/>
          <w:sz w:val="24"/>
          <w:szCs w:val="24"/>
        </w:rPr>
        <w:t xml:space="preserve">000, y aportes del Ministerio de Economía y Finanzas </w:t>
      </w:r>
      <w:r>
        <w:rPr>
          <w:rFonts w:ascii="Arial" w:hAnsi="Arial" w:cs="Arial"/>
          <w:sz w:val="24"/>
          <w:szCs w:val="24"/>
        </w:rPr>
        <w:t>por               $ 79</w:t>
      </w:r>
      <w:r w:rsidRPr="004479E8">
        <w:rPr>
          <w:rFonts w:ascii="Arial" w:hAnsi="Arial" w:cs="Arial"/>
          <w:sz w:val="24"/>
          <w:szCs w:val="24"/>
        </w:rPr>
        <w:t>:000.000. Este último</w:t>
      </w:r>
      <w:r>
        <w:rPr>
          <w:rFonts w:ascii="Arial" w:hAnsi="Arial" w:cs="Arial"/>
          <w:bCs/>
          <w:sz w:val="24"/>
          <w:szCs w:val="24"/>
        </w:rPr>
        <w:t xml:space="preserve"> monto no ha sido autorizado por Ley.</w:t>
      </w:r>
    </w:p>
    <w:p w:rsidR="00AD02E2" w:rsidRPr="00302885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1.4</w:t>
      </w:r>
      <w:r w:rsidRPr="00302885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02885">
        <w:rPr>
          <w:rFonts w:ascii="Arial" w:hAnsi="Arial" w:cs="Arial"/>
          <w:sz w:val="24"/>
          <w:szCs w:val="24"/>
        </w:rPr>
        <w:t>Los ingresos y egresos previstos fueron calculados a nivel de precios del período enero-junio de 2015, a un tipo de cambio de $ 26 por dólar americano y un Índice de Precios al Consumo de 143.</w:t>
      </w:r>
    </w:p>
    <w:p w:rsidR="00AD02E2" w:rsidRPr="00BD2604" w:rsidRDefault="00AD02E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1186593361"/>
      <w:bookmarkStart w:id="2" w:name="_1186593546"/>
      <w:bookmarkStart w:id="3" w:name="_1247657142"/>
      <w:bookmarkStart w:id="4" w:name="_1249381312"/>
      <w:bookmarkStart w:id="5" w:name="_1249381332"/>
      <w:bookmarkStart w:id="6" w:name="_1249381858"/>
      <w:bookmarkStart w:id="7" w:name="_1249381889"/>
      <w:bookmarkStart w:id="8" w:name="_1249734842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D2604">
        <w:rPr>
          <w:rFonts w:ascii="Arial" w:hAnsi="Arial" w:cs="Arial"/>
          <w:b/>
          <w:bCs/>
          <w:sz w:val="24"/>
          <w:szCs w:val="24"/>
        </w:rPr>
        <w:t>2)</w:t>
      </w:r>
      <w:r w:rsidRPr="00BD2604">
        <w:rPr>
          <w:rFonts w:ascii="Arial" w:hAnsi="Arial" w:cs="Arial"/>
          <w:sz w:val="24"/>
          <w:szCs w:val="24"/>
        </w:rPr>
        <w:t xml:space="preserve"> </w:t>
      </w:r>
      <w:r w:rsidRPr="00BD2604">
        <w:rPr>
          <w:rFonts w:ascii="Arial" w:hAnsi="Arial" w:cs="Arial"/>
          <w:b/>
          <w:sz w:val="24"/>
          <w:szCs w:val="24"/>
        </w:rPr>
        <w:t>CUMPLIMIENTO DE NORMAS CONSTITUCIO</w:t>
      </w:r>
      <w:r w:rsidR="00804668">
        <w:rPr>
          <w:rFonts w:ascii="Arial" w:hAnsi="Arial" w:cs="Arial"/>
          <w:b/>
          <w:sz w:val="24"/>
          <w:szCs w:val="24"/>
        </w:rPr>
        <w:t>NALES, LEGALES Y REGLAMENTARIAS</w:t>
      </w:r>
    </w:p>
    <w:p w:rsidR="00AD02E2" w:rsidRPr="00BD2604" w:rsidRDefault="00AD02E2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AD02E2" w:rsidRPr="00BD2604" w:rsidRDefault="00AD0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604">
        <w:rPr>
          <w:rFonts w:ascii="Arial" w:hAnsi="Arial" w:cs="Arial"/>
          <w:b/>
          <w:bCs/>
          <w:sz w:val="24"/>
          <w:szCs w:val="24"/>
        </w:rPr>
        <w:t xml:space="preserve">2.1) </w:t>
      </w:r>
      <w:r w:rsidRPr="00BD2604">
        <w:rPr>
          <w:rFonts w:ascii="Arial" w:hAnsi="Arial" w:cs="Arial"/>
          <w:sz w:val="24"/>
          <w:szCs w:val="24"/>
        </w:rPr>
        <w:t>El P</w:t>
      </w:r>
      <w:r>
        <w:rPr>
          <w:rFonts w:ascii="Arial" w:hAnsi="Arial" w:cs="Arial"/>
          <w:sz w:val="24"/>
          <w:szCs w:val="24"/>
        </w:rPr>
        <w:t>royecto de Presupuesto para el E</w:t>
      </w:r>
      <w:r w:rsidRPr="00BD2604">
        <w:rPr>
          <w:rFonts w:ascii="Arial" w:hAnsi="Arial" w:cs="Arial"/>
          <w:sz w:val="24"/>
          <w:szCs w:val="24"/>
        </w:rPr>
        <w:t>jercicio 201</w:t>
      </w:r>
      <w:r>
        <w:rPr>
          <w:rFonts w:ascii="Arial" w:hAnsi="Arial" w:cs="Arial"/>
          <w:sz w:val="24"/>
          <w:szCs w:val="24"/>
        </w:rPr>
        <w:t>5</w:t>
      </w:r>
      <w:r w:rsidRPr="00BD2604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 xml:space="preserve">ANV </w:t>
      </w:r>
      <w:r w:rsidRPr="00BD2604">
        <w:rPr>
          <w:rFonts w:ascii="Arial" w:hAnsi="Arial" w:cs="Arial"/>
          <w:sz w:val="24"/>
          <w:szCs w:val="24"/>
        </w:rPr>
        <w:t>comprende los Presupuestos de Recursos, Operativo, de Operaciones Financieras y de Inversiones aprobados por Resolución de Directorio Nº 03</w:t>
      </w:r>
      <w:r>
        <w:rPr>
          <w:rFonts w:ascii="Arial" w:hAnsi="Arial" w:cs="Arial"/>
          <w:sz w:val="24"/>
          <w:szCs w:val="24"/>
        </w:rPr>
        <w:t>19</w:t>
      </w:r>
      <w:r w:rsidRPr="00BD2604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5</w:t>
      </w:r>
      <w:r w:rsidRPr="00BD2604">
        <w:rPr>
          <w:rFonts w:ascii="Arial" w:hAnsi="Arial" w:cs="Arial"/>
          <w:sz w:val="24"/>
          <w:szCs w:val="24"/>
        </w:rPr>
        <w:t>, de fecha 2</w:t>
      </w:r>
      <w:r>
        <w:rPr>
          <w:rFonts w:ascii="Arial" w:hAnsi="Arial" w:cs="Arial"/>
          <w:sz w:val="24"/>
          <w:szCs w:val="24"/>
        </w:rPr>
        <w:t>2/07/</w:t>
      </w:r>
      <w:r w:rsidRPr="00BD260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r w:rsidRPr="00BD2604">
        <w:rPr>
          <w:rFonts w:ascii="Arial" w:hAnsi="Arial" w:cs="Arial"/>
          <w:sz w:val="24"/>
          <w:szCs w:val="24"/>
        </w:rPr>
        <w:t>.</w:t>
      </w:r>
    </w:p>
    <w:p w:rsidR="00AD02E2" w:rsidRPr="00BD2604" w:rsidRDefault="00AD0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2604">
        <w:rPr>
          <w:rFonts w:ascii="Arial" w:hAnsi="Arial" w:cs="Arial"/>
          <w:b/>
          <w:bCs/>
          <w:sz w:val="24"/>
          <w:szCs w:val="24"/>
        </w:rPr>
        <w:t xml:space="preserve">2.2) </w:t>
      </w:r>
      <w:r w:rsidRPr="00BD2604">
        <w:rPr>
          <w:rFonts w:ascii="Arial" w:hAnsi="Arial" w:cs="Arial"/>
          <w:sz w:val="24"/>
          <w:szCs w:val="24"/>
        </w:rPr>
        <w:t>El Proyecto remitido ingresó a este Tribunal para su consideración el día  27</w:t>
      </w:r>
      <w:r>
        <w:rPr>
          <w:rFonts w:ascii="Arial" w:hAnsi="Arial" w:cs="Arial"/>
          <w:sz w:val="24"/>
          <w:szCs w:val="24"/>
        </w:rPr>
        <w:t>/07/2015</w:t>
      </w:r>
      <w:r w:rsidRPr="00BD2604">
        <w:rPr>
          <w:rFonts w:ascii="Arial" w:hAnsi="Arial" w:cs="Arial"/>
          <w:sz w:val="24"/>
          <w:szCs w:val="24"/>
        </w:rPr>
        <w:t>, dentro del plazo previsto por el Artículo 221 (Inciso 1) de la Constitución de la República, dándosele Entrada Oficial el 29</w:t>
      </w:r>
      <w:r>
        <w:rPr>
          <w:rFonts w:ascii="Arial" w:hAnsi="Arial" w:cs="Arial"/>
          <w:sz w:val="24"/>
          <w:szCs w:val="24"/>
        </w:rPr>
        <w:t>/07/</w:t>
      </w:r>
      <w:r w:rsidRPr="00BD2604">
        <w:rPr>
          <w:rFonts w:ascii="Arial" w:hAnsi="Arial" w:cs="Arial"/>
          <w:sz w:val="24"/>
          <w:szCs w:val="24"/>
        </w:rPr>
        <w:t>2015, según lo disp</w:t>
      </w:r>
      <w:r>
        <w:rPr>
          <w:rFonts w:ascii="Arial" w:hAnsi="Arial" w:cs="Arial"/>
          <w:sz w:val="24"/>
          <w:szCs w:val="24"/>
        </w:rPr>
        <w:t>one la Ordenanza Nº 51 del 22/11/</w:t>
      </w:r>
      <w:r w:rsidRPr="00BD2604">
        <w:rPr>
          <w:rFonts w:ascii="Arial" w:hAnsi="Arial" w:cs="Arial"/>
          <w:sz w:val="24"/>
          <w:szCs w:val="24"/>
        </w:rPr>
        <w:t>1972 del Tribunal de Cuentas.</w:t>
      </w:r>
    </w:p>
    <w:p w:rsidR="00AD02E2" w:rsidRPr="0097330D" w:rsidRDefault="00AD02E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7330D">
        <w:rPr>
          <w:rFonts w:ascii="Arial" w:hAnsi="Arial" w:cs="Arial"/>
          <w:b/>
          <w:bCs/>
          <w:sz w:val="24"/>
          <w:szCs w:val="24"/>
        </w:rPr>
        <w:t>2.3)</w:t>
      </w:r>
      <w:r w:rsidRPr="0097330D">
        <w:rPr>
          <w:rFonts w:ascii="Arial" w:hAnsi="Arial" w:cs="Arial"/>
          <w:bCs/>
          <w:sz w:val="24"/>
          <w:szCs w:val="24"/>
        </w:rPr>
        <w:t xml:space="preserve"> En lo que refiere al cumplimiento de lo dispuesto por el Artículo 4 de la Ley Nº 16.211 de 01/10/1991, se indica que la Agencia no presenta proyectos de inversión significativos para el período 2015-2019.</w:t>
      </w:r>
    </w:p>
    <w:p w:rsidR="00AD02E2" w:rsidRPr="0097330D" w:rsidRDefault="00AD02E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7330D">
        <w:rPr>
          <w:rFonts w:ascii="Arial" w:hAnsi="Arial" w:cs="Arial"/>
          <w:b/>
          <w:bCs/>
          <w:sz w:val="24"/>
          <w:szCs w:val="24"/>
        </w:rPr>
        <w:t>2.4)</w:t>
      </w:r>
      <w:r w:rsidRPr="0097330D">
        <w:rPr>
          <w:rFonts w:ascii="Arial" w:hAnsi="Arial" w:cs="Arial"/>
          <w:bCs/>
          <w:sz w:val="24"/>
          <w:szCs w:val="24"/>
        </w:rPr>
        <w:t xml:space="preserve"> El Proyecto se presenta en forma comparativa con el Presupuesto vigente, de acuerdo con lo dispuesto por el Inciso 3 del Artículo 216 de la Constitución de la República.</w:t>
      </w:r>
    </w:p>
    <w:p w:rsidR="00AD02E2" w:rsidRPr="00BD2604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2FDE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82FDE">
        <w:rPr>
          <w:rFonts w:ascii="Arial" w:hAnsi="Arial" w:cs="Arial"/>
          <w:b/>
          <w:bCs/>
          <w:sz w:val="24"/>
          <w:szCs w:val="24"/>
        </w:rPr>
        <w:t>)</w:t>
      </w:r>
      <w:r w:rsidRPr="00F82FDE">
        <w:rPr>
          <w:rFonts w:ascii="Arial" w:hAnsi="Arial" w:cs="Arial"/>
          <w:sz w:val="24"/>
          <w:szCs w:val="24"/>
        </w:rPr>
        <w:t xml:space="preserve"> No se remitió la siguiente información establecida en el Decreto Nº 452/67</w:t>
      </w:r>
      <w:r>
        <w:rPr>
          <w:rFonts w:ascii="Arial" w:hAnsi="Arial" w:cs="Arial"/>
          <w:sz w:val="24"/>
          <w:szCs w:val="24"/>
        </w:rPr>
        <w:t xml:space="preserve"> del 25/07/</w:t>
      </w:r>
      <w:r w:rsidRPr="00BD2604">
        <w:rPr>
          <w:rFonts w:ascii="Arial" w:hAnsi="Arial" w:cs="Arial"/>
          <w:sz w:val="24"/>
          <w:szCs w:val="24"/>
        </w:rPr>
        <w:t>1967:</w:t>
      </w:r>
    </w:p>
    <w:p w:rsidR="00AD02E2" w:rsidRPr="00BD2604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2.5</w:t>
      </w:r>
      <w:r w:rsidRPr="00BD2604">
        <w:rPr>
          <w:rFonts w:ascii="Arial" w:hAnsi="Arial" w:cs="Arial"/>
          <w:b/>
          <w:bCs/>
          <w:sz w:val="24"/>
          <w:szCs w:val="24"/>
        </w:rPr>
        <w:t>.1)</w:t>
      </w:r>
      <w:r w:rsidRPr="00BD2604">
        <w:rPr>
          <w:rFonts w:ascii="Arial" w:hAnsi="Arial" w:cs="Arial"/>
          <w:sz w:val="24"/>
          <w:szCs w:val="24"/>
        </w:rPr>
        <w:t xml:space="preserve"> Relación de vacantes existentes de acuerdo con el  Artículo Nº 9 Literal a).</w:t>
      </w:r>
    </w:p>
    <w:p w:rsidR="00AD02E2" w:rsidRPr="00BD2604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2.5</w:t>
      </w:r>
      <w:r w:rsidRPr="00BD2604">
        <w:rPr>
          <w:rFonts w:ascii="Arial" w:hAnsi="Arial" w:cs="Arial"/>
          <w:b/>
          <w:bCs/>
          <w:sz w:val="24"/>
          <w:szCs w:val="24"/>
        </w:rPr>
        <w:t>.2)</w:t>
      </w:r>
      <w:r w:rsidRPr="00BD2604">
        <w:rPr>
          <w:rFonts w:ascii="Arial" w:hAnsi="Arial" w:cs="Arial"/>
          <w:sz w:val="24"/>
          <w:szCs w:val="24"/>
        </w:rPr>
        <w:t xml:space="preserve"> Relación de regularizaciones y creaciones de cargos proyecta</w:t>
      </w:r>
      <w:r>
        <w:rPr>
          <w:rFonts w:ascii="Arial" w:hAnsi="Arial" w:cs="Arial"/>
          <w:sz w:val="24"/>
          <w:szCs w:val="24"/>
        </w:rPr>
        <w:t>dos   (Artículo Nº 9 Literal b).</w:t>
      </w:r>
    </w:p>
    <w:p w:rsidR="00AD02E2" w:rsidRDefault="00AD02E2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C32F94">
        <w:rPr>
          <w:rFonts w:ascii="Arial" w:hAnsi="Arial"/>
          <w:b/>
          <w:sz w:val="24"/>
          <w:szCs w:val="24"/>
        </w:rPr>
        <w:t>2.</w:t>
      </w:r>
      <w:r>
        <w:rPr>
          <w:rFonts w:ascii="Arial" w:hAnsi="Arial"/>
          <w:b/>
          <w:sz w:val="24"/>
          <w:szCs w:val="24"/>
        </w:rPr>
        <w:t>6</w:t>
      </w:r>
      <w:r w:rsidRPr="00C32F94">
        <w:rPr>
          <w:rFonts w:ascii="Arial" w:hAnsi="Arial"/>
          <w:b/>
          <w:sz w:val="24"/>
          <w:szCs w:val="24"/>
          <w:lang w:val="es-MX"/>
        </w:rPr>
        <w:t>)</w:t>
      </w:r>
      <w:r w:rsidRPr="00C32F94">
        <w:rPr>
          <w:rFonts w:ascii="Arial" w:hAnsi="Arial"/>
          <w:sz w:val="24"/>
          <w:szCs w:val="24"/>
          <w:lang w:val="es-MX"/>
        </w:rPr>
        <w:t xml:space="preserve"> </w:t>
      </w:r>
      <w:r w:rsidRPr="00C32F94">
        <w:rPr>
          <w:rFonts w:ascii="Arial" w:hAnsi="Arial" w:cs="Arial"/>
          <w:bCs/>
          <w:sz w:val="24"/>
        </w:rPr>
        <w:t>No se ha dado cumplimiento a lo dispuesto por el Artículo 5 de la Ley       Nº 16.211</w:t>
      </w:r>
      <w:r>
        <w:rPr>
          <w:rFonts w:ascii="Arial" w:hAnsi="Arial" w:cs="Arial"/>
          <w:bCs/>
          <w:sz w:val="24"/>
        </w:rPr>
        <w:t xml:space="preserve"> de 01/10/1991</w:t>
      </w:r>
      <w:r w:rsidRPr="00C32F94">
        <w:rPr>
          <w:rFonts w:ascii="Arial" w:hAnsi="Arial" w:cs="Arial"/>
          <w:bCs/>
          <w:sz w:val="24"/>
        </w:rPr>
        <w:t>, por cuanto se presupuestan actividades que no pueden ser cubiertas con los Ingresos directos generados por las mismas, ni se ha dado cumplimiento a los extremos requeridos por dicha norma para que ello resulte posible.</w:t>
      </w:r>
    </w:p>
    <w:p w:rsidR="00AD02E2" w:rsidRPr="00BD2604" w:rsidRDefault="00AD02E2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b/>
          <w:sz w:val="24"/>
          <w:szCs w:val="24"/>
          <w:lang w:val="es-MX"/>
        </w:rPr>
        <w:t>2.7</w:t>
      </w:r>
      <w:r w:rsidRPr="00545F98">
        <w:rPr>
          <w:rFonts w:ascii="Arial" w:hAnsi="Arial"/>
          <w:b/>
          <w:sz w:val="24"/>
          <w:szCs w:val="24"/>
          <w:lang w:val="es-MX"/>
        </w:rPr>
        <w:t>)</w:t>
      </w:r>
      <w:r>
        <w:rPr>
          <w:rFonts w:ascii="Arial" w:hAnsi="Arial"/>
          <w:sz w:val="24"/>
          <w:szCs w:val="24"/>
          <w:lang w:val="es-MX"/>
        </w:rPr>
        <w:t xml:space="preserve"> </w:t>
      </w:r>
      <w:r w:rsidRPr="00BD2604">
        <w:rPr>
          <w:rFonts w:ascii="Arial" w:hAnsi="Arial"/>
          <w:sz w:val="24"/>
          <w:szCs w:val="24"/>
          <w:lang w:val="es-MX"/>
        </w:rPr>
        <w:t>Se agrega</w:t>
      </w:r>
      <w:r>
        <w:rPr>
          <w:rFonts w:ascii="Arial" w:hAnsi="Arial"/>
          <w:sz w:val="24"/>
          <w:szCs w:val="24"/>
          <w:lang w:val="es-MX"/>
        </w:rPr>
        <w:t xml:space="preserve"> la Memoria 2014, respecto de los logros y avances de la gestión de la Agencia</w:t>
      </w:r>
      <w:r w:rsidRPr="00BD2604">
        <w:rPr>
          <w:rFonts w:ascii="Arial" w:hAnsi="Arial"/>
          <w:sz w:val="24"/>
          <w:szCs w:val="24"/>
          <w:lang w:val="es-MX"/>
        </w:rPr>
        <w:t>,  en cumplimiento de lo dispuesto</w:t>
      </w:r>
      <w:r>
        <w:rPr>
          <w:rFonts w:ascii="Arial" w:hAnsi="Arial"/>
          <w:sz w:val="24"/>
          <w:szCs w:val="24"/>
          <w:lang w:val="es-MX"/>
        </w:rPr>
        <w:t xml:space="preserve"> por el Artículo 4 de la Ley Nº</w:t>
      </w:r>
      <w:r w:rsidRPr="00BD2604">
        <w:rPr>
          <w:rFonts w:ascii="Arial" w:hAnsi="Arial"/>
          <w:sz w:val="24"/>
          <w:szCs w:val="24"/>
          <w:lang w:val="es-MX"/>
        </w:rPr>
        <w:t>16.211</w:t>
      </w:r>
      <w:r>
        <w:rPr>
          <w:rFonts w:ascii="Arial" w:hAnsi="Arial"/>
          <w:sz w:val="24"/>
          <w:szCs w:val="24"/>
          <w:lang w:val="es-MX"/>
        </w:rPr>
        <w:t xml:space="preserve"> de 01/10/1991.</w:t>
      </w:r>
    </w:p>
    <w:p w:rsidR="00AD02E2" w:rsidRPr="008E08D2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08D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8</w:t>
      </w:r>
      <w:r w:rsidRPr="008E08D2">
        <w:rPr>
          <w:rFonts w:ascii="Arial" w:hAnsi="Arial" w:cs="Arial"/>
          <w:b/>
          <w:sz w:val="24"/>
          <w:szCs w:val="24"/>
        </w:rPr>
        <w:t>)</w:t>
      </w:r>
      <w:r w:rsidRPr="008E08D2">
        <w:rPr>
          <w:rFonts w:ascii="Arial" w:hAnsi="Arial" w:cs="Arial"/>
          <w:sz w:val="24"/>
          <w:szCs w:val="24"/>
        </w:rPr>
        <w:t xml:space="preserve"> El Artículo 1 establece que la remuneración de los integrantes del Directorio de la Agencia Nacional de Vivienda se fijará con ajuste a lo establecido por las disposiciones legales. Asimismo, regula el régimen de subsidio en el que pueden ampararse los Miembros del Directorio a pa</w:t>
      </w:r>
      <w:r w:rsidR="00804668">
        <w:rPr>
          <w:rFonts w:ascii="Arial" w:hAnsi="Arial" w:cs="Arial"/>
          <w:sz w:val="24"/>
          <w:szCs w:val="24"/>
        </w:rPr>
        <w:t>rtir del cese en sus funciones.</w:t>
      </w:r>
    </w:p>
    <w:p w:rsidR="00AD02E2" w:rsidRPr="008E08D2" w:rsidRDefault="00AD02E2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b/>
          <w:bCs/>
          <w:sz w:val="24"/>
          <w:szCs w:val="24"/>
        </w:rPr>
        <w:t>2.9</w:t>
      </w:r>
      <w:r w:rsidRPr="008E08D2">
        <w:rPr>
          <w:rFonts w:ascii="Arial" w:hAnsi="Arial"/>
          <w:b/>
          <w:bCs/>
          <w:sz w:val="24"/>
          <w:szCs w:val="24"/>
          <w:lang w:val="es-MX"/>
        </w:rPr>
        <w:t xml:space="preserve">) </w:t>
      </w:r>
      <w:r w:rsidRPr="008E08D2">
        <w:rPr>
          <w:rFonts w:ascii="Arial" w:hAnsi="Arial"/>
          <w:sz w:val="24"/>
          <w:szCs w:val="24"/>
          <w:lang w:val="es-MX"/>
        </w:rPr>
        <w:t>Al efectuar la supresión de vacantes deberá cumplirse con lo dispuesto por el Artículo</w:t>
      </w:r>
      <w:r>
        <w:rPr>
          <w:rFonts w:ascii="Arial" w:hAnsi="Arial"/>
          <w:sz w:val="24"/>
          <w:szCs w:val="24"/>
          <w:lang w:val="es-MX"/>
        </w:rPr>
        <w:t xml:space="preserve"> 50 de la Ley Nº 18.651, del 19/02/</w:t>
      </w:r>
      <w:r w:rsidRPr="008E08D2">
        <w:rPr>
          <w:rFonts w:ascii="Arial" w:hAnsi="Arial"/>
          <w:sz w:val="24"/>
          <w:szCs w:val="24"/>
          <w:lang w:val="es-MX"/>
        </w:rPr>
        <w:t xml:space="preserve">2010, que prevé que el 4% del crédito se transferirá a un único objeto del gasto con destino a rehabilitar cargos o funciones contratadas a ser provistos con personas con discapacidad. </w:t>
      </w:r>
    </w:p>
    <w:p w:rsidR="00AD02E2" w:rsidRDefault="00AD02E2" w:rsidP="00AD02E2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b/>
          <w:bCs/>
          <w:sz w:val="24"/>
          <w:szCs w:val="24"/>
          <w:lang w:val="es-MX"/>
        </w:rPr>
        <w:t>2.10</w:t>
      </w:r>
      <w:r w:rsidRPr="00BA17C3">
        <w:rPr>
          <w:rFonts w:ascii="Arial" w:hAnsi="Arial"/>
          <w:b/>
          <w:bCs/>
          <w:sz w:val="24"/>
          <w:szCs w:val="24"/>
          <w:lang w:val="es-MX"/>
        </w:rPr>
        <w:t>)</w:t>
      </w:r>
      <w:r w:rsidRPr="00BA17C3">
        <w:rPr>
          <w:rFonts w:ascii="Arial" w:hAnsi="Arial"/>
          <w:sz w:val="24"/>
          <w:szCs w:val="24"/>
          <w:lang w:val="es-MX"/>
        </w:rPr>
        <w:t xml:space="preserve"> </w:t>
      </w:r>
      <w:r>
        <w:rPr>
          <w:rFonts w:ascii="Arial" w:hAnsi="Arial"/>
          <w:sz w:val="24"/>
          <w:szCs w:val="24"/>
          <w:lang w:val="es-MX"/>
        </w:rPr>
        <w:t>E</w:t>
      </w:r>
      <w:r w:rsidRPr="00B945DE">
        <w:rPr>
          <w:rFonts w:ascii="Arial" w:hAnsi="Arial"/>
          <w:sz w:val="24"/>
          <w:szCs w:val="24"/>
          <w:lang w:val="es-MX"/>
        </w:rPr>
        <w:t>l Artículo 35 establece el Sistema de Remuneración Por Cumplimiento de Metas (SRCM) y el Sistema de Retribución Variable (SRV) cuya aprobación y revisión deberá ser informada favorablemente por la OPP y co</w:t>
      </w:r>
      <w:r>
        <w:rPr>
          <w:rFonts w:ascii="Arial" w:hAnsi="Arial"/>
          <w:sz w:val="24"/>
          <w:szCs w:val="24"/>
          <w:lang w:val="es-MX"/>
        </w:rPr>
        <w:t>municada al Tribunal de Cuentas.</w:t>
      </w:r>
    </w:p>
    <w:p w:rsidR="00AD02E2" w:rsidRPr="00330D04" w:rsidRDefault="00AD02E2" w:rsidP="00AD02E2">
      <w:pPr>
        <w:pStyle w:val="Sangradetextonormal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A17C3">
        <w:rPr>
          <w:rFonts w:ascii="Arial" w:hAnsi="Arial" w:cs="Arial"/>
          <w:b/>
          <w:sz w:val="24"/>
          <w:szCs w:val="24"/>
          <w:lang w:val="es-MX"/>
        </w:rPr>
        <w:t>2.</w:t>
      </w:r>
      <w:r>
        <w:rPr>
          <w:rFonts w:ascii="Arial" w:hAnsi="Arial" w:cs="Arial"/>
          <w:b/>
          <w:sz w:val="24"/>
          <w:szCs w:val="24"/>
          <w:lang w:val="es-MX"/>
        </w:rPr>
        <w:t>11</w:t>
      </w:r>
      <w:r w:rsidRPr="00BA17C3">
        <w:rPr>
          <w:rFonts w:ascii="Arial" w:hAnsi="Arial" w:cs="Arial"/>
          <w:b/>
          <w:sz w:val="24"/>
          <w:szCs w:val="24"/>
          <w:lang w:val="es-MX"/>
        </w:rPr>
        <w:t>)</w:t>
      </w:r>
      <w:r w:rsidRPr="00BA17C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</w:rPr>
        <w:t>De acuerdo con</w:t>
      </w:r>
      <w:r w:rsidRPr="00E85C41">
        <w:rPr>
          <w:rFonts w:ascii="Arial" w:hAnsi="Arial" w:cs="Arial"/>
          <w:sz w:val="24"/>
          <w:szCs w:val="24"/>
        </w:rPr>
        <w:t xml:space="preserve"> lo establecido por el </w:t>
      </w:r>
      <w:r>
        <w:rPr>
          <w:rFonts w:ascii="Arial" w:hAnsi="Arial" w:cs="Arial"/>
          <w:sz w:val="24"/>
          <w:szCs w:val="24"/>
        </w:rPr>
        <w:t>Artículo 752 de la L</w:t>
      </w:r>
      <w:r w:rsidRPr="00E85C41">
        <w:rPr>
          <w:rFonts w:ascii="Arial" w:hAnsi="Arial" w:cs="Arial"/>
          <w:sz w:val="24"/>
          <w:szCs w:val="24"/>
        </w:rPr>
        <w:t>ey</w:t>
      </w:r>
      <w:r>
        <w:rPr>
          <w:rFonts w:ascii="Arial" w:hAnsi="Arial" w:cs="Arial"/>
          <w:sz w:val="24"/>
          <w:szCs w:val="24"/>
        </w:rPr>
        <w:t xml:space="preserve"> Nº</w:t>
      </w:r>
      <w:r w:rsidRPr="00E85C41">
        <w:rPr>
          <w:rFonts w:ascii="Arial" w:hAnsi="Arial" w:cs="Arial"/>
          <w:sz w:val="24"/>
          <w:szCs w:val="24"/>
        </w:rPr>
        <w:t xml:space="preserve"> 18.719</w:t>
      </w:r>
      <w:r>
        <w:rPr>
          <w:rFonts w:ascii="Arial" w:hAnsi="Arial" w:cs="Arial"/>
          <w:sz w:val="24"/>
          <w:szCs w:val="24"/>
        </w:rPr>
        <w:t xml:space="preserve"> de 27/12/2010</w:t>
      </w:r>
      <w:r w:rsidRPr="00E85C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previo a hacer efectivos los importes de los compromisos de Gestión deberá contar con el informe previo y favorable de la OPP y del MEF.</w:t>
      </w:r>
    </w:p>
    <w:p w:rsidR="00AD02E2" w:rsidRPr="00B945DE" w:rsidRDefault="00AD02E2">
      <w:pPr>
        <w:spacing w:line="360" w:lineRule="auto"/>
        <w:jc w:val="both"/>
        <w:rPr>
          <w:rFonts w:ascii="Arial" w:hAnsi="Arial"/>
          <w:b/>
          <w:bCs/>
          <w:sz w:val="24"/>
          <w:lang w:val="es-MX"/>
        </w:rPr>
      </w:pPr>
      <w:r w:rsidRPr="00B945DE">
        <w:rPr>
          <w:rFonts w:ascii="Arial" w:hAnsi="Arial"/>
          <w:b/>
          <w:bCs/>
          <w:sz w:val="24"/>
          <w:lang w:val="es-MX"/>
        </w:rPr>
        <w:t>2.</w:t>
      </w:r>
      <w:r>
        <w:rPr>
          <w:rFonts w:ascii="Arial" w:hAnsi="Arial"/>
          <w:b/>
          <w:bCs/>
          <w:sz w:val="24"/>
          <w:lang w:val="es-MX"/>
        </w:rPr>
        <w:t>12</w:t>
      </w:r>
      <w:r w:rsidRPr="00B945DE">
        <w:rPr>
          <w:rFonts w:ascii="Arial" w:hAnsi="Arial"/>
          <w:b/>
          <w:bCs/>
          <w:sz w:val="24"/>
          <w:lang w:val="es-MX"/>
        </w:rPr>
        <w:t xml:space="preserve">) </w:t>
      </w:r>
      <w:r w:rsidRPr="00B945DE">
        <w:rPr>
          <w:rFonts w:ascii="Arial" w:hAnsi="Arial"/>
          <w:sz w:val="24"/>
          <w:szCs w:val="24"/>
          <w:lang w:val="es-MX"/>
        </w:rPr>
        <w:t>Este Tribunal emite su D</w:t>
      </w:r>
      <w:r>
        <w:rPr>
          <w:rFonts w:ascii="Arial" w:hAnsi="Arial"/>
          <w:sz w:val="24"/>
          <w:szCs w:val="24"/>
          <w:lang w:val="es-MX"/>
        </w:rPr>
        <w:t>ictamen sobre el p</w:t>
      </w:r>
      <w:r w:rsidRPr="00B945DE">
        <w:rPr>
          <w:rFonts w:ascii="Arial" w:hAnsi="Arial"/>
          <w:sz w:val="24"/>
          <w:szCs w:val="24"/>
          <w:lang w:val="es-MX"/>
        </w:rPr>
        <w:t>royecto de Presupuesto de la Agencia Nacional de Vivienda para el Ejercicio 2015, en el plazo constitucionalmente previsto y con las mayorías requeridas a tales efectos.</w:t>
      </w:r>
    </w:p>
    <w:p w:rsidR="00AD02E2" w:rsidRDefault="00AD02E2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  <w:r w:rsidRPr="00B945DE">
        <w:rPr>
          <w:rFonts w:ascii="Arial" w:hAnsi="Arial"/>
          <w:b/>
          <w:bCs/>
          <w:sz w:val="24"/>
          <w:lang w:val="es-MX"/>
        </w:rPr>
        <w:t>2.1</w:t>
      </w:r>
      <w:r>
        <w:rPr>
          <w:rFonts w:ascii="Arial" w:hAnsi="Arial"/>
          <w:b/>
          <w:bCs/>
          <w:sz w:val="24"/>
          <w:lang w:val="es-MX"/>
        </w:rPr>
        <w:t>3</w:t>
      </w:r>
      <w:r w:rsidRPr="00B945DE">
        <w:rPr>
          <w:rFonts w:ascii="Arial" w:hAnsi="Arial"/>
          <w:b/>
          <w:bCs/>
          <w:sz w:val="24"/>
          <w:lang w:val="es-MX"/>
        </w:rPr>
        <w:t xml:space="preserve">) </w:t>
      </w:r>
      <w:r w:rsidRPr="00B945DE">
        <w:rPr>
          <w:rFonts w:ascii="Arial" w:hAnsi="Arial"/>
          <w:sz w:val="24"/>
          <w:szCs w:val="24"/>
          <w:lang w:val="es-MX"/>
        </w:rPr>
        <w:t>De acuerdo con la normativa constitucional vigente, el Directorio de la Agencia debe tener presente que luego de aprobado el Presupuesto no puede modificarlo hasta la nueva instancia presupuestal.</w:t>
      </w:r>
    </w:p>
    <w:p w:rsidR="00AD02E2" w:rsidRPr="00BA17C3" w:rsidRDefault="00AD02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17C3">
        <w:rPr>
          <w:rFonts w:ascii="Arial" w:hAnsi="Arial" w:cs="Arial"/>
          <w:b/>
          <w:bCs/>
          <w:sz w:val="24"/>
          <w:szCs w:val="24"/>
        </w:rPr>
        <w:t>3)</w:t>
      </w:r>
      <w:r w:rsidRPr="00BA17C3">
        <w:rPr>
          <w:rFonts w:ascii="Arial" w:hAnsi="Arial" w:cs="Arial"/>
          <w:sz w:val="24"/>
          <w:szCs w:val="24"/>
        </w:rPr>
        <w:t xml:space="preserve"> </w:t>
      </w:r>
      <w:r w:rsidRPr="00BA17C3">
        <w:rPr>
          <w:rFonts w:ascii="Arial" w:hAnsi="Arial" w:cs="Arial"/>
          <w:b/>
          <w:bCs/>
          <w:sz w:val="24"/>
          <w:szCs w:val="24"/>
        </w:rPr>
        <w:t>Opinión</w:t>
      </w:r>
    </w:p>
    <w:p w:rsidR="00AD02E2" w:rsidRDefault="00AD02E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A17C3">
        <w:rPr>
          <w:rFonts w:ascii="Arial" w:hAnsi="Arial" w:cs="Arial"/>
          <w:bCs/>
          <w:sz w:val="24"/>
          <w:szCs w:val="24"/>
        </w:rPr>
        <w:t>En opinión del Tribunal</w:t>
      </w:r>
      <w:r>
        <w:rPr>
          <w:rFonts w:ascii="Arial" w:hAnsi="Arial" w:cs="Arial"/>
          <w:bCs/>
          <w:sz w:val="24"/>
          <w:szCs w:val="24"/>
        </w:rPr>
        <w:t xml:space="preserve"> de Cuentas, el p</w:t>
      </w:r>
      <w:r w:rsidRPr="00BA17C3">
        <w:rPr>
          <w:rFonts w:ascii="Arial" w:hAnsi="Arial" w:cs="Arial"/>
          <w:bCs/>
          <w:sz w:val="24"/>
          <w:szCs w:val="24"/>
        </w:rPr>
        <w:t>royecto de Presupuesto de la Agencia Nacional de Vivienda correspondiente al Ejercicio 2015 ha sido preparado en forma razonable de acuerdo con los supuestos efectuados por el Organismo, y se presentan de conformidad con las disposiciones constitucionales, le</w:t>
      </w:r>
      <w:r>
        <w:rPr>
          <w:rFonts w:ascii="Arial" w:hAnsi="Arial" w:cs="Arial"/>
          <w:bCs/>
          <w:sz w:val="24"/>
          <w:szCs w:val="24"/>
        </w:rPr>
        <w:t>gales y reglamentarias vigentes, excepto por lo señalado en los Numeral 1.3), 2.5) y 2.6).</w:t>
      </w:r>
    </w:p>
    <w:p w:rsidR="00AD02E2" w:rsidRDefault="00AD02E2">
      <w:pPr>
        <w:spacing w:line="36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Montevideo, 13 de agosto de 2015</w:t>
      </w:r>
    </w:p>
    <w:p w:rsidR="00F900CF" w:rsidRDefault="00AD02E2" w:rsidP="00AD02E2">
      <w:pPr>
        <w:spacing w:line="360" w:lineRule="auto"/>
        <w:ind w:left="360" w:hanging="644"/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F900CF" w:rsidSect="0089543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11AA"/>
    <w:multiLevelType w:val="hybridMultilevel"/>
    <w:tmpl w:val="50484E04"/>
    <w:lvl w:ilvl="0" w:tplc="2272D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CF"/>
    <w:rsid w:val="00081A54"/>
    <w:rsid w:val="002A2A3C"/>
    <w:rsid w:val="00330727"/>
    <w:rsid w:val="00804668"/>
    <w:rsid w:val="0089543C"/>
    <w:rsid w:val="009D365A"/>
    <w:rsid w:val="00AD02E2"/>
    <w:rsid w:val="00E844AD"/>
    <w:rsid w:val="00F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CF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F900CF"/>
    <w:pPr>
      <w:keepNext/>
      <w:spacing w:line="240" w:lineRule="auto"/>
      <w:outlineLvl w:val="0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ar"/>
    <w:qFormat/>
    <w:rsid w:val="00AD02E2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D02E2"/>
    <w:pPr>
      <w:keepNext/>
      <w:spacing w:line="360" w:lineRule="auto"/>
      <w:outlineLvl w:val="3"/>
    </w:pPr>
    <w:rPr>
      <w:rFonts w:ascii="Arial" w:hAnsi="Arial" w:cs="Arial"/>
      <w:b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00CF"/>
    <w:rPr>
      <w:rFonts w:ascii="Arial" w:eastAsia="Calibri" w:hAnsi="Arial" w:cs="Arial"/>
      <w:b/>
      <w:bCs/>
      <w:sz w:val="24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AD02E2"/>
    <w:rPr>
      <w:rFonts w:ascii="Arial" w:eastAsia="Calibri" w:hAnsi="Arial" w:cs="Arial"/>
      <w:b/>
      <w:sz w:val="24"/>
      <w:szCs w:val="24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AD02E2"/>
    <w:rPr>
      <w:rFonts w:ascii="Arial" w:eastAsia="Calibri" w:hAnsi="Arial" w:cs="Arial"/>
      <w:b/>
      <w:szCs w:val="24"/>
      <w:lang w:val="es-ES" w:eastAsia="en-US"/>
    </w:rPr>
  </w:style>
  <w:style w:type="paragraph" w:styleId="Epgrafe">
    <w:name w:val="caption"/>
    <w:basedOn w:val="Normal"/>
    <w:next w:val="Normal"/>
    <w:qFormat/>
    <w:rsid w:val="00AD02E2"/>
    <w:pPr>
      <w:spacing w:line="360" w:lineRule="auto"/>
    </w:pPr>
    <w:rPr>
      <w:rFonts w:ascii="Arial" w:hAnsi="Arial" w:cs="Arial"/>
      <w:b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D02E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D02E2"/>
    <w:rPr>
      <w:rFonts w:ascii="Calibri" w:eastAsia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CF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F900CF"/>
    <w:pPr>
      <w:keepNext/>
      <w:spacing w:line="240" w:lineRule="auto"/>
      <w:outlineLvl w:val="0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ar"/>
    <w:qFormat/>
    <w:rsid w:val="00AD02E2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D02E2"/>
    <w:pPr>
      <w:keepNext/>
      <w:spacing w:line="360" w:lineRule="auto"/>
      <w:outlineLvl w:val="3"/>
    </w:pPr>
    <w:rPr>
      <w:rFonts w:ascii="Arial" w:hAnsi="Arial" w:cs="Arial"/>
      <w:b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00CF"/>
    <w:rPr>
      <w:rFonts w:ascii="Arial" w:eastAsia="Calibri" w:hAnsi="Arial" w:cs="Arial"/>
      <w:b/>
      <w:bCs/>
      <w:sz w:val="24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AD02E2"/>
    <w:rPr>
      <w:rFonts w:ascii="Arial" w:eastAsia="Calibri" w:hAnsi="Arial" w:cs="Arial"/>
      <w:b/>
      <w:sz w:val="24"/>
      <w:szCs w:val="24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AD02E2"/>
    <w:rPr>
      <w:rFonts w:ascii="Arial" w:eastAsia="Calibri" w:hAnsi="Arial" w:cs="Arial"/>
      <w:b/>
      <w:szCs w:val="24"/>
      <w:lang w:val="es-ES" w:eastAsia="en-US"/>
    </w:rPr>
  </w:style>
  <w:style w:type="paragraph" w:styleId="Epgrafe">
    <w:name w:val="caption"/>
    <w:basedOn w:val="Normal"/>
    <w:next w:val="Normal"/>
    <w:qFormat/>
    <w:rsid w:val="00AD02E2"/>
    <w:pPr>
      <w:spacing w:line="360" w:lineRule="auto"/>
    </w:pPr>
    <w:rPr>
      <w:rFonts w:ascii="Arial" w:hAnsi="Arial" w:cs="Arial"/>
      <w:b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D02E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D02E2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1133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cp:lastPrinted>2015-08-21T20:19:00Z</cp:lastPrinted>
  <dcterms:created xsi:type="dcterms:W3CDTF">2015-08-21T16:18:00Z</dcterms:created>
  <dcterms:modified xsi:type="dcterms:W3CDTF">2015-09-08T21:45:00Z</dcterms:modified>
</cp:coreProperties>
</file>